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288" w:lineRule="auto"/>
        <w:jc w:val="both"/>
        <w:rPr>
          <w:rFonts w:ascii="Calibri" w:hAnsi="Calibri" w:cs="Calibri"/>
          <w:sz w:val="20"/>
          <w:szCs w:val="20"/>
        </w:rPr>
      </w:pPr>
    </w:p>
    <w:p>
      <w:pPr>
        <w:pStyle w:val="39"/>
        <w:spacing w:before="240" w:after="0" w:line="240" w:lineRule="auto"/>
        <w:jc w:val="center"/>
        <w:rPr>
          <w:rFonts w:ascii="Calibri" w:hAnsi="Calibri" w:cs="Calibri"/>
          <w:b/>
          <w:bCs/>
          <w:sz w:val="20"/>
          <w:szCs w:val="20"/>
        </w:rPr>
      </w:pPr>
      <w:r>
        <w:rPr>
          <w:rFonts w:ascii="Calibri" w:hAnsi="Calibri" w:cs="Calibri"/>
          <w:b/>
          <w:bCs/>
          <w:sz w:val="20"/>
          <w:szCs w:val="20"/>
        </w:rPr>
        <w:t xml:space="preserve">PROCESSO LICITATÓRIO Nº </w:t>
      </w:r>
      <w:r>
        <w:rPr>
          <w:rFonts w:hint="default" w:ascii="Calibri" w:hAnsi="Calibri"/>
          <w:b/>
          <w:bCs/>
          <w:sz w:val="20"/>
          <w:szCs w:val="20"/>
        </w:rPr>
        <w:t>0542.2024.AC 74.PE.0240.SAD.DASIS</w:t>
      </w:r>
    </w:p>
    <w:p>
      <w:pPr>
        <w:pStyle w:val="39"/>
        <w:spacing w:before="240" w:after="0" w:line="240" w:lineRule="auto"/>
        <w:jc w:val="center"/>
        <w:rPr>
          <w:rFonts w:hint="default" w:ascii="Calibri" w:hAnsi="Calibri"/>
          <w:b/>
          <w:bCs/>
          <w:sz w:val="20"/>
          <w:szCs w:val="20"/>
        </w:rPr>
      </w:pPr>
      <w:r>
        <w:rPr>
          <w:rFonts w:ascii="Calibri" w:hAnsi="Calibri" w:cs="Calibri"/>
          <w:b/>
          <w:bCs/>
          <w:sz w:val="20"/>
          <w:szCs w:val="20"/>
        </w:rPr>
        <w:t xml:space="preserve">PREGÃO ELETRÔNICO PARA REGISTRO DE PREÇOS Nº </w:t>
      </w:r>
      <w:r>
        <w:rPr>
          <w:rFonts w:hint="default" w:ascii="Calibri" w:hAnsi="Calibri"/>
          <w:b/>
          <w:bCs/>
          <w:sz w:val="20"/>
          <w:szCs w:val="20"/>
        </w:rPr>
        <w:t>PE.0240.SAD.DASIS</w:t>
      </w:r>
    </w:p>
    <w:p>
      <w:pPr>
        <w:pStyle w:val="39"/>
        <w:spacing w:before="240" w:after="0" w:line="240" w:lineRule="auto"/>
        <w:jc w:val="center"/>
        <w:rPr>
          <w:rFonts w:hint="default" w:ascii="Calibri" w:hAnsi="Calibri"/>
          <w:b/>
          <w:bCs/>
          <w:sz w:val="20"/>
          <w:szCs w:val="20"/>
        </w:rPr>
      </w:pPr>
    </w:p>
    <w:p>
      <w:pPr>
        <w:spacing w:after="0" w:line="360" w:lineRule="auto"/>
        <w:ind w:left="-1701" w:right="-1276"/>
        <w:jc w:val="both"/>
        <w:rPr>
          <w:rFonts w:ascii="Calibri" w:hAnsi="Calibri" w:cs="Calibri"/>
          <w:sz w:val="20"/>
          <w:szCs w:val="20"/>
          <w:lang w:eastAsia="pt-BR"/>
        </w:rPr>
      </w:pPr>
      <w:r>
        <w:rPr>
          <w:rFonts w:ascii="Calibri" w:hAnsi="Calibri" w:cs="Calibri"/>
          <w:sz w:val="20"/>
          <w:szCs w:val="20"/>
          <w:lang w:eastAsia="pt-BR"/>
        </w:rPr>
        <mc:AlternateContent>
          <mc:Choice Requires="wpg">
            <w:drawing>
              <wp:inline distT="0" distB="0" distL="0" distR="0">
                <wp:extent cx="7559675" cy="359410"/>
                <wp:effectExtent l="0" t="0" r="3175" b="2540"/>
                <wp:docPr id="3" name="Agrupar 7"/>
                <wp:cNvGraphicFramePr/>
                <a:graphic xmlns:a="http://schemas.openxmlformats.org/drawingml/2006/main">
                  <a:graphicData uri="http://schemas.microsoft.com/office/word/2010/wordprocessingGroup">
                    <wpg:wgp>
                      <wpg:cNvGrpSpPr/>
                      <wpg:grpSpPr>
                        <a:xfrm>
                          <a:off x="0" y="0"/>
                          <a:ext cx="7560000" cy="360000"/>
                          <a:chOff x="0" y="0"/>
                          <a:chExt cx="7566025" cy="364490"/>
                        </a:xfrm>
                      </wpg:grpSpPr>
                      <wps:wsp>
                        <wps:cNvPr id="2" name="Retângulo 2"/>
                        <wps:cNvSpPr/>
                        <wps:spPr>
                          <a:xfrm>
                            <a:off x="3002760" y="0"/>
                            <a:ext cx="1416600" cy="363960"/>
                          </a:xfrm>
                          <a:prstGeom prst="rect">
                            <a:avLst/>
                          </a:prstGeom>
                          <a:noFill/>
                          <a:ln w="12700">
                            <a:noFill/>
                          </a:ln>
                        </wps:spPr>
                        <wps:style>
                          <a:lnRef idx="0">
                            <a:scrgbClr r="0" g="0" b="0"/>
                          </a:lnRef>
                          <a:fillRef idx="0">
                            <a:scrgbClr r="0" g="0" b="0"/>
                          </a:fillRef>
                          <a:effectRef idx="0">
                            <a:scrgbClr r="0" g="0" b="0"/>
                          </a:effectRef>
                          <a:fontRef idx="minor"/>
                        </wps:style>
                        <wps:txbx>
                          <w:txbxContent>
                            <w:p>
                              <w:pPr>
                                <w:overflowPunct w:val="0"/>
                                <w:spacing w:after="0" w:line="240" w:lineRule="auto"/>
                                <w:jc w:val="center"/>
                                <w:rPr>
                                  <w:rFonts w:ascii="Calibri" w:hAnsi="Calibri" w:cs="Calibri"/>
                                  <w:b/>
                                  <w:bCs/>
                                  <w:sz w:val="20"/>
                                  <w:szCs w:val="20"/>
                                </w:rPr>
                              </w:pPr>
                              <w:r>
                                <w:rPr>
                                  <w:rFonts w:ascii="Calibri" w:hAnsi="Calibri" w:cs="Calibri"/>
                                  <w:b/>
                                  <w:bCs/>
                                  <w:sz w:val="20"/>
                                  <w:szCs w:val="20"/>
                                </w:rPr>
                                <w:t>PREÂMBULO</w:t>
                              </w:r>
                            </w:p>
                          </w:txbxContent>
                        </wps:txbx>
                        <wps:bodyPr lIns="90000" tIns="45000" rIns="90000" bIns="45000" anchor="ctr">
                          <a:noAutofit/>
                        </wps:bodyPr>
                      </wps:wsp>
                      <wps:wsp>
                        <wps:cNvPr id="4" name="Retângulo 4"/>
                        <wps:cNvSpPr/>
                        <wps:spPr>
                          <a:xfrm>
                            <a:off x="4510440" y="94680"/>
                            <a:ext cx="3054960"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s:wsp>
                        <wps:cNvPr id="5" name="Retângulo 5"/>
                        <wps:cNvSpPr/>
                        <wps:spPr>
                          <a:xfrm>
                            <a:off x="0" y="94680"/>
                            <a:ext cx="2913480"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id="Agrupar 7" o:spid="_x0000_s1026" o:spt="203" style="height:28.3pt;width:595.25pt;" coordsize="7566025,364490" o:gfxdata="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6ozF8dYA&#10;AAAFAQAADwAAAAAAAAABACAAAAAiAAAAZHJzL2Rvd25yZXYueG1sUEsBAhQAFAAAAAgAh07iQBjh&#10;TGuTAgAA6AcAAA4AAAAAAAAAAQAgAAAAJQEAAGRycy9lMm9Eb2MueG1sUEsFBgAAAAAGAAYAWQEA&#10;ACoGAAAAAA==&#10;">
                <o:lock v:ext="edit" aspectratio="f"/>
                <v:rect id="_x0000_s1026" o:spid="_x0000_s1026" o:spt="1" style="position:absolute;left:3002760;top:0;height:363960;width:1416600;v-text-anchor:middle;" filled="f" stroked="f" coordsize="21600,21600" o:gfxdata="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8IGnrgAAADaAAAA&#10;DwAAAAAAAAABACAAAAAiAAAAZHJzL2Rvd25yZXYueG1sUEsBAhQAFAAAAAgAh07iQDMvBZ47AAAA&#10;OQAAABAAAAAAAAAAAQAgAAAABwEAAGRycy9zaGFwZXhtbC54bWxQSwUGAAAAAAYABgBbAQAAsQMA&#10;AAAA&#10;">
                  <v:fill on="f" focussize="0,0"/>
                  <v:stroke on="f" weight="1pt"/>
                  <v:imagedata o:title=""/>
                  <o:lock v:ext="edit" aspectratio="f"/>
                  <v:textbox inset="2.5mm,1.25mm,2.5mm,1.25mm">
                    <w:txbxContent>
                      <w:p>
                        <w:pPr>
                          <w:overflowPunct w:val="0"/>
                          <w:spacing w:after="0" w:line="240" w:lineRule="auto"/>
                          <w:jc w:val="center"/>
                          <w:rPr>
                            <w:rFonts w:ascii="Calibri" w:hAnsi="Calibri" w:cs="Calibri"/>
                            <w:b/>
                            <w:bCs/>
                            <w:sz w:val="20"/>
                            <w:szCs w:val="20"/>
                          </w:rPr>
                        </w:pPr>
                        <w:r>
                          <w:rPr>
                            <w:rFonts w:ascii="Calibri" w:hAnsi="Calibri" w:cs="Calibri"/>
                            <w:b/>
                            <w:bCs/>
                            <w:sz w:val="20"/>
                            <w:szCs w:val="20"/>
                          </w:rPr>
                          <w:t>PREÂMBULO</w:t>
                        </w:r>
                      </w:p>
                    </w:txbxContent>
                  </v:textbox>
                </v:rect>
                <v:rect id="_x0000_s1026" o:spid="_x0000_s1026" o:spt="1" style="position:absolute;left:4510440;top:94680;height:179640;width:3054960;" fillcolor="#33608E" filled="t" stroked="f" coordsize="21600,21600" o:gfxdata="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FFmCvQAA&#10;ANoAAAAPAAAAAAAAAAEAIAAAACIAAABkcnMvZG93bnJldi54bWxQSwECFAAUAAAACACHTuJAMy8F&#10;njsAAAA5AAAAEAAAAAAAAAABACAAAAAMAQAAZHJzL3NoYXBleG1sLnhtbFBLBQYAAAAABgAGAFsB&#10;AAC2AwAAAAA=&#10;">
                  <v:fill on="t" focussize="0,0"/>
                  <v:stroke on="f" weight="1pt"/>
                  <v:imagedata o:title=""/>
                  <o:lock v:ext="edit" aspectratio="f"/>
                </v:rect>
                <v:rect id="_x0000_s1026" o:spid="_x0000_s1026" o:spt="1" style="position:absolute;left:0;top:94680;height:179640;width:2913480;" fillcolor="#33608E" filled="t" stroked="f" coordsize="21600,21600" o:gfxdata="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WPwZvQAA&#10;ANoAAAAPAAAAAAAAAAEAIAAAACIAAABkcnMvZG93bnJldi54bWxQSwECFAAUAAAACACHTuJAMy8F&#10;njsAAAA5AAAAEAAAAAAAAAABACAAAAAMAQAAZHJzL3NoYXBleG1sLnhtbFBLBQYAAAAABgAGAFsB&#10;AAC2AwAAAAA=&#10;">
                  <v:fill on="t" focussize="0,0"/>
                  <v:stroke on="f" weight="1pt"/>
                  <v:imagedata o:title=""/>
                  <o:lock v:ext="edit" aspectratio="f"/>
                </v:rect>
                <w10:wrap type="none"/>
                <w10:anchorlock/>
              </v:group>
            </w:pict>
          </mc:Fallback>
        </mc:AlternateContent>
      </w:r>
    </w:p>
    <w:p>
      <w:pPr>
        <w:spacing w:after="0" w:line="360" w:lineRule="auto"/>
        <w:ind w:left="-1701" w:right="-1276"/>
        <w:jc w:val="both"/>
        <w:rPr>
          <w:rFonts w:ascii="Calibri" w:hAnsi="Calibri" w:cs="Calibri"/>
          <w:sz w:val="20"/>
          <w:szCs w:val="20"/>
          <w:lang w:eastAsia="pt-BR"/>
        </w:rPr>
      </w:pPr>
    </w:p>
    <w:p>
      <w:pPr>
        <w:keepNext w:val="0"/>
        <w:keepLines w:val="0"/>
        <w:widowControl/>
        <w:suppressLineNumbers w:val="0"/>
        <w:jc w:val="both"/>
        <w:rPr>
          <w:rFonts w:ascii="Calibri" w:hAnsi="Calibri" w:cs="Calibri"/>
          <w:sz w:val="20"/>
          <w:szCs w:val="20"/>
        </w:rPr>
      </w:pPr>
      <w:r>
        <w:rPr>
          <w:rFonts w:hint="default" w:eastAsia="SimSun" w:cs="Times New Roman" w:asciiTheme="minorAscii" w:hAnsiTheme="minorAscii"/>
          <w:color w:val="000000"/>
          <w:kern w:val="0"/>
          <w:sz w:val="20"/>
          <w:szCs w:val="20"/>
          <w:highlight w:val="none"/>
          <w:lang w:val="en-US" w:eastAsia="zh-CN" w:bidi="ar"/>
        </w:rPr>
        <w:t xml:space="preserve">O Estado de Pernambuco, por intermédio da </w:t>
      </w:r>
      <w:r>
        <w:rPr>
          <w:rFonts w:hint="default" w:eastAsia="TimesNewRomanPS-BoldMT" w:cs="TimesNewRomanPS-BoldMT" w:asciiTheme="minorAscii" w:hAnsiTheme="minorAscii"/>
          <w:b/>
          <w:bCs/>
          <w:color w:val="000000"/>
          <w:kern w:val="0"/>
          <w:sz w:val="20"/>
          <w:szCs w:val="20"/>
          <w:highlight w:val="none"/>
          <w:lang w:val="en-US" w:eastAsia="zh-CN" w:bidi="ar"/>
        </w:rPr>
        <w:t>SECRETARIA DE ADMINISTRAÇÃO</w:t>
      </w:r>
      <w:r>
        <w:rPr>
          <w:rFonts w:hint="default" w:eastAsia="SimSun" w:cs="Times New Roman" w:asciiTheme="minorAscii" w:hAnsiTheme="minorAscii"/>
          <w:color w:val="000000"/>
          <w:kern w:val="0"/>
          <w:sz w:val="20"/>
          <w:szCs w:val="20"/>
          <w:highlight w:val="none"/>
          <w:lang w:val="en-US" w:eastAsia="zh-CN" w:bidi="ar"/>
        </w:rPr>
        <w:t>, através d</w:t>
      </w:r>
      <w:r>
        <w:rPr>
          <w:rFonts w:hint="default" w:eastAsia="SimSun" w:cs="Times New Roman" w:asciiTheme="minorAscii" w:hAnsiTheme="minorAscii"/>
          <w:color w:val="000000"/>
          <w:kern w:val="0"/>
          <w:sz w:val="20"/>
          <w:szCs w:val="20"/>
          <w:highlight w:val="none"/>
          <w:lang w:val="pt-BR" w:eastAsia="zh-CN" w:bidi="ar"/>
        </w:rPr>
        <w:t>a</w:t>
      </w:r>
      <w:r>
        <w:rPr>
          <w:rFonts w:hint="default" w:eastAsia="SimSun" w:cs="Times New Roman" w:asciiTheme="minorAscii" w:hAnsiTheme="minorAscii"/>
          <w:color w:val="000000"/>
          <w:kern w:val="0"/>
          <w:sz w:val="20"/>
          <w:szCs w:val="20"/>
          <w:highlight w:val="none"/>
          <w:lang w:val="en-US" w:eastAsia="zh-CN" w:bidi="ar"/>
        </w:rPr>
        <w:t xml:space="preserve"> Pregoeir</w:t>
      </w:r>
      <w:r>
        <w:rPr>
          <w:rFonts w:hint="default" w:eastAsia="SimSun" w:cs="Times New Roman" w:asciiTheme="minorAscii" w:hAnsiTheme="minorAscii"/>
          <w:color w:val="000000"/>
          <w:kern w:val="0"/>
          <w:sz w:val="20"/>
          <w:szCs w:val="20"/>
          <w:highlight w:val="none"/>
          <w:lang w:val="pt-BR" w:eastAsia="zh-CN" w:bidi="ar"/>
        </w:rPr>
        <w:t>a</w:t>
      </w:r>
      <w:r>
        <w:rPr>
          <w:rFonts w:hint="default" w:eastAsia="SimSun" w:cs="Times New Roman" w:asciiTheme="minorAscii" w:hAnsiTheme="minorAscii"/>
          <w:color w:val="000000"/>
          <w:kern w:val="0"/>
          <w:sz w:val="20"/>
          <w:szCs w:val="20"/>
          <w:highlight w:val="none"/>
          <w:lang w:val="en-US" w:eastAsia="zh-CN" w:bidi="ar"/>
        </w:rPr>
        <w:t xml:space="preserve"> </w:t>
      </w:r>
      <w:r>
        <w:rPr>
          <w:rFonts w:hint="default" w:eastAsia="SimSun" w:cs="Times New Roman" w:asciiTheme="minorAscii" w:hAnsiTheme="minorAscii"/>
          <w:color w:val="000000"/>
          <w:kern w:val="0"/>
          <w:sz w:val="20"/>
          <w:szCs w:val="20"/>
          <w:highlight w:val="none"/>
          <w:lang w:val="pt-BR" w:eastAsia="zh-CN" w:bidi="ar"/>
        </w:rPr>
        <w:t>74</w:t>
      </w:r>
      <w:r>
        <w:rPr>
          <w:rFonts w:hint="default" w:eastAsia="SimSun" w:cs="Times New Roman" w:asciiTheme="minorAscii" w:hAnsiTheme="minorAscii"/>
          <w:color w:val="000000"/>
          <w:kern w:val="0"/>
          <w:sz w:val="20"/>
          <w:szCs w:val="20"/>
          <w:highlight w:val="none"/>
          <w:lang w:val="en-US" w:eastAsia="zh-CN" w:bidi="ar"/>
        </w:rPr>
        <w:t>, designad</w:t>
      </w:r>
      <w:r>
        <w:rPr>
          <w:rFonts w:hint="default" w:eastAsia="SimSun" w:cs="Times New Roman" w:asciiTheme="minorAscii" w:hAnsiTheme="minorAscii"/>
          <w:color w:val="000000"/>
          <w:kern w:val="0"/>
          <w:sz w:val="20"/>
          <w:szCs w:val="20"/>
          <w:highlight w:val="none"/>
          <w:lang w:val="pt-BR" w:eastAsia="zh-CN" w:bidi="ar"/>
        </w:rPr>
        <w:t>a</w:t>
      </w:r>
      <w:r>
        <w:rPr>
          <w:rFonts w:hint="default" w:eastAsia="SimSun" w:cs="Times New Roman" w:asciiTheme="minorAscii" w:hAnsiTheme="minorAscii"/>
          <w:color w:val="000000"/>
          <w:kern w:val="0"/>
          <w:sz w:val="20"/>
          <w:szCs w:val="20"/>
          <w:highlight w:val="none"/>
          <w:lang w:val="en-US" w:eastAsia="zh-CN" w:bidi="ar"/>
        </w:rPr>
        <w:t xml:space="preserve"> por meio da Portaria nº </w:t>
      </w:r>
      <w:r>
        <w:rPr>
          <w:rFonts w:hint="default" w:eastAsia="SimSun" w:cs="Calibri" w:asciiTheme="minorAscii" w:hAnsiTheme="minorAscii"/>
          <w:sz w:val="20"/>
          <w:szCs w:val="20"/>
          <w:highlight w:val="none"/>
        </w:rPr>
        <w:t>79</w:t>
      </w:r>
      <w:r>
        <w:rPr>
          <w:rFonts w:hint="default" w:eastAsia="SimSun" w:cs="Times New Roman" w:asciiTheme="minorAscii" w:hAnsiTheme="minorAscii"/>
          <w:color w:val="000000"/>
          <w:kern w:val="0"/>
          <w:sz w:val="20"/>
          <w:szCs w:val="20"/>
          <w:highlight w:val="none"/>
          <w:lang w:val="en-US" w:eastAsia="zh-CN" w:bidi="ar"/>
        </w:rPr>
        <w:t xml:space="preserve">, publicada no Diário Oficial do Estado de Pernambuco, em atendimento </w:t>
      </w:r>
      <w:r>
        <w:rPr>
          <w:rFonts w:hint="default" w:eastAsia="SimSun" w:cs="Calibri" w:asciiTheme="minorAscii" w:hAnsiTheme="minorAscii"/>
          <w:sz w:val="20"/>
          <w:szCs w:val="20"/>
          <w:highlight w:val="none"/>
        </w:rPr>
        <w:t xml:space="preserve">ao </w:t>
      </w:r>
      <w:r>
        <w:rPr>
          <w:rFonts w:ascii="Calibri" w:hAnsi="Calibri" w:eastAsia="SimSun" w:cs="Calibri"/>
          <w:sz w:val="20"/>
          <w:szCs w:val="20"/>
        </w:rPr>
        <w:t xml:space="preserve"> </w:t>
      </w:r>
      <w:r>
        <w:rPr>
          <w:rStyle w:val="4"/>
          <w:rFonts w:eastAsia="SimSun" w:cs="Calibri"/>
          <w:sz w:val="20"/>
          <w:szCs w:val="20"/>
        </w:rPr>
        <w:t>Ofício n° 494/2024-SEGI/SDS (47841922)</w:t>
      </w:r>
      <w:r>
        <w:rPr>
          <w:rFonts w:hint="default" w:eastAsia="SimSun" w:cs="Times New Roman" w:asciiTheme="minorAscii" w:hAnsiTheme="minorAscii"/>
          <w:color w:val="000000"/>
          <w:kern w:val="0"/>
          <w:sz w:val="20"/>
          <w:szCs w:val="20"/>
          <w:highlight w:val="none"/>
          <w:lang w:val="en-US" w:eastAsia="zh-CN" w:bidi="ar"/>
        </w:rPr>
        <w:t xml:space="preserve">, </w:t>
      </w:r>
      <w:r>
        <w:rPr>
          <w:rFonts w:hint="default" w:eastAsia="SimSun" w:cs="Calibri" w:asciiTheme="minorAscii" w:hAnsiTheme="minorAscii"/>
          <w:sz w:val="20"/>
          <w:szCs w:val="20"/>
          <w:highlight w:val="none"/>
        </w:rPr>
        <w:t xml:space="preserve">e com a respectiva autorização </w:t>
      </w:r>
      <w:r>
        <w:rPr>
          <w:rFonts w:ascii="Calibri" w:hAnsi="Calibri" w:eastAsia="SimSun" w:cs="Calibri"/>
          <w:sz w:val="20"/>
          <w:szCs w:val="20"/>
        </w:rPr>
        <w:t>do</w:t>
      </w:r>
      <w:r>
        <w:rPr>
          <w:rFonts w:hint="default" w:ascii="Calibri" w:hAnsi="Calibri" w:eastAsia="SimSun" w:cs="Calibri"/>
          <w:sz w:val="20"/>
          <w:szCs w:val="20"/>
          <w:lang w:val="pt-BR"/>
        </w:rPr>
        <w:t xml:space="preserve"> </w:t>
      </w:r>
      <w:r>
        <w:rPr>
          <w:rFonts w:hint="default" w:eastAsia="SimSun" w:cs="Calibri" w:asciiTheme="minorAscii" w:hAnsiTheme="minorAscii"/>
          <w:color w:val="auto"/>
          <w:sz w:val="20"/>
          <w:szCs w:val="20"/>
          <w:highlight w:val="none"/>
        </w:rPr>
        <w:t>Sr.</w:t>
      </w:r>
      <w:r>
        <w:rPr>
          <w:rFonts w:hint="default" w:cs="Calibri" w:asciiTheme="minorAscii" w:hAnsiTheme="minorAscii"/>
          <w:color w:val="auto"/>
          <w:sz w:val="20"/>
          <w:szCs w:val="20"/>
          <w:highlight w:val="none"/>
        </w:rPr>
        <w:t xml:space="preserve">  </w:t>
      </w:r>
      <w:r>
        <w:rPr>
          <w:rFonts w:hint="default" w:eastAsia="SimSun" w:cs="Calibri" w:asciiTheme="minorAscii" w:hAnsiTheme="minorAscii"/>
          <w:b w:val="0"/>
          <w:bCs w:val="0"/>
          <w:i w:val="0"/>
          <w:iCs w:val="0"/>
          <w:caps w:val="0"/>
          <w:color w:val="auto"/>
          <w:spacing w:val="0"/>
          <w:sz w:val="20"/>
          <w:szCs w:val="20"/>
          <w:highlight w:val="none"/>
        </w:rPr>
        <w:t>ENÉIAS FERREIRA LEITE DE OLIVEIRA</w:t>
      </w:r>
      <w:r>
        <w:rPr>
          <w:rStyle w:val="4"/>
          <w:rFonts w:hint="default" w:eastAsia="SimSun" w:cs="Calibri" w:asciiTheme="minorAscii" w:hAnsiTheme="minorAscii"/>
          <w:color w:val="auto"/>
          <w:sz w:val="20"/>
          <w:szCs w:val="20"/>
          <w:highlight w:val="none"/>
        </w:rPr>
        <w:t xml:space="preserve"> </w:t>
      </w:r>
      <w:r>
        <w:rPr>
          <w:rFonts w:hint="default" w:eastAsia="SimSun" w:cs="Calibri" w:asciiTheme="minorAscii" w:hAnsiTheme="minorAscii"/>
          <w:color w:val="auto"/>
          <w:sz w:val="20"/>
          <w:szCs w:val="20"/>
          <w:highlight w:val="none"/>
        </w:rPr>
        <w:t>- </w:t>
      </w:r>
      <w:r>
        <w:rPr>
          <w:rFonts w:hint="default" w:eastAsia="SimSun" w:cs="Calibri" w:asciiTheme="minorAscii" w:hAnsiTheme="minorAscii"/>
          <w:i w:val="0"/>
          <w:iCs w:val="0"/>
          <w:caps w:val="0"/>
          <w:color w:val="auto"/>
          <w:spacing w:val="0"/>
          <w:sz w:val="20"/>
          <w:szCs w:val="20"/>
          <w:highlight w:val="none"/>
        </w:rPr>
        <w:t>Secretário Executivo</w:t>
      </w:r>
      <w:r>
        <w:rPr>
          <w:rFonts w:hint="default" w:eastAsia="SimSun" w:cs="Calibri" w:asciiTheme="minorAscii" w:hAnsiTheme="minorAscii"/>
          <w:i w:val="0"/>
          <w:iCs w:val="0"/>
          <w:caps w:val="0"/>
          <w:color w:val="auto"/>
          <w:spacing w:val="0"/>
          <w:sz w:val="20"/>
          <w:szCs w:val="20"/>
        </w:rPr>
        <w:t xml:space="preserve"> de Gestão Integrada</w:t>
      </w:r>
      <w:r>
        <w:rPr>
          <w:rFonts w:hint="default" w:eastAsia="SimSun" w:cs="Calibri" w:asciiTheme="minorAscii" w:hAnsiTheme="minorAscii"/>
          <w:i w:val="0"/>
          <w:iCs w:val="0"/>
          <w:caps w:val="0"/>
          <w:color w:val="auto"/>
          <w:spacing w:val="0"/>
          <w:sz w:val="20"/>
          <w:szCs w:val="20"/>
          <w:lang w:val="pt-BR"/>
        </w:rPr>
        <w:t>- SEGI/SDS</w:t>
      </w:r>
      <w:r>
        <w:rPr>
          <w:rFonts w:hint="default" w:eastAsia="SimSun" w:cs="Times New Roman" w:asciiTheme="minorAscii" w:hAnsiTheme="minorAscii"/>
          <w:color w:val="000000"/>
          <w:kern w:val="0"/>
          <w:sz w:val="20"/>
          <w:szCs w:val="20"/>
          <w:highlight w:val="none"/>
          <w:lang w:val="en-US" w:eastAsia="zh-CN" w:bidi="ar"/>
        </w:rPr>
        <w:t xml:space="preserve">, </w:t>
      </w:r>
      <w:r>
        <w:rPr>
          <w:rFonts w:hint="default" w:eastAsia="Calibri" w:cs="Calibri" w:asciiTheme="minorAscii" w:hAnsiTheme="minorAscii"/>
          <w:sz w:val="20"/>
          <w:szCs w:val="20"/>
          <w:highlight w:val="none"/>
        </w:rPr>
        <w:t>estabelece as condições para</w:t>
      </w:r>
      <w:r>
        <w:rPr>
          <w:rFonts w:hint="default" w:eastAsia="SimSun" w:cs="Times New Roman" w:asciiTheme="minorAscii" w:hAnsiTheme="minorAscii"/>
          <w:color w:val="000000"/>
          <w:kern w:val="0"/>
          <w:sz w:val="20"/>
          <w:szCs w:val="20"/>
          <w:highlight w:val="none"/>
          <w:lang w:val="en-US" w:eastAsia="zh-CN" w:bidi="ar"/>
        </w:rPr>
        <w:t xml:space="preserve"> </w:t>
      </w:r>
      <w:r>
        <w:rPr>
          <w:rFonts w:hint="default" w:eastAsia="SimSun" w:cs="Times New Roman" w:asciiTheme="minorAscii" w:hAnsiTheme="minorAscii"/>
          <w:color w:val="000000"/>
          <w:kern w:val="0"/>
          <w:sz w:val="20"/>
          <w:szCs w:val="20"/>
          <w:highlight w:val="none"/>
          <w:lang w:val="pt-BR" w:eastAsia="zh-CN" w:bidi="ar"/>
        </w:rPr>
        <w:t xml:space="preserve">a </w:t>
      </w:r>
      <w:r>
        <w:rPr>
          <w:rFonts w:hint="default" w:eastAsia="SimSun" w:cs="Times New Roman" w:asciiTheme="minorAscii" w:hAnsiTheme="minorAscii"/>
          <w:color w:val="000000"/>
          <w:kern w:val="0"/>
          <w:sz w:val="20"/>
          <w:szCs w:val="20"/>
          <w:highlight w:val="none"/>
          <w:lang w:val="en-US" w:eastAsia="zh-CN" w:bidi="ar"/>
        </w:rPr>
        <w:t xml:space="preserve">licitação na modalidade </w:t>
      </w:r>
      <w:r>
        <w:rPr>
          <w:rFonts w:hint="default" w:eastAsia="TimesNewRomanPS-BoldMT" w:cs="TimesNewRomanPS-BoldMT" w:asciiTheme="minorAscii" w:hAnsiTheme="minorAscii"/>
          <w:b/>
          <w:bCs/>
          <w:color w:val="000000"/>
          <w:kern w:val="0"/>
          <w:sz w:val="20"/>
          <w:szCs w:val="20"/>
          <w:highlight w:val="none"/>
          <w:lang w:val="en-US" w:eastAsia="zh-CN" w:bidi="ar"/>
        </w:rPr>
        <w:t>PREGÃO ELETRÔNICO</w:t>
      </w:r>
      <w:r>
        <w:rPr>
          <w:rFonts w:hint="default" w:eastAsia="SimSun" w:cs="Times New Roman" w:asciiTheme="minorAscii" w:hAnsiTheme="minorAscii"/>
          <w:color w:val="000000"/>
          <w:kern w:val="0"/>
          <w:sz w:val="20"/>
          <w:szCs w:val="20"/>
          <w:highlight w:val="none"/>
          <w:lang w:val="en-US" w:eastAsia="zh-CN" w:bidi="ar"/>
        </w:rPr>
        <w:t xml:space="preserve">, do tipo </w:t>
      </w:r>
      <w:r>
        <w:rPr>
          <w:rFonts w:hint="default" w:eastAsia="TimesNewRomanPS-BoldMT" w:cs="TimesNewRomanPS-BoldMT" w:asciiTheme="minorAscii" w:hAnsiTheme="minorAscii"/>
          <w:b/>
          <w:bCs/>
          <w:color w:val="000000"/>
          <w:kern w:val="0"/>
          <w:sz w:val="20"/>
          <w:szCs w:val="20"/>
          <w:highlight w:val="none"/>
          <w:lang w:val="en-US" w:eastAsia="zh-CN" w:bidi="ar"/>
        </w:rPr>
        <w:t>MENOR PREÇO UNITÁRIO/POR ITEM</w:t>
      </w:r>
      <w:r>
        <w:rPr>
          <w:rFonts w:hint="default" w:eastAsia="SimSun" w:cs="Times New Roman" w:asciiTheme="minorAscii" w:hAnsiTheme="minorAscii"/>
          <w:color w:val="000000"/>
          <w:kern w:val="0"/>
          <w:sz w:val="20"/>
          <w:szCs w:val="20"/>
          <w:highlight w:val="none"/>
          <w:lang w:val="en-US" w:eastAsia="zh-CN" w:bidi="ar"/>
        </w:rPr>
        <w:t xml:space="preserve">, para </w:t>
      </w:r>
      <w:r>
        <w:rPr>
          <w:rFonts w:hint="default" w:eastAsia="TimesNewRomanPS-BoldMT" w:cs="TimesNewRomanPS-BoldMT" w:asciiTheme="minorAscii" w:hAnsiTheme="minorAscii"/>
          <w:b/>
          <w:bCs/>
          <w:color w:val="000000"/>
          <w:kern w:val="0"/>
          <w:sz w:val="20"/>
          <w:szCs w:val="20"/>
          <w:highlight w:val="none"/>
          <w:lang w:val="en-US" w:eastAsia="zh-CN" w:bidi="ar"/>
        </w:rPr>
        <w:t>REGISTRO DE PREÇOS</w:t>
      </w:r>
      <w:r>
        <w:rPr>
          <w:rFonts w:hint="default" w:eastAsia="SimSun" w:cs="Times New Roman" w:asciiTheme="minorAscii" w:hAnsiTheme="minorAscii"/>
          <w:color w:val="000000"/>
          <w:kern w:val="0"/>
          <w:sz w:val="20"/>
          <w:szCs w:val="20"/>
          <w:highlight w:val="none"/>
          <w:lang w:val="en-US" w:eastAsia="zh-CN" w:bidi="ar"/>
        </w:rPr>
        <w:t xml:space="preserve">, de acordo com a Lei Federal nº 14.133/21, a Lei Complementar nº 123/06 e os Decretos Estaduais nº 54.142/2022 e nº 54.700/2023, e respectivas alterações, aplicando-se subsidiariamente as demais normas regulamentares aplicáveis à espécie: </w:t>
      </w:r>
    </w:p>
    <w:p>
      <w:pPr>
        <w:spacing w:before="360" w:after="120" w:line="360" w:lineRule="auto"/>
        <w:ind w:left="-1701" w:right="-1276"/>
        <w:jc w:val="both"/>
        <w:rPr>
          <w:rFonts w:ascii="Calibri" w:hAnsi="Calibri" w:cs="Calibri"/>
          <w:b/>
          <w:bCs/>
          <w:sz w:val="20"/>
          <w:szCs w:val="20"/>
        </w:rPr>
      </w:pPr>
      <w:r>
        <w:rPr>
          <w:rFonts w:ascii="Calibri" w:hAnsi="Calibri" w:cs="Calibri"/>
          <w:sz w:val="20"/>
          <w:szCs w:val="20"/>
          <w:lang w:eastAsia="pt-BR"/>
        </w:rPr>
        <mc:AlternateContent>
          <mc:Choice Requires="wps">
            <w:drawing>
              <wp:inline distT="0" distB="2540" distL="0" distR="9525">
                <wp:extent cx="2354580" cy="365125"/>
                <wp:effectExtent l="0" t="0" r="7620" b="15875"/>
                <wp:docPr id="17" name="Forma4"/>
                <wp:cNvGraphicFramePr/>
                <a:graphic xmlns:a="http://schemas.openxmlformats.org/drawingml/2006/main">
                  <a:graphicData uri="http://schemas.microsoft.com/office/word/2010/wordprocessingShape">
                    <wps:wsp>
                      <wps:cNvSpPr/>
                      <wps:spPr>
                        <a:xfrm>
                          <a:off x="0" y="0"/>
                          <a:ext cx="235458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15" w:rightChars="0"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 DO OBJETO</w:t>
                            </w:r>
                          </w:p>
                        </w:txbxContent>
                      </wps:txbx>
                      <wps:bodyPr anchor="ctr">
                        <a:noAutofit/>
                      </wps:bodyPr>
                    </wps:wsp>
                  </a:graphicData>
                </a:graphic>
              </wp:inline>
            </w:drawing>
          </mc:Choice>
          <mc:Fallback>
            <w:pict>
              <v:rect id="Forma4" o:spid="_x0000_s1026" o:spt="1" style="height:28.75pt;width:185.4pt;v-text-anchor:middle;" fillcolor="#33608E" filled="t" stroked="f" coordsize="21600,21600" o:gfxdata="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IiPMp3XAAAABAEAAA8AAAAAAAAAAQAgAAAAIgAAAGRycy9kb3ducmV2LnhtbFBL&#10;AQIUABQAAAAIAIdO4kBns+8wvgEAAI4DAAAOAAAAAAAAAAEAIAAAACYBAABkcnMvZTJvRG9jLnht&#10;bFBLBQYAAAAABgAGAFkBAABWBQAAAAA=&#10;">
                <v:fill on="t" focussize="0,0"/>
                <v:stroke on="f" weight="1pt"/>
                <v:imagedata o:title=""/>
                <o:lock v:ext="edit" aspectratio="f"/>
                <v:textbox>
                  <w:txbxContent>
                    <w:p>
                      <w:pPr>
                        <w:pStyle w:val="39"/>
                        <w:spacing w:after="0"/>
                        <w:ind w:left="567" w:right="-15" w:rightChars="0"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 DO OBJETO</w:t>
                      </w:r>
                    </w:p>
                  </w:txbxContent>
                </v:textbox>
                <w10:wrap type="none"/>
                <w10:anchorlock/>
              </v:rect>
            </w:pict>
          </mc:Fallback>
        </mc:AlternateContent>
      </w:r>
    </w:p>
    <w:p>
      <w:pPr>
        <w:pStyle w:val="37"/>
        <w:numPr>
          <w:ilvl w:val="1"/>
          <w:numId w:val="2"/>
        </w:numPr>
        <w:spacing w:before="120" w:after="120" w:line="360" w:lineRule="auto"/>
        <w:ind w:left="-10" w:firstLine="10"/>
        <w:jc w:val="both"/>
        <w:rPr>
          <w:rFonts w:ascii="Calibri" w:hAnsi="Calibri" w:cs="Calibri"/>
          <w:b/>
        </w:rPr>
      </w:pPr>
      <w:r>
        <w:rPr>
          <w:rFonts w:ascii="Calibri" w:hAnsi="Calibri" w:cs="Calibri"/>
        </w:rPr>
        <w:t xml:space="preserve">A presente licitação tem como objeto a formação de Ata de Registro de Preços para o fornecimento eventual de </w:t>
      </w:r>
      <w:r>
        <w:rPr>
          <w:rStyle w:val="4"/>
          <w:rFonts w:ascii="Calibri" w:hAnsi="Calibri" w:cs="Calibri"/>
        </w:rPr>
        <w:t>MEDICAMENTOS ANTIMICROBIANOS INJETÁVEIS</w:t>
      </w:r>
      <w:r>
        <w:rPr>
          <w:rFonts w:ascii="Calibri" w:hAnsi="Calibri" w:cs="Calibri"/>
        </w:rPr>
        <w:t>, conforme especificações e quantitativos previstos no Termo de Referência (Anexo I), visando atender às demandas daDIRETORIA DE APOIO ADMINISTRATIVO AO SISTEMA DE SAÚDE DA PMPE - DASIS.</w:t>
      </w:r>
    </w:p>
    <w:p>
      <w:pPr>
        <w:pStyle w:val="66"/>
        <w:numPr>
          <w:ilvl w:val="1"/>
          <w:numId w:val="2"/>
        </w:numPr>
        <w:spacing w:before="120" w:after="120" w:line="360" w:lineRule="auto"/>
        <w:ind w:left="-10" w:firstLine="10"/>
        <w:jc w:val="both"/>
        <w:rPr>
          <w:rFonts w:ascii="Calibri" w:hAnsi="Calibri" w:cs="Calibri"/>
        </w:rPr>
      </w:pPr>
      <w:r>
        <w:rPr>
          <w:rFonts w:cstheme="minorHAnsi"/>
          <w:sz w:val="20"/>
          <w:szCs w:val="20"/>
        </w:rPr>
        <w:t>A utilização da Ata de Registro de Preços por órgãos e entidades não participantes da presente licitação obedecerá aos quantitativos estimados, prazos, limites e demais condições estabelecidas na minuta da Ata de Registro de Preços, constante do Anexo III deste Edital.</w:t>
      </w:r>
    </w:p>
    <w:p>
      <w:pPr>
        <w:pStyle w:val="37"/>
        <w:spacing w:before="120" w:after="120" w:line="360" w:lineRule="auto"/>
        <w:jc w:val="both"/>
        <w:rPr>
          <w:rFonts w:ascii="Calibri" w:hAnsi="Calibri" w:cs="Calibri"/>
        </w:rPr>
      </w:pPr>
      <w:r>
        <w:rPr>
          <w:rFonts w:ascii="Calibri" w:hAnsi="Calibri" w:cs="Calibri"/>
          <w:b/>
          <w:bCs/>
        </w:rPr>
        <w:t>1.3.</w:t>
      </w:r>
      <w:r>
        <w:rPr>
          <w:rFonts w:ascii="Calibri" w:hAnsi="Calibri" w:cs="Calibri"/>
        </w:rPr>
        <w:t xml:space="preserve"> O objeto desta licitação será dividido em itens, conforme tabela constante do Termo de Referência (Anexo I), facultando-se à licitante a participação em quantos itens forem de seu interesse. </w:t>
      </w:r>
    </w:p>
    <w:p>
      <w:pPr>
        <w:pStyle w:val="37"/>
        <w:spacing w:before="120" w:after="120" w:line="360" w:lineRule="auto"/>
        <w:jc w:val="both"/>
        <w:rPr>
          <w:rFonts w:ascii="Calibri" w:hAnsi="Calibri" w:cs="Calibri"/>
        </w:rPr>
      </w:pPr>
      <w:r>
        <w:rPr>
          <w:rFonts w:ascii="Calibri" w:hAnsi="Calibri" w:cs="Calibri"/>
          <w:b/>
        </w:rPr>
        <w:t>1.4.</w:t>
      </w:r>
      <w:r>
        <w:rPr>
          <w:rFonts w:ascii="Calibri" w:hAnsi="Calibri" w:cs="Calibri"/>
        </w:rPr>
        <w:t xml:space="preserve"> Os itens 1, 2, 3, 4, 5, 6, 7, 8, 9, 10, 11, 12, 13, 14, 15, 16, 17, 18, 19, 20, 21, 22, 23, 24, 25, 26, 27, 28, 29 e 30 são de participação exclusiva a microempresas e empresas de pequeno porte, sendo vedada a subcontratação</w:t>
      </w:r>
      <w:bookmarkStart w:id="0" w:name="_Hlk1285530861"/>
      <w:bookmarkEnd w:id="0"/>
      <w:r>
        <w:rPr>
          <w:rFonts w:ascii="Calibri" w:hAnsi="Calibri" w:cs="Calibri"/>
        </w:rPr>
        <w:t>.</w:t>
      </w:r>
    </w:p>
    <w:p>
      <w:pPr>
        <w:spacing w:before="360" w:after="120" w:line="360" w:lineRule="auto"/>
        <w:ind w:left="-1701" w:right="-1276"/>
        <w:jc w:val="both"/>
        <w:rPr>
          <w:rFonts w:ascii="Calibri" w:hAnsi="Calibri" w:cs="Calibri"/>
          <w:b/>
          <w:bCs/>
          <w:sz w:val="20"/>
          <w:szCs w:val="20"/>
        </w:rPr>
      </w:pPr>
      <w:r>
        <w:rPr>
          <w:rFonts w:ascii="Calibri" w:hAnsi="Calibri" w:cs="Calibri"/>
          <w:sz w:val="20"/>
          <w:szCs w:val="20"/>
          <w:lang w:eastAsia="pt-BR"/>
        </w:rPr>
        <mc:AlternateContent>
          <mc:Choice Requires="wps">
            <w:drawing>
              <wp:inline distT="0" distB="2540" distL="0" distR="9525">
                <wp:extent cx="4538980" cy="363855"/>
                <wp:effectExtent l="0" t="0" r="0" b="0"/>
                <wp:docPr id="18" name="Forma5"/>
                <wp:cNvGraphicFramePr/>
                <a:graphic xmlns:a="http://schemas.openxmlformats.org/drawingml/2006/main">
                  <a:graphicData uri="http://schemas.microsoft.com/office/word/2010/wordprocessingShape">
                    <wps:wsp>
                      <wps:cNvSpPr/>
                      <wps:spPr>
                        <a:xfrm>
                          <a:off x="0" y="0"/>
                          <a:ext cx="453898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 xml:space="preserve"> 2. DA DESPESA E DOS RECURSOS ORÇAMENTÁRIOS</w:t>
                            </w:r>
                          </w:p>
                        </w:txbxContent>
                      </wps:txbx>
                      <wps:bodyPr anchor="ctr">
                        <a:noAutofit/>
                      </wps:bodyPr>
                    </wps:wsp>
                  </a:graphicData>
                </a:graphic>
              </wp:inline>
            </w:drawing>
          </mc:Choice>
          <mc:Fallback>
            <w:pict>
              <v:rect id="Forma5" o:spid="_x0000_s1026" o:spt="1" style="height:28.65pt;width:357.4pt;v-text-anchor:middle;" fillcolor="#33608E" filled="t" stroked="f" coordsize="21600,21600" o:gfxdata="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AsmzhbXAAAABAEAAA8AAAAAAAAAAQAgAAAAIgAAAGRycy9kb3ducmV2Lnht&#10;bFBLAQIUABQAAAAIAIdO4kAwlZCYwQEAAI4DAAAOAAAAAAAAAAEAIAAAACYBAABkcnMvZTJvRG9j&#10;LnhtbFBLBQYAAAAABgAGAFkBAABZ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 xml:space="preserve"> 2. DA DESPESA E DOS RECURSOS ORÇAMENTÁRIOS</w:t>
                      </w:r>
                    </w:p>
                  </w:txbxContent>
                </v:textbox>
                <w10:wrap type="none"/>
                <w10:anchorlock/>
              </v:rect>
            </w:pict>
          </mc:Fallback>
        </mc:AlternateContent>
      </w:r>
    </w:p>
    <w:p>
      <w:pPr>
        <w:pStyle w:val="14"/>
        <w:spacing w:before="120" w:beforeAutospacing="0" w:after="120"/>
        <w:ind w:right="120"/>
        <w:jc w:val="both"/>
        <w:rPr>
          <w:rFonts w:cs="Calibri" w:asciiTheme="minorHAnsi" w:hAnsiTheme="minorHAnsi"/>
          <w:color w:val="auto"/>
          <w:sz w:val="20"/>
          <w:szCs w:val="20"/>
        </w:rPr>
      </w:pPr>
      <w:r>
        <w:rPr>
          <w:rFonts w:cs="Calibri" w:asciiTheme="minorHAnsi" w:hAnsiTheme="minorHAnsi"/>
          <w:b/>
          <w:bCs/>
          <w:color w:val="auto"/>
          <w:sz w:val="20"/>
          <w:szCs w:val="20"/>
        </w:rPr>
        <w:t>2.1.</w:t>
      </w:r>
      <w:r>
        <w:rPr>
          <w:rFonts w:cs="Calibri" w:asciiTheme="minorHAnsi" w:hAnsiTheme="minorHAnsi"/>
          <w:color w:val="auto"/>
          <w:sz w:val="20"/>
          <w:szCs w:val="20"/>
        </w:rPr>
        <w:t xml:space="preserve"> A despesa total com a execução do objeto desta licitação é estimada em </w:t>
      </w:r>
      <w:r>
        <w:rPr>
          <w:rFonts w:cs="Calibri" w:asciiTheme="minorHAnsi" w:hAnsiTheme="minorHAnsi"/>
          <w:b/>
          <w:bCs/>
          <w:color w:val="auto"/>
          <w:sz w:val="20"/>
          <w:szCs w:val="20"/>
        </w:rPr>
        <w:t>R$</w:t>
      </w:r>
      <w:r>
        <w:rPr>
          <w:rFonts w:cs="Calibri" w:asciiTheme="minorHAnsi" w:hAnsiTheme="minorHAnsi"/>
          <w:color w:val="auto"/>
          <w:sz w:val="20"/>
          <w:szCs w:val="20"/>
        </w:rPr>
        <w:t> </w:t>
      </w:r>
      <w:r>
        <w:rPr>
          <w:rStyle w:val="4"/>
          <w:rFonts w:cs="Calibri" w:asciiTheme="minorHAnsi" w:hAnsiTheme="minorHAnsi"/>
          <w:color w:val="auto"/>
          <w:sz w:val="20"/>
          <w:szCs w:val="20"/>
        </w:rPr>
        <w:t>331.479,5650</w:t>
      </w:r>
      <w:r>
        <w:rPr>
          <w:rFonts w:eastAsia="SimSun" w:cs="Calibri" w:asciiTheme="minorHAnsi" w:hAnsiTheme="minorHAnsi"/>
          <w:color w:val="auto"/>
          <w:sz w:val="20"/>
          <w:szCs w:val="20"/>
        </w:rPr>
        <w:t xml:space="preserve"> (Trezentos e trinta  e um mil, quatrocentos e setenta e nove reais e cinco mil </w:t>
      </w:r>
      <w:r>
        <w:rPr>
          <w:rFonts w:eastAsia="Arial" w:cs="Arial" w:asciiTheme="minorHAnsi" w:hAnsiTheme="minorHAnsi"/>
          <w:color w:val="auto"/>
          <w:sz w:val="20"/>
          <w:szCs w:val="20"/>
          <w:shd w:val="clear" w:color="auto" w:fill="FFFFFF"/>
        </w:rPr>
        <w:t>seiscentos</w:t>
      </w:r>
      <w:r>
        <w:rPr>
          <w:rFonts w:eastAsia="SimSun" w:cs="Calibri" w:asciiTheme="minorHAnsi" w:hAnsiTheme="minorHAnsi"/>
          <w:color w:val="auto"/>
          <w:sz w:val="20"/>
          <w:szCs w:val="20"/>
        </w:rPr>
        <w:t xml:space="preserve"> e cinquenta milésimos de centavos)</w:t>
      </w:r>
      <w:r>
        <w:rPr>
          <w:rFonts w:eastAsia="Arial Unicode MS" w:cs="Calibri" w:asciiTheme="minorHAnsi" w:hAnsiTheme="minorHAnsi"/>
          <w:b/>
          <w:color w:val="auto"/>
          <w:sz w:val="20"/>
          <w:szCs w:val="20"/>
        </w:rPr>
        <w:t xml:space="preserve">, </w:t>
      </w:r>
      <w:r>
        <w:rPr>
          <w:rFonts w:eastAsia="Arial Unicode MS" w:cs="Calibri" w:asciiTheme="minorHAnsi" w:hAnsiTheme="minorHAnsi"/>
          <w:color w:val="auto"/>
          <w:sz w:val="20"/>
          <w:szCs w:val="20"/>
        </w:rPr>
        <w:t xml:space="preserve">distribuídos em </w:t>
      </w:r>
      <w:r>
        <w:rPr>
          <w:rFonts w:eastAsia="Arial Unicode MS" w:cs="Calibri" w:asciiTheme="minorHAnsi" w:hAnsiTheme="minorHAnsi"/>
          <w:color w:val="auto"/>
          <w:sz w:val="20"/>
          <w:szCs w:val="20"/>
          <w:u w:val="thick"/>
        </w:rPr>
        <w:t>itens</w:t>
      </w:r>
      <w:r>
        <w:rPr>
          <w:rFonts w:eastAsia="Arial Unicode MS" w:cs="Calibri" w:asciiTheme="minorHAnsi" w:hAnsiTheme="minorHAnsi"/>
          <w:color w:val="auto"/>
          <w:sz w:val="20"/>
          <w:szCs w:val="20"/>
        </w:rPr>
        <w:t>, na forma indicada no Termo de Referência.</w:t>
      </w:r>
    </w:p>
    <w:p>
      <w:pPr>
        <w:pStyle w:val="37"/>
        <w:spacing w:before="120" w:after="120" w:line="360" w:lineRule="auto"/>
        <w:jc w:val="both"/>
        <w:rPr>
          <w:rFonts w:cs="Calibri" w:asciiTheme="minorHAnsi" w:hAnsiTheme="minorHAnsi"/>
          <w:bCs/>
        </w:rPr>
      </w:pPr>
      <w:bookmarkStart w:id="1" w:name="_Hlk515944961"/>
      <w:bookmarkEnd w:id="1"/>
      <w:r>
        <w:rPr>
          <w:rFonts w:cs="Calibri" w:asciiTheme="minorHAnsi" w:hAnsiTheme="minorHAnsi"/>
          <w:b/>
        </w:rPr>
        <w:t>2.2.</w:t>
      </w:r>
      <w:r>
        <w:rPr>
          <w:rFonts w:cs="Calibri" w:asciiTheme="minorHAnsi" w:hAnsiTheme="minorHAnsi"/>
          <w:bCs/>
        </w:rPr>
        <w:t xml:space="preserve"> As despesas decorrentes desta licitação estão incluídas no orçamento do Estado de Pernambuco, para o presente exercício, na classificação abaixo:</w:t>
      </w:r>
    </w:p>
    <w:p>
      <w:pPr>
        <w:pStyle w:val="14"/>
        <w:spacing w:before="120" w:beforeAutospacing="0" w:after="120"/>
        <w:ind w:right="120"/>
        <w:jc w:val="both"/>
        <w:rPr>
          <w:rFonts w:ascii="Calibri" w:hAnsi="Calibri" w:cs="Calibri"/>
          <w:sz w:val="20"/>
          <w:szCs w:val="20"/>
          <w:highlight w:val="yellow"/>
        </w:rPr>
      </w:pPr>
      <w:r>
        <w:rPr>
          <w:rFonts w:cs="Calibri" w:asciiTheme="minorHAnsi" w:hAnsiTheme="minorHAnsi"/>
          <w:color w:val="auto"/>
          <w:sz w:val="20"/>
          <w:szCs w:val="20"/>
        </w:rPr>
        <w:t xml:space="preserve">Elemento de Despesa: </w:t>
      </w:r>
      <w:r>
        <w:rPr>
          <w:rStyle w:val="4"/>
          <w:rFonts w:cs="Calibri" w:asciiTheme="minorHAnsi" w:hAnsiTheme="minorHAnsi"/>
          <w:color w:val="auto"/>
          <w:sz w:val="20"/>
          <w:szCs w:val="20"/>
        </w:rPr>
        <w:t>3.3.90.30.</w:t>
      </w:r>
    </w:p>
    <w:p>
      <w:pPr>
        <w:spacing w:before="360" w:after="120" w:line="360" w:lineRule="auto"/>
        <w:ind w:left="-1701" w:right="-1418"/>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0">
                <wp:extent cx="3803650" cy="365125"/>
                <wp:effectExtent l="0" t="0" r="6350" b="15875"/>
                <wp:docPr id="19" name="Forma6"/>
                <wp:cNvGraphicFramePr/>
                <a:graphic xmlns:a="http://schemas.openxmlformats.org/drawingml/2006/main">
                  <a:graphicData uri="http://schemas.microsoft.com/office/word/2010/wordprocessingShape">
                    <wps:wsp>
                      <wps:cNvSpPr/>
                      <wps:spPr>
                        <a:xfrm>
                          <a:off x="0" y="0"/>
                          <a:ext cx="380365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rPr>
                                <w:rFonts w:ascii="Calibri" w:hAnsi="Calibri" w:cs="Calibri"/>
                                <w:b/>
                                <w:bCs/>
                                <w:color w:val="FFFFFF" w:themeColor="background1"/>
                                <w:sz w:val="24"/>
                                <w:szCs w:val="24"/>
                                <w14:textFill>
                                  <w14:solidFill>
                                    <w14:schemeClr w14:val="bg1"/>
                                  </w14:solidFill>
                                </w14:textFill>
                              </w:rPr>
                            </w:pPr>
                            <w:r>
                              <w:rPr>
                                <w:rFonts w:ascii="Bahnschrift" w:hAnsi="Bahnschrift" w:cs="Arial"/>
                                <w:b/>
                                <w:bCs/>
                                <w:color w:val="FFFFFF" w:themeColor="background1"/>
                                <w:sz w:val="24"/>
                                <w:szCs w:val="24"/>
                                <w14:textFill>
                                  <w14:solidFill>
                                    <w14:schemeClr w14:val="bg1"/>
                                  </w14:solidFill>
                                </w14:textFill>
                              </w:rPr>
                              <w:t xml:space="preserve"> </w:t>
                            </w:r>
                            <w:r>
                              <w:rPr>
                                <w:rFonts w:hint="default" w:ascii="Bahnschrift" w:hAnsi="Bahnschrift" w:cs="Arial"/>
                                <w:b/>
                                <w:bCs/>
                                <w:color w:val="FFFFFF" w:themeColor="background1"/>
                                <w:sz w:val="24"/>
                                <w:szCs w:val="24"/>
                                <w:lang w:val="pt-BR"/>
                                <w14:textFill>
                                  <w14:solidFill>
                                    <w14:schemeClr w14:val="bg1"/>
                                  </w14:solidFill>
                                </w14:textFill>
                              </w:rPr>
                              <w:t xml:space="preserve">      </w:t>
                            </w:r>
                            <w:r>
                              <w:rPr>
                                <w:rFonts w:ascii="Calibri" w:hAnsi="Calibri" w:cs="Calibri"/>
                                <w:b/>
                                <w:bCs/>
                                <w:color w:val="FFFFFF" w:themeColor="background1"/>
                                <w:sz w:val="24"/>
                                <w:szCs w:val="24"/>
                                <w14:textFill>
                                  <w14:solidFill>
                                    <w14:schemeClr w14:val="bg1"/>
                                  </w14:solidFill>
                                </w14:textFill>
                              </w:rPr>
                              <w:t>3. DA PARTICIPAÇÃO NA LICITAÇÃO</w:t>
                            </w:r>
                          </w:p>
                        </w:txbxContent>
                      </wps:txbx>
                      <wps:bodyPr anchor="ctr">
                        <a:noAutofit/>
                      </wps:bodyPr>
                    </wps:wsp>
                  </a:graphicData>
                </a:graphic>
              </wp:inline>
            </w:drawing>
          </mc:Choice>
          <mc:Fallback>
            <w:pict>
              <v:rect id="Forma6" o:spid="_x0000_s1026" o:spt="1" style="height:28.75pt;width:299.5pt;v-text-anchor:middle;" fillcolor="#33608E" filled="t" stroked="f" coordsize="21600,21600" o:gfxdata="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LNQqS1gAAAAQBAAAPAAAAAAAAAAEAIAAAACIAAABkcnMvZG93bnJldi54bWxQ&#10;SwECFAAUAAAACACHTuJAe8ava8ABAACOAwAADgAAAAAAAAABACAAAAAlAQAAZHJzL2Uyb0RvYy54&#10;bWxQSwUGAAAAAAYABgBZAQAAVwUAAAAA&#10;">
                <v:fill on="t" focussize="0,0"/>
                <v:stroke on="f" weight="1pt"/>
                <v:imagedata o:title=""/>
                <o:lock v:ext="edit" aspectratio="f"/>
                <v:textbox>
                  <w:txbxContent>
                    <w:p>
                      <w:pPr>
                        <w:pStyle w:val="39"/>
                        <w:spacing w:after="0"/>
                        <w:ind w:left="567" w:right="283"/>
                        <w:rPr>
                          <w:rFonts w:ascii="Calibri" w:hAnsi="Calibri" w:cs="Calibri"/>
                          <w:b/>
                          <w:bCs/>
                          <w:color w:val="FFFFFF" w:themeColor="background1"/>
                          <w:sz w:val="24"/>
                          <w:szCs w:val="24"/>
                          <w14:textFill>
                            <w14:solidFill>
                              <w14:schemeClr w14:val="bg1"/>
                            </w14:solidFill>
                          </w14:textFill>
                        </w:rPr>
                      </w:pPr>
                      <w:r>
                        <w:rPr>
                          <w:rFonts w:ascii="Bahnschrift" w:hAnsi="Bahnschrift" w:cs="Arial"/>
                          <w:b/>
                          <w:bCs/>
                          <w:color w:val="FFFFFF" w:themeColor="background1"/>
                          <w:sz w:val="24"/>
                          <w:szCs w:val="24"/>
                          <w14:textFill>
                            <w14:solidFill>
                              <w14:schemeClr w14:val="bg1"/>
                            </w14:solidFill>
                          </w14:textFill>
                        </w:rPr>
                        <w:t xml:space="preserve"> </w:t>
                      </w:r>
                      <w:r>
                        <w:rPr>
                          <w:rFonts w:hint="default" w:ascii="Bahnschrift" w:hAnsi="Bahnschrift" w:cs="Arial"/>
                          <w:b/>
                          <w:bCs/>
                          <w:color w:val="FFFFFF" w:themeColor="background1"/>
                          <w:sz w:val="24"/>
                          <w:szCs w:val="24"/>
                          <w:lang w:val="pt-BR"/>
                          <w14:textFill>
                            <w14:solidFill>
                              <w14:schemeClr w14:val="bg1"/>
                            </w14:solidFill>
                          </w14:textFill>
                        </w:rPr>
                        <w:t xml:space="preserve">      </w:t>
                      </w:r>
                      <w:r>
                        <w:rPr>
                          <w:rFonts w:ascii="Calibri" w:hAnsi="Calibri" w:cs="Calibri"/>
                          <w:b/>
                          <w:bCs/>
                          <w:color w:val="FFFFFF" w:themeColor="background1"/>
                          <w:sz w:val="24"/>
                          <w:szCs w:val="24"/>
                          <w14:textFill>
                            <w14:solidFill>
                              <w14:schemeClr w14:val="bg1"/>
                            </w14:solidFill>
                          </w14:textFill>
                        </w:rPr>
                        <w:t>3. DA PARTICIPAÇÃO NA LICITAÇÃO</w:t>
                      </w:r>
                    </w:p>
                  </w:txbxContent>
                </v:textbox>
                <w10:wrap type="none"/>
                <w10:anchorlock/>
              </v:rect>
            </w:pict>
          </mc:Fallback>
        </mc:AlternateContent>
      </w:r>
      <w:bookmarkStart w:id="2" w:name="_Hlk51594509"/>
      <w:bookmarkEnd w:id="2"/>
    </w:p>
    <w:p>
      <w:pPr>
        <w:spacing w:before="120" w:after="120" w:line="360" w:lineRule="auto"/>
        <w:jc w:val="both"/>
        <w:rPr>
          <w:rFonts w:cstheme="minorHAnsi"/>
          <w:sz w:val="20"/>
          <w:szCs w:val="20"/>
        </w:rPr>
      </w:pPr>
      <w:bookmarkStart w:id="3" w:name="_Hlk128412690"/>
      <w:r>
        <w:rPr>
          <w:rFonts w:cstheme="minorHAnsi"/>
          <w:b/>
          <w:bCs/>
          <w:sz w:val="20"/>
          <w:szCs w:val="20"/>
        </w:rPr>
        <w:t xml:space="preserve"> 3.1.</w:t>
      </w:r>
      <w:r>
        <w:rPr>
          <w:rFonts w:cstheme="minorHAnsi"/>
          <w:sz w:val="20"/>
          <w:szCs w:val="20"/>
        </w:rPr>
        <w:t xml:space="preserve"> A licitante interessada em participar desta licitação deverá estar previamente cadastrado no sistema PE-Integrado, adotando as seguintes providências:  </w:t>
      </w:r>
    </w:p>
    <w:p>
      <w:pPr>
        <w:spacing w:before="120" w:after="120" w:line="360" w:lineRule="auto"/>
        <w:jc w:val="both"/>
        <w:rPr>
          <w:rFonts w:cstheme="minorHAnsi"/>
          <w:sz w:val="20"/>
          <w:szCs w:val="20"/>
        </w:rPr>
      </w:pPr>
      <w:r>
        <w:rPr>
          <w:rFonts w:cstheme="minorHAnsi"/>
          <w:b/>
          <w:bCs/>
          <w:sz w:val="20"/>
          <w:szCs w:val="20"/>
        </w:rPr>
        <w:t>3.1.1.</w:t>
      </w:r>
      <w:r>
        <w:rPr>
          <w:rFonts w:cstheme="minorHAnsi"/>
          <w:sz w:val="20"/>
          <w:szCs w:val="20"/>
        </w:rPr>
        <w:t xml:space="preserve"> A interessada deverá realizar o cadastramento junto ao sistema PE-INTEGRADO, no endereço </w:t>
      </w:r>
      <w:r>
        <w:fldChar w:fldCharType="begin"/>
      </w:r>
      <w:r>
        <w:instrText xml:space="preserve"> HYPERLINK "http://www.peintegrado.pe.gov.br/" \h </w:instrText>
      </w:r>
      <w:r>
        <w:fldChar w:fldCharType="separate"/>
      </w:r>
      <w:r>
        <w:rPr>
          <w:rStyle w:val="7"/>
          <w:rFonts w:cstheme="minorHAnsi"/>
          <w:color w:val="auto"/>
          <w:sz w:val="20"/>
          <w:szCs w:val="20"/>
        </w:rPr>
        <w:t>www.peintegrado.pe.gov.br</w:t>
      </w:r>
      <w:r>
        <w:rPr>
          <w:rStyle w:val="7"/>
          <w:rFonts w:cstheme="minorHAnsi"/>
          <w:color w:val="auto"/>
          <w:sz w:val="20"/>
          <w:szCs w:val="20"/>
        </w:rPr>
        <w:fldChar w:fldCharType="end"/>
      </w:r>
      <w:r>
        <w:rPr>
          <w:rFonts w:cstheme="minorHAnsi"/>
          <w:sz w:val="20"/>
          <w:szCs w:val="20"/>
        </w:rPr>
        <w:t>, através do link “Cadastre-se no sistema”;</w:t>
      </w:r>
    </w:p>
    <w:p>
      <w:pPr>
        <w:spacing w:before="120" w:after="120" w:line="360" w:lineRule="auto"/>
        <w:jc w:val="both"/>
        <w:rPr>
          <w:rFonts w:cstheme="minorHAnsi"/>
          <w:sz w:val="20"/>
          <w:szCs w:val="20"/>
        </w:rPr>
      </w:pPr>
      <w:r>
        <w:rPr>
          <w:rFonts w:cstheme="minorHAnsi"/>
          <w:b/>
          <w:bCs/>
          <w:sz w:val="20"/>
          <w:szCs w:val="20"/>
        </w:rPr>
        <w:t>3.1.2.</w:t>
      </w:r>
      <w:r>
        <w:rPr>
          <w:rFonts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login pessoal de acesso ao sistema;</w:t>
      </w:r>
    </w:p>
    <w:p>
      <w:pPr>
        <w:spacing w:before="120" w:after="120" w:line="360" w:lineRule="auto"/>
        <w:jc w:val="both"/>
        <w:rPr>
          <w:rFonts w:cstheme="minorHAnsi"/>
          <w:sz w:val="20"/>
          <w:szCs w:val="20"/>
        </w:rPr>
      </w:pPr>
      <w:r>
        <w:rPr>
          <w:rFonts w:cstheme="minorHAnsi"/>
          <w:b/>
          <w:bCs/>
          <w:sz w:val="20"/>
          <w:szCs w:val="20"/>
        </w:rPr>
        <w:t xml:space="preserve">3.1.3. </w:t>
      </w:r>
      <w:r>
        <w:rPr>
          <w:rFonts w:cstheme="minorHAnsi"/>
          <w:sz w:val="20"/>
          <w:szCs w:val="20"/>
        </w:rPr>
        <w:t>O login e a senha poderão ser utilizados em qualquer modalidade de licitação sob a forma eletrônica, salvo quando canceladas por solicitação do credenciado ou por iniciativa do Governo do Estado, devidamente justificada;</w:t>
      </w:r>
    </w:p>
    <w:p>
      <w:pPr>
        <w:spacing w:before="120" w:after="120" w:line="360" w:lineRule="auto"/>
        <w:jc w:val="both"/>
        <w:rPr>
          <w:rFonts w:cstheme="minorHAnsi"/>
          <w:sz w:val="20"/>
          <w:szCs w:val="20"/>
        </w:rPr>
      </w:pPr>
      <w:r>
        <w:rPr>
          <w:rFonts w:cstheme="minorHAnsi"/>
          <w:b/>
          <w:bCs/>
          <w:sz w:val="20"/>
          <w:szCs w:val="20"/>
        </w:rPr>
        <w:t>3.1.4.</w:t>
      </w:r>
      <w:r>
        <w:rPr>
          <w:rFonts w:cstheme="minorHAnsi"/>
          <w:sz w:val="20"/>
          <w:szCs w:val="20"/>
        </w:rPr>
        <w:t xml:space="preserve"> Para fins de credenciamento e operacionalização do sistema PE-INTEGRADO, indica-se que as licitantes utilizem o navegador "Google Chrome", responsabilizando-se por eventual ônus decorrente da perda de negócios diante da inobservância desta disposição;</w:t>
      </w:r>
      <w:bookmarkStart w:id="4" w:name="_Hlk128412532"/>
    </w:p>
    <w:p>
      <w:pPr>
        <w:spacing w:before="120" w:after="120" w:line="360" w:lineRule="auto"/>
        <w:jc w:val="both"/>
        <w:rPr>
          <w:rFonts w:cstheme="minorHAnsi"/>
          <w:sz w:val="20"/>
          <w:szCs w:val="20"/>
        </w:rPr>
      </w:pPr>
      <w:r>
        <w:rPr>
          <w:rFonts w:cstheme="minorHAnsi"/>
          <w:b/>
          <w:bCs/>
          <w:sz w:val="20"/>
          <w:szCs w:val="20"/>
        </w:rPr>
        <w:t>3.1.5.</w:t>
      </w:r>
      <w:r>
        <w:rPr>
          <w:rFonts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r>
        <w:fldChar w:fldCharType="begin"/>
      </w:r>
      <w:r>
        <w:instrText xml:space="preserve"> HYPERLINK "mailto:suporte.peintegrado@sad.pe.gov.br" </w:instrText>
      </w:r>
      <w:r>
        <w:fldChar w:fldCharType="separate"/>
      </w:r>
      <w:r>
        <w:rPr>
          <w:rStyle w:val="7"/>
          <w:rFonts w:cstheme="minorHAnsi"/>
          <w:color w:val="auto"/>
          <w:sz w:val="20"/>
          <w:szCs w:val="20"/>
        </w:rPr>
        <w:t>suporte.peintegrado@sad.pe.gov.br</w:t>
      </w:r>
      <w:r>
        <w:rPr>
          <w:rStyle w:val="7"/>
          <w:rFonts w:cstheme="minorHAnsi"/>
          <w:color w:val="auto"/>
          <w:sz w:val="20"/>
          <w:szCs w:val="20"/>
        </w:rPr>
        <w:fldChar w:fldCharType="end"/>
      </w:r>
      <w:r>
        <w:rPr>
          <w:rFonts w:cstheme="minorHAnsi"/>
          <w:sz w:val="20"/>
          <w:szCs w:val="20"/>
        </w:rPr>
        <w:t>.</w:t>
      </w:r>
      <w:bookmarkEnd w:id="4"/>
    </w:p>
    <w:p>
      <w:pPr>
        <w:spacing w:before="120" w:after="120" w:line="360" w:lineRule="auto"/>
        <w:jc w:val="both"/>
        <w:rPr>
          <w:rFonts w:cstheme="minorHAnsi"/>
          <w:sz w:val="20"/>
          <w:szCs w:val="20"/>
        </w:rPr>
      </w:pPr>
      <w:r>
        <w:rPr>
          <w:rFonts w:cstheme="minorHAnsi"/>
          <w:b/>
          <w:bCs/>
          <w:sz w:val="20"/>
          <w:szCs w:val="20"/>
        </w:rPr>
        <w:t>3.2.</w:t>
      </w:r>
      <w:r>
        <w:rPr>
          <w:rFonts w:cstheme="minorHAnsi"/>
          <w:sz w:val="20"/>
          <w:szCs w:val="20"/>
        </w:rPr>
        <w:t xml:space="preserve"> A participação nesta licitação dar-se-á por meio da digitação da senha pessoal e intransferível do representante credenciado.</w:t>
      </w:r>
    </w:p>
    <w:p>
      <w:pPr>
        <w:spacing w:before="120" w:after="120" w:line="360" w:lineRule="auto"/>
        <w:jc w:val="both"/>
        <w:rPr>
          <w:rFonts w:cstheme="minorHAnsi"/>
          <w:sz w:val="20"/>
          <w:szCs w:val="20"/>
        </w:rPr>
      </w:pPr>
      <w:r>
        <w:rPr>
          <w:rFonts w:cstheme="minorHAnsi"/>
          <w:b/>
          <w:bCs/>
          <w:sz w:val="20"/>
          <w:szCs w:val="20"/>
        </w:rPr>
        <w:t xml:space="preserve">3.2.1. </w:t>
      </w:r>
      <w:r>
        <w:rPr>
          <w:rFonts w:cstheme="minorHAnsi"/>
          <w:sz w:val="20"/>
          <w:szCs w:val="20"/>
        </w:rPr>
        <w:t>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pPr>
        <w:spacing w:before="120" w:after="120" w:line="360" w:lineRule="auto"/>
        <w:jc w:val="both"/>
        <w:rPr>
          <w:rFonts w:cstheme="minorHAnsi"/>
          <w:sz w:val="20"/>
          <w:szCs w:val="20"/>
        </w:rPr>
      </w:pPr>
      <w:r>
        <w:rPr>
          <w:rFonts w:cstheme="minorHAnsi"/>
          <w:b/>
          <w:bCs/>
          <w:sz w:val="20"/>
          <w:szCs w:val="20"/>
        </w:rPr>
        <w:t>3.2.2.</w:t>
      </w:r>
      <w:r>
        <w:rPr>
          <w:rFonts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pPr>
        <w:spacing w:before="120" w:after="120" w:line="360" w:lineRule="auto"/>
        <w:jc w:val="both"/>
        <w:rPr>
          <w:rFonts w:cstheme="minorHAnsi"/>
          <w:sz w:val="20"/>
          <w:szCs w:val="20"/>
        </w:rPr>
      </w:pPr>
      <w:r>
        <w:rPr>
          <w:rFonts w:cstheme="minorHAnsi"/>
          <w:b/>
          <w:sz w:val="20"/>
          <w:szCs w:val="20"/>
        </w:rPr>
        <w:t xml:space="preserve">3.2.3. </w:t>
      </w:r>
      <w:bookmarkStart w:id="5" w:name="_Hlk128552632"/>
      <w:r>
        <w:rPr>
          <w:rFonts w:cstheme="minorHAnsi"/>
          <w:sz w:val="20"/>
          <w:szCs w:val="20"/>
        </w:rPr>
        <w:t>Na hipótese de a licitante possuir mais de um login cadastrado no PE-INTEGRADO, o sistema não permitirá que sejam utilizados simultaneamente, na mesma licitação.</w:t>
      </w:r>
    </w:p>
    <w:p>
      <w:pPr>
        <w:spacing w:before="120" w:after="120" w:line="360" w:lineRule="auto"/>
        <w:jc w:val="both"/>
        <w:rPr>
          <w:rFonts w:cstheme="minorHAnsi"/>
          <w:sz w:val="20"/>
          <w:szCs w:val="20"/>
        </w:rPr>
      </w:pPr>
      <w:r>
        <w:rPr>
          <w:rFonts w:cstheme="minorHAnsi"/>
          <w:b/>
          <w:sz w:val="20"/>
          <w:szCs w:val="20"/>
        </w:rPr>
        <w:t>3.2.3.1.</w:t>
      </w:r>
      <w:r>
        <w:rPr>
          <w:rFonts w:cstheme="minorHAnsi"/>
          <w:sz w:val="20"/>
          <w:szCs w:val="20"/>
        </w:rPr>
        <w:t xml:space="preserve"> Caso haja usuário “ativo” no processo, a conexão de outro usuário desconectará o anterior automaticamente, a fim de que não existam usuários simultâneos no mesmo processo.</w:t>
      </w:r>
      <w:bookmarkEnd w:id="5"/>
      <w:bookmarkStart w:id="6" w:name="_Hlk128553488"/>
    </w:p>
    <w:p>
      <w:pPr>
        <w:spacing w:before="120" w:after="120" w:line="360" w:lineRule="auto"/>
        <w:jc w:val="both"/>
        <w:rPr>
          <w:rFonts w:cstheme="minorHAnsi"/>
          <w:sz w:val="20"/>
          <w:szCs w:val="20"/>
        </w:rPr>
      </w:pPr>
      <w:r>
        <w:rPr>
          <w:rFonts w:cstheme="minorHAnsi"/>
          <w:b/>
          <w:bCs/>
          <w:sz w:val="20"/>
          <w:szCs w:val="20"/>
        </w:rPr>
        <w:t>3.3.</w:t>
      </w:r>
      <w:r>
        <w:rPr>
          <w:rFonts w:cstheme="minorHAnsi"/>
          <w:sz w:val="20"/>
          <w:szCs w:val="20"/>
        </w:rPr>
        <w:t xml:space="preserve"> Não poderão participar desta licitação:</w:t>
      </w:r>
    </w:p>
    <w:p>
      <w:pPr>
        <w:spacing w:before="120" w:after="120" w:line="360" w:lineRule="auto"/>
        <w:jc w:val="both"/>
        <w:rPr>
          <w:rFonts w:cstheme="minorHAnsi"/>
          <w:sz w:val="20"/>
          <w:szCs w:val="20"/>
        </w:rPr>
      </w:pPr>
      <w:bookmarkStart w:id="7" w:name="_Hlk128412842"/>
      <w:r>
        <w:rPr>
          <w:rFonts w:cstheme="minorHAnsi"/>
          <w:b/>
          <w:bCs/>
          <w:sz w:val="20"/>
          <w:szCs w:val="20"/>
        </w:rPr>
        <w:t>3.3.1.</w:t>
      </w:r>
      <w:r>
        <w:rPr>
          <w:rFonts w:cstheme="minorHAnsi"/>
          <w:sz w:val="20"/>
          <w:szCs w:val="20"/>
        </w:rPr>
        <w:t xml:space="preserve"> Pessoa física ou jurídica impedida de licitar e contratar com a Administração Direta e Indireta do Estado de Pernambuco, nos termos do art. 156, III e § 4º, da Lei nº 14.133/2021, e do art. 7º da Lei Federal nº 10.520, de 17 de julho de 2002, durante o prazo da sanção aplicada ou até que seja promovida sua reabilitação;</w:t>
      </w:r>
    </w:p>
    <w:p>
      <w:pPr>
        <w:spacing w:before="120" w:after="120" w:line="360" w:lineRule="auto"/>
        <w:jc w:val="both"/>
        <w:rPr>
          <w:rFonts w:cstheme="minorHAnsi"/>
          <w:sz w:val="20"/>
          <w:szCs w:val="20"/>
        </w:rPr>
      </w:pPr>
      <w:r>
        <w:rPr>
          <w:rFonts w:cstheme="minorHAnsi"/>
          <w:b/>
          <w:bCs/>
          <w:sz w:val="20"/>
          <w:szCs w:val="20"/>
        </w:rPr>
        <w:t>3.</w:t>
      </w:r>
      <w:r>
        <w:rPr>
          <w:rFonts w:cstheme="minorHAnsi"/>
          <w:b/>
          <w:sz w:val="20"/>
          <w:szCs w:val="20"/>
        </w:rPr>
        <w:t>3.2.</w:t>
      </w:r>
      <w:r>
        <w:rPr>
          <w:rFonts w:cstheme="minorHAnsi"/>
          <w:sz w:val="20"/>
          <w:szCs w:val="20"/>
        </w:rPr>
        <w:t xml:space="preserve"> </w:t>
      </w:r>
      <w:r>
        <w:rPr>
          <w:rFonts w:eastAsia="Calibri" w:cstheme="minorHAnsi"/>
          <w:sz w:val="20"/>
          <w:szCs w:val="20"/>
        </w:rPr>
        <w:t xml:space="preserve">Pessoa física ou jurídica suspensa temporariamente de participar </w:t>
      </w:r>
      <w:r>
        <w:rPr>
          <w:rFonts w:cstheme="minorHAnsi"/>
          <w:sz w:val="20"/>
          <w:szCs w:val="20"/>
          <w:shd w:val="clear" w:color="auto" w:fill="FFFFFF"/>
        </w:rPr>
        <w:t>em licitação e impedimento de contratar com a Administração, nos termos do art. 87, III, da Lei federal nº 8.666, de 1993;</w:t>
      </w:r>
    </w:p>
    <w:p>
      <w:pPr>
        <w:spacing w:before="120" w:after="120" w:line="360" w:lineRule="auto"/>
        <w:jc w:val="both"/>
        <w:rPr>
          <w:rFonts w:cstheme="minorHAnsi"/>
          <w:sz w:val="20"/>
          <w:szCs w:val="20"/>
        </w:rPr>
      </w:pPr>
      <w:r>
        <w:rPr>
          <w:rFonts w:cstheme="minorHAnsi"/>
          <w:b/>
          <w:bCs/>
          <w:sz w:val="20"/>
          <w:szCs w:val="20"/>
        </w:rPr>
        <w:t xml:space="preserve">3.3.3. </w:t>
      </w:r>
      <w:r>
        <w:rPr>
          <w:rFonts w:cstheme="minorHAnsi"/>
          <w:sz w:val="20"/>
          <w:szCs w:val="20"/>
        </w:rPr>
        <w:t xml:space="preserve">Pessoa física ou jurídica declarada inidônea para licitar ou contratar com toda a Administração Pública, nos termos do art. 156, IV e §5º, da Lei 14.133/2021, </w:t>
      </w:r>
      <w:r>
        <w:rPr>
          <w:rFonts w:eastAsia="Calibri" w:cstheme="minorHAnsi"/>
          <w:sz w:val="20"/>
          <w:szCs w:val="20"/>
        </w:rPr>
        <w:t xml:space="preserve">e </w:t>
      </w:r>
      <w:r>
        <w:rPr>
          <w:rFonts w:cstheme="minorHAnsi"/>
          <w:sz w:val="20"/>
          <w:szCs w:val="20"/>
          <w:shd w:val="clear" w:color="auto" w:fill="FFFFFF"/>
        </w:rPr>
        <w:t xml:space="preserve">do art. 87, IV, da Lei Federal nº 8.666, de 1993, </w:t>
      </w:r>
      <w:r>
        <w:rPr>
          <w:rFonts w:cstheme="minorHAnsi"/>
          <w:sz w:val="20"/>
          <w:szCs w:val="20"/>
        </w:rPr>
        <w:t>durante o prazo da sanção aplicada ou até que seja promovida sua reabilitação;</w:t>
      </w:r>
    </w:p>
    <w:p>
      <w:pPr>
        <w:spacing w:before="120" w:after="120" w:line="360" w:lineRule="auto"/>
        <w:jc w:val="both"/>
        <w:rPr>
          <w:rFonts w:cstheme="minorHAnsi"/>
          <w:b/>
          <w:bCs/>
          <w:sz w:val="20"/>
          <w:szCs w:val="20"/>
        </w:rPr>
      </w:pPr>
      <w:r>
        <w:rPr>
          <w:rFonts w:cstheme="minorHAnsi"/>
          <w:b/>
          <w:bCs/>
          <w:sz w:val="20"/>
          <w:szCs w:val="20"/>
        </w:rPr>
        <w:t xml:space="preserve">3.3.4. </w:t>
      </w:r>
      <w:r>
        <w:rPr>
          <w:rFonts w:cstheme="minorHAnsi"/>
          <w:sz w:val="20"/>
          <w:szCs w:val="20"/>
        </w:rPr>
        <w:t>Pessoa física ou jurídica que tenha sido proibida de contratar com o Poder Público em razão de condenação por ato de improbidade administrativa, nos termos do artigo 12 da Lei Federal nº 8.429/1992;</w:t>
      </w:r>
    </w:p>
    <w:p>
      <w:pPr>
        <w:spacing w:before="120" w:after="120" w:line="360" w:lineRule="auto"/>
        <w:jc w:val="both"/>
        <w:rPr>
          <w:rFonts w:cstheme="minorHAnsi"/>
          <w:sz w:val="20"/>
          <w:szCs w:val="20"/>
        </w:rPr>
      </w:pPr>
      <w:r>
        <w:rPr>
          <w:rFonts w:cstheme="minorHAnsi"/>
          <w:b/>
          <w:bCs/>
          <w:sz w:val="20"/>
          <w:szCs w:val="20"/>
        </w:rPr>
        <w:t>3.3.5.</w:t>
      </w:r>
      <w:r>
        <w:rPr>
          <w:rFonts w:cstheme="minorHAnsi"/>
          <w:sz w:val="20"/>
          <w:szCs w:val="20"/>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spacing w:before="120" w:after="120" w:line="360" w:lineRule="auto"/>
        <w:jc w:val="both"/>
        <w:rPr>
          <w:rFonts w:cstheme="minorHAnsi"/>
          <w:sz w:val="20"/>
          <w:szCs w:val="20"/>
        </w:rPr>
      </w:pPr>
      <w:r>
        <w:rPr>
          <w:rFonts w:cstheme="minorHAnsi"/>
          <w:b/>
          <w:bCs/>
          <w:sz w:val="20"/>
          <w:szCs w:val="20"/>
        </w:rPr>
        <w:t>3.3.6.</w:t>
      </w:r>
      <w:r>
        <w:rPr>
          <w:rFonts w:cstheme="minorHAnsi"/>
          <w:sz w:val="20"/>
          <w:szCs w:val="20"/>
        </w:rPr>
        <w:t xml:space="preserve"> Pessoa física ou jurídica enquadrada nas vedações previstas no art. 14 da Lei nº 14.133/21;</w:t>
      </w:r>
    </w:p>
    <w:p>
      <w:pPr>
        <w:spacing w:before="120" w:after="120" w:line="360" w:lineRule="auto"/>
        <w:jc w:val="both"/>
        <w:rPr>
          <w:rFonts w:cstheme="minorHAnsi"/>
          <w:sz w:val="20"/>
          <w:szCs w:val="20"/>
        </w:rPr>
      </w:pPr>
      <w:r>
        <w:rPr>
          <w:rFonts w:cstheme="minorHAnsi"/>
          <w:b/>
          <w:bCs/>
          <w:sz w:val="20"/>
          <w:szCs w:val="20"/>
        </w:rPr>
        <w:t>3.3.7.</w:t>
      </w:r>
      <w:r>
        <w:rPr>
          <w:rFonts w:cstheme="minorHAnsi"/>
          <w:sz w:val="20"/>
          <w:szCs w:val="20"/>
        </w:rPr>
        <w:t xml:space="preserve"> Pessoa jurídica cujo ramo de atividade previsto em estatuto ou contrato social não seja pertinente e compatível com o objeto desta licitação;</w:t>
      </w:r>
    </w:p>
    <w:p>
      <w:pPr>
        <w:spacing w:before="120" w:after="120" w:line="360" w:lineRule="auto"/>
        <w:jc w:val="both"/>
        <w:rPr>
          <w:rFonts w:cstheme="minorHAnsi"/>
          <w:sz w:val="20"/>
          <w:szCs w:val="20"/>
        </w:rPr>
      </w:pPr>
      <w:r>
        <w:rPr>
          <w:rFonts w:cstheme="minorHAnsi"/>
          <w:b/>
          <w:bCs/>
          <w:sz w:val="20"/>
          <w:szCs w:val="20"/>
        </w:rPr>
        <w:t>3.3.8.</w:t>
      </w:r>
      <w:r>
        <w:rPr>
          <w:rFonts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w:t>
      </w:r>
      <w:r>
        <w:rPr>
          <w:rFonts w:cstheme="minorHAnsi"/>
          <w:sz w:val="20"/>
          <w:szCs w:val="20"/>
          <w:u w:val="single"/>
        </w:rPr>
        <w:t>§ 1º do art. 9º da Lei n.º 14.133, de 2021</w:t>
      </w:r>
      <w:r>
        <w:rPr>
          <w:rFonts w:cstheme="minorHAnsi"/>
          <w:sz w:val="20"/>
          <w:szCs w:val="20"/>
        </w:rPr>
        <w:t>;</w:t>
      </w:r>
    </w:p>
    <w:p>
      <w:pPr>
        <w:spacing w:before="120" w:after="120" w:line="360" w:lineRule="auto"/>
        <w:jc w:val="both"/>
        <w:rPr>
          <w:rFonts w:cstheme="minorHAnsi"/>
          <w:sz w:val="20"/>
          <w:szCs w:val="20"/>
        </w:rPr>
      </w:pPr>
      <w:r>
        <w:rPr>
          <w:rFonts w:cstheme="minorHAnsi"/>
          <w:b/>
          <w:bCs/>
          <w:sz w:val="20"/>
          <w:szCs w:val="20"/>
        </w:rPr>
        <w:t xml:space="preserve">3.3.9. </w:t>
      </w:r>
      <w:r>
        <w:rPr>
          <w:rFonts w:cstheme="minorHAnsi"/>
          <w:sz w:val="20"/>
          <w:szCs w:val="20"/>
        </w:rPr>
        <w:t>Pessoa física ou jurídica que integre o rol de pessoas sancionadas por agência oficial de cooperação estrangeira ou por organismo financeiro internacional;</w:t>
      </w:r>
    </w:p>
    <w:p>
      <w:pPr>
        <w:spacing w:before="120" w:after="120" w:line="360" w:lineRule="auto"/>
        <w:jc w:val="both"/>
        <w:rPr>
          <w:rFonts w:cstheme="minorHAnsi"/>
          <w:sz w:val="20"/>
          <w:szCs w:val="20"/>
        </w:rPr>
      </w:pPr>
      <w:r>
        <w:rPr>
          <w:rFonts w:cstheme="minorHAnsi"/>
          <w:b/>
          <w:bCs/>
          <w:sz w:val="20"/>
          <w:szCs w:val="20"/>
        </w:rPr>
        <w:t>3.3.10.</w:t>
      </w:r>
      <w:r>
        <w:rPr>
          <w:rFonts w:cstheme="minorHAnsi"/>
          <w:sz w:val="20"/>
          <w:szCs w:val="20"/>
        </w:rPr>
        <w:t xml:space="preserve"> Pessoas jurídicas reunidas em consórcio.</w:t>
      </w:r>
    </w:p>
    <w:p>
      <w:pPr>
        <w:pStyle w:val="10"/>
        <w:rPr>
          <w:rFonts w:hint="default" w:asciiTheme="minorAscii" w:hAnsiTheme="minorAscii"/>
          <w:b w:val="0"/>
          <w:bCs w:val="0"/>
          <w:color w:val="000000"/>
          <w:sz w:val="20"/>
          <w:szCs w:val="20"/>
          <w:lang w:val="pt-BR"/>
        </w:rPr>
      </w:pPr>
      <w:r>
        <w:rPr>
          <w:rFonts w:hint="default" w:cs="Calibri" w:asciiTheme="minorAscii" w:hAnsiTheme="minorAscii"/>
          <w:b/>
          <w:bCs/>
          <w:sz w:val="20"/>
          <w:szCs w:val="20"/>
          <w:lang w:val="pt-BR"/>
        </w:rPr>
        <w:t>3.3.11. A</w:t>
      </w:r>
      <w:r>
        <w:rPr>
          <w:rFonts w:hint="default" w:asciiTheme="minorAscii" w:hAnsiTheme="minorAscii"/>
          <w:b w:val="0"/>
          <w:bCs w:val="0"/>
          <w:color w:val="000000"/>
          <w:sz w:val="20"/>
          <w:szCs w:val="20"/>
        </w:rPr>
        <w:t xml:space="preserve">gricultor </w:t>
      </w:r>
      <w:r>
        <w:rPr>
          <w:rFonts w:hint="default" w:asciiTheme="minorAscii" w:hAnsiTheme="minorAscii"/>
          <w:b w:val="0"/>
          <w:bCs w:val="0"/>
          <w:color w:val="000000"/>
          <w:sz w:val="20"/>
          <w:szCs w:val="20"/>
          <w:lang w:val="pt-BR"/>
        </w:rPr>
        <w:t>F</w:t>
      </w:r>
      <w:r>
        <w:rPr>
          <w:rFonts w:hint="default" w:asciiTheme="minorAscii" w:hAnsiTheme="minorAscii"/>
          <w:b w:val="0"/>
          <w:bCs w:val="0"/>
          <w:color w:val="000000"/>
          <w:sz w:val="20"/>
          <w:szCs w:val="20"/>
        </w:rPr>
        <w:t xml:space="preserve">amiliar / </w:t>
      </w:r>
      <w:r>
        <w:rPr>
          <w:rFonts w:hint="default" w:asciiTheme="minorAscii" w:hAnsiTheme="minorAscii"/>
          <w:b w:val="0"/>
          <w:bCs w:val="0"/>
          <w:color w:val="000000"/>
          <w:sz w:val="20"/>
          <w:szCs w:val="20"/>
          <w:lang w:val="pt-BR"/>
        </w:rPr>
        <w:t>P</w:t>
      </w:r>
      <w:r>
        <w:rPr>
          <w:rFonts w:hint="default" w:asciiTheme="minorAscii" w:hAnsiTheme="minorAscii"/>
          <w:b w:val="0"/>
          <w:bCs w:val="0"/>
          <w:color w:val="000000"/>
          <w:sz w:val="20"/>
          <w:szCs w:val="20"/>
        </w:rPr>
        <w:t xml:space="preserve">rodutor </w:t>
      </w:r>
      <w:r>
        <w:rPr>
          <w:rFonts w:hint="default" w:asciiTheme="minorAscii" w:hAnsiTheme="minorAscii"/>
          <w:b w:val="0"/>
          <w:bCs w:val="0"/>
          <w:color w:val="000000"/>
          <w:sz w:val="20"/>
          <w:szCs w:val="20"/>
          <w:lang w:val="pt-BR"/>
        </w:rPr>
        <w:t>R</w:t>
      </w:r>
      <w:r>
        <w:rPr>
          <w:rFonts w:hint="default" w:asciiTheme="minorAscii" w:hAnsiTheme="minorAscii"/>
          <w:b w:val="0"/>
          <w:bCs w:val="0"/>
          <w:color w:val="000000"/>
          <w:sz w:val="20"/>
          <w:szCs w:val="20"/>
        </w:rPr>
        <w:t>ural</w:t>
      </w:r>
      <w:r>
        <w:rPr>
          <w:rFonts w:hint="default" w:asciiTheme="minorAscii" w:hAnsiTheme="minorAscii"/>
          <w:b w:val="0"/>
          <w:bCs w:val="0"/>
          <w:color w:val="000000"/>
          <w:sz w:val="20"/>
          <w:szCs w:val="20"/>
          <w:lang w:val="pt-BR"/>
        </w:rPr>
        <w:t>.</w:t>
      </w:r>
    </w:p>
    <w:p>
      <w:pPr>
        <w:pStyle w:val="10"/>
        <w:rPr>
          <w:rFonts w:hint="default" w:asciiTheme="minorAscii" w:hAnsiTheme="minorAscii"/>
          <w:b w:val="0"/>
          <w:bCs w:val="0"/>
          <w:color w:val="000000"/>
          <w:sz w:val="20"/>
          <w:szCs w:val="20"/>
          <w:lang w:val="pt-BR"/>
        </w:rPr>
      </w:pPr>
      <w:r>
        <w:rPr>
          <w:rFonts w:hint="default" w:asciiTheme="minorAscii" w:hAnsiTheme="minorAscii"/>
          <w:b/>
          <w:bCs/>
          <w:color w:val="000000"/>
          <w:sz w:val="20"/>
          <w:szCs w:val="20"/>
          <w:lang w:val="pt-BR"/>
        </w:rPr>
        <w:t>3.3.12.</w:t>
      </w:r>
      <w:r>
        <w:rPr>
          <w:rFonts w:hint="default" w:asciiTheme="minorAscii" w:hAnsiTheme="minorAscii"/>
          <w:b w:val="0"/>
          <w:bCs w:val="0"/>
          <w:color w:val="000000"/>
          <w:sz w:val="20"/>
          <w:szCs w:val="20"/>
          <w:lang w:val="pt-BR"/>
        </w:rPr>
        <w:t xml:space="preserve"> P</w:t>
      </w:r>
      <w:r>
        <w:rPr>
          <w:rFonts w:hint="default" w:asciiTheme="minorAscii" w:hAnsiTheme="minorAscii"/>
          <w:b w:val="0"/>
          <w:bCs w:val="0"/>
          <w:color w:val="000000"/>
          <w:sz w:val="20"/>
          <w:szCs w:val="20"/>
        </w:rPr>
        <w:t xml:space="preserve">essoas </w:t>
      </w:r>
      <w:r>
        <w:rPr>
          <w:rFonts w:hint="default" w:asciiTheme="minorAscii" w:hAnsiTheme="minorAscii"/>
          <w:b w:val="0"/>
          <w:bCs w:val="0"/>
          <w:color w:val="000000"/>
          <w:sz w:val="20"/>
          <w:szCs w:val="20"/>
          <w:lang w:val="pt-BR"/>
        </w:rPr>
        <w:t>F</w:t>
      </w:r>
      <w:r>
        <w:rPr>
          <w:rFonts w:hint="default" w:asciiTheme="minorAscii" w:hAnsiTheme="minorAscii"/>
          <w:b w:val="0"/>
          <w:bCs w:val="0"/>
          <w:color w:val="000000"/>
          <w:sz w:val="20"/>
          <w:szCs w:val="20"/>
        </w:rPr>
        <w:t>ísicas</w:t>
      </w:r>
    </w:p>
    <w:p>
      <w:pPr>
        <w:pStyle w:val="10"/>
        <w:rPr>
          <w:rFonts w:hint="default" w:asciiTheme="minorAscii" w:hAnsiTheme="minorAscii"/>
          <w:b w:val="0"/>
          <w:bCs w:val="0"/>
          <w:color w:val="000000"/>
          <w:sz w:val="20"/>
          <w:szCs w:val="20"/>
          <w:lang w:val="pt-BR"/>
        </w:rPr>
      </w:pPr>
      <w:r>
        <w:rPr>
          <w:rFonts w:hint="default" w:asciiTheme="minorAscii" w:hAnsiTheme="minorAscii"/>
          <w:b/>
          <w:bCs/>
          <w:color w:val="000000"/>
          <w:sz w:val="20"/>
          <w:szCs w:val="20"/>
          <w:lang w:val="pt-BR"/>
        </w:rPr>
        <w:t>3.3.13. P</w:t>
      </w:r>
      <w:r>
        <w:rPr>
          <w:rFonts w:hint="default" w:asciiTheme="minorAscii" w:hAnsiTheme="minorAscii"/>
          <w:b w:val="0"/>
          <w:bCs w:val="0"/>
          <w:sz w:val="20"/>
          <w:szCs w:val="20"/>
        </w:rPr>
        <w:t xml:space="preserve">rofissionais </w:t>
      </w:r>
      <w:r>
        <w:rPr>
          <w:rFonts w:hint="default" w:asciiTheme="minorAscii" w:hAnsiTheme="minorAscii"/>
          <w:b w:val="0"/>
          <w:bCs w:val="0"/>
          <w:sz w:val="20"/>
          <w:szCs w:val="20"/>
          <w:lang w:val="pt-BR"/>
        </w:rPr>
        <w:t>o</w:t>
      </w:r>
      <w:r>
        <w:rPr>
          <w:rFonts w:hint="default" w:asciiTheme="minorAscii" w:hAnsiTheme="minorAscii"/>
          <w:b w:val="0"/>
          <w:bCs w:val="0"/>
          <w:sz w:val="20"/>
          <w:szCs w:val="20"/>
        </w:rPr>
        <w:t xml:space="preserve">rganizados em </w:t>
      </w:r>
      <w:r>
        <w:rPr>
          <w:rFonts w:hint="default" w:asciiTheme="minorAscii" w:hAnsiTheme="minorAscii"/>
          <w:b w:val="0"/>
          <w:bCs w:val="0"/>
          <w:sz w:val="20"/>
          <w:szCs w:val="20"/>
          <w:lang w:val="pt-BR"/>
        </w:rPr>
        <w:t>C</w:t>
      </w:r>
      <w:r>
        <w:rPr>
          <w:rFonts w:hint="default" w:asciiTheme="minorAscii" w:hAnsiTheme="minorAscii"/>
          <w:b w:val="0"/>
          <w:bCs w:val="0"/>
          <w:sz w:val="20"/>
          <w:szCs w:val="20"/>
        </w:rPr>
        <w:t>ooperativa</w:t>
      </w:r>
      <w:r>
        <w:rPr>
          <w:rFonts w:hint="default" w:asciiTheme="minorAscii" w:hAnsiTheme="minorAscii"/>
          <w:b w:val="0"/>
          <w:bCs w:val="0"/>
          <w:color w:val="000000"/>
          <w:sz w:val="20"/>
          <w:szCs w:val="20"/>
          <w:lang w:val="pt-BR"/>
        </w:rPr>
        <w:t>.</w:t>
      </w:r>
    </w:p>
    <w:p>
      <w:pPr>
        <w:spacing w:before="120" w:after="120" w:line="360" w:lineRule="auto"/>
        <w:jc w:val="both"/>
        <w:rPr>
          <w:rFonts w:hint="default" w:cstheme="minorHAnsi"/>
          <w:sz w:val="20"/>
          <w:szCs w:val="20"/>
          <w:lang w:val="pt-BR"/>
        </w:rPr>
      </w:pPr>
    </w:p>
    <w:bookmarkEnd w:id="3"/>
    <w:bookmarkEnd w:id="6"/>
    <w:bookmarkEnd w:id="7"/>
    <w:p>
      <w:pPr>
        <w:spacing w:before="360" w:after="120" w:line="360" w:lineRule="auto"/>
        <w:ind w:left="-1701" w:right="-1276"/>
        <w:rPr>
          <w:rFonts w:ascii="Calibri" w:hAnsi="Calibri" w:cs="Calibri"/>
          <w:sz w:val="20"/>
          <w:szCs w:val="20"/>
        </w:rPr>
      </w:pPr>
      <w:r>
        <w:rPr>
          <w:rFonts w:ascii="Calibri" w:hAnsi="Calibri" w:cs="Calibri"/>
          <w:sz w:val="20"/>
          <w:szCs w:val="20"/>
          <w:lang w:eastAsia="pt-BR"/>
        </w:rPr>
        <mc:AlternateContent>
          <mc:Choice Requires="wps">
            <w:drawing>
              <wp:inline distT="0" distB="2540" distL="0" distR="9525">
                <wp:extent cx="2898140" cy="363855"/>
                <wp:effectExtent l="0" t="0" r="16510" b="17145"/>
                <wp:docPr id="20" name="Forma7"/>
                <wp:cNvGraphicFramePr/>
                <a:graphic xmlns:a="http://schemas.openxmlformats.org/drawingml/2006/main">
                  <a:graphicData uri="http://schemas.microsoft.com/office/word/2010/wordprocessingShape">
                    <wps:wsp>
                      <wps:cNvSpPr/>
                      <wps:spPr>
                        <a:xfrm>
                          <a:off x="0" y="0"/>
                          <a:ext cx="289814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4. DO CONSÓRCIO</w:t>
                            </w:r>
                          </w:p>
                        </w:txbxContent>
                      </wps:txbx>
                      <wps:bodyPr anchor="ctr">
                        <a:noAutofit/>
                      </wps:bodyPr>
                    </wps:wsp>
                  </a:graphicData>
                </a:graphic>
              </wp:inline>
            </w:drawing>
          </mc:Choice>
          <mc:Fallback>
            <w:pict>
              <v:rect id="Forma7" o:spid="_x0000_s1026" o:spt="1" style="height:28.65pt;width:228.2pt;v-text-anchor:middle;" fillcolor="#33608E" filled="t" stroked="f" coordsize="21600,21600" o:gfxdata="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rVoxz1wAAAAQBAAAPAAAAAAAAAAEAIAAAACIAAABkcnMvZG93bnJldi54bWxQ&#10;SwECFAAUAAAACACHTuJAkSK1r78BAACOAwAADgAAAAAAAAABACAAAAAmAQAAZHJzL2Uyb0RvYy54&#10;bWxQSwUGAAAAAAYABgBZAQAAVwU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4. DO CONSÓRCIO</w:t>
                      </w:r>
                    </w:p>
                  </w:txbxContent>
                </v:textbox>
                <w10:wrap type="none"/>
                <w10:anchorlock/>
              </v:rect>
            </w:pict>
          </mc:Fallback>
        </mc:AlternateContent>
      </w:r>
    </w:p>
    <w:p>
      <w:pPr>
        <w:spacing w:before="120" w:after="120" w:line="360" w:lineRule="auto"/>
        <w:jc w:val="both"/>
        <w:rPr>
          <w:rFonts w:ascii="Calibri" w:hAnsi="Calibri" w:cs="Calibri"/>
          <w:sz w:val="20"/>
          <w:szCs w:val="20"/>
        </w:rPr>
      </w:pPr>
      <w:r>
        <w:rPr>
          <w:rFonts w:ascii="Calibri" w:hAnsi="Calibri" w:cs="Calibri"/>
          <w:b/>
          <w:bCs/>
          <w:sz w:val="20"/>
          <w:szCs w:val="20"/>
        </w:rPr>
        <w:t xml:space="preserve">4.1. </w:t>
      </w:r>
      <w:r>
        <w:rPr>
          <w:rFonts w:ascii="Calibri" w:hAnsi="Calibri" w:cs="Calibri"/>
          <w:sz w:val="20"/>
          <w:szCs w:val="20"/>
        </w:rPr>
        <w:t>Não</w:t>
      </w:r>
      <w:r>
        <w:rPr>
          <w:rFonts w:ascii="Calibri" w:hAnsi="Calibri" w:cs="Calibri"/>
          <w:b/>
          <w:bCs/>
          <w:sz w:val="20"/>
          <w:szCs w:val="20"/>
        </w:rPr>
        <w:t xml:space="preserve"> </w:t>
      </w:r>
      <w:r>
        <w:rPr>
          <w:rFonts w:ascii="Calibri" w:hAnsi="Calibri" w:cs="Calibri"/>
          <w:sz w:val="20"/>
          <w:szCs w:val="20"/>
        </w:rPr>
        <w:t>será permitida a participação de empresas reunidas em consórcio.</w:t>
      </w:r>
    </w:p>
    <w:p>
      <w:pPr>
        <w:spacing w:before="360" w:after="120" w:line="360" w:lineRule="auto"/>
        <w:ind w:left="-1701" w:right="-1276"/>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9525">
                <wp:extent cx="3577590" cy="363855"/>
                <wp:effectExtent l="0" t="0" r="3810" b="17145"/>
                <wp:docPr id="23" name="Forma8"/>
                <wp:cNvGraphicFramePr/>
                <a:graphic xmlns:a="http://schemas.openxmlformats.org/drawingml/2006/main">
                  <a:graphicData uri="http://schemas.microsoft.com/office/word/2010/wordprocessingShape">
                    <wps:wsp>
                      <wps:cNvSpPr/>
                      <wps:spPr>
                        <a:xfrm>
                          <a:off x="0" y="0"/>
                          <a:ext cx="357759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5. DA REFERÊNCIA DE TEMPO</w:t>
                            </w:r>
                          </w:p>
                        </w:txbxContent>
                      </wps:txbx>
                      <wps:bodyPr anchor="ctr">
                        <a:noAutofit/>
                      </wps:bodyPr>
                    </wps:wsp>
                  </a:graphicData>
                </a:graphic>
              </wp:inline>
            </w:drawing>
          </mc:Choice>
          <mc:Fallback>
            <w:pict>
              <v:rect id="Forma8" o:spid="_x0000_s1026" o:spt="1" style="height:28.65pt;width:281.7pt;v-text-anchor:middle;" fillcolor="#33608E" filled="t" stroked="f" coordsize="21600,21600" o:gfxdata="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zX09p1wAAAAQBAAAPAAAAAAAAAAEAIAAAACIAAABkcnMvZG93bnJldi54bWxQ&#10;SwECFAAUAAAACACHTuJA6eWPZL8BAACOAwAADgAAAAAAAAABACAAAAAmAQAAZHJzL2Uyb0RvYy54&#10;bWxQSwUGAAAAAAYABgBZAQAAVwU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5. DA REFERÊNCIA DE TEMPO</w:t>
                      </w:r>
                    </w:p>
                  </w:txbxContent>
                </v:textbox>
                <w10:wrap type="none"/>
                <w10:anchorlock/>
              </v:rect>
            </w:pict>
          </mc:Fallback>
        </mc:AlternateContent>
      </w:r>
    </w:p>
    <w:p>
      <w:pPr>
        <w:spacing w:before="120" w:after="120" w:line="360" w:lineRule="auto"/>
        <w:ind w:left="-10" w:firstLine="10"/>
        <w:jc w:val="both"/>
        <w:rPr>
          <w:rFonts w:ascii="Calibri" w:hAnsi="Calibri" w:cs="Calibri"/>
          <w:sz w:val="20"/>
          <w:szCs w:val="20"/>
        </w:rPr>
      </w:pPr>
      <w:r>
        <w:rPr>
          <w:rFonts w:ascii="Calibri" w:hAnsi="Calibri" w:cs="Calibri"/>
          <w:b/>
          <w:sz w:val="20"/>
          <w:szCs w:val="20"/>
        </w:rPr>
        <w:t>5.1</w:t>
      </w:r>
      <w:r>
        <w:rPr>
          <w:rFonts w:ascii="Calibri" w:hAnsi="Calibri" w:cs="Calibri"/>
          <w:sz w:val="20"/>
          <w:szCs w:val="20"/>
        </w:rPr>
        <w:t xml:space="preserve">. Todas as referências de tempo previstas neste Edital, no Aviso e durante a sessão pública observarão obrigatoriamente o horário de Brasília – DF. </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5.2.</w:t>
      </w:r>
      <w:r>
        <w:rPr>
          <w:rFonts w:ascii="Calibri" w:hAnsi="Calibri" w:cs="Calibri"/>
          <w:sz w:val="20"/>
          <w:szCs w:val="20"/>
        </w:rPr>
        <w:t xml:space="preserve"> As sessões serão processadas em dias úteis, no período das 08h às 12 horas e das 13h às 17 horas.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5.2.1.</w:t>
      </w:r>
      <w:r>
        <w:rPr>
          <w:rFonts w:ascii="Calibri" w:hAnsi="Calibri" w:cs="Calibr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5.2.2.</w:t>
      </w:r>
      <w:r>
        <w:rPr>
          <w:rFonts w:ascii="Calibri" w:hAnsi="Calibri" w:cs="Calibri"/>
          <w:sz w:val="20"/>
          <w:szCs w:val="20"/>
        </w:rPr>
        <w:t xml:space="preserve"> Sessões já iniciadas poderão ser suspensas, cabendo ao Pregoeiro informar, através do Sistema, a data e horário para retomada do pregão .</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5.2.3.</w:t>
      </w:r>
      <w:r>
        <w:rPr>
          <w:rFonts w:ascii="Calibri" w:hAnsi="Calibri" w:cs="Calibri"/>
          <w:sz w:val="20"/>
          <w:szCs w:val="20"/>
        </w:rPr>
        <w:t xml:space="preserve"> Os prazos para encaminhamento da proposta e dos documentos de habilitação digitalizados serão computados em horas corridas.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5.2.4.</w:t>
      </w:r>
      <w:r>
        <w:rPr>
          <w:rFonts w:ascii="Calibri" w:hAnsi="Calibri" w:cs="Calibri"/>
          <w:sz w:val="20"/>
          <w:szCs w:val="20"/>
        </w:rPr>
        <w:t xml:space="preserve"> Em caso de suspensão, quando da retomada da sessão, os prazos concedidos serão restituídos por tempo igual ao que faltava para sua complementação.</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5.3.</w:t>
      </w:r>
      <w:r>
        <w:rPr>
          <w:rFonts w:ascii="Calibri" w:hAnsi="Calibri" w:cs="Calibri"/>
          <w:sz w:val="20"/>
          <w:szCs w:val="20"/>
        </w:rPr>
        <w:t xml:space="preserve"> Havendo calamidade pública, fato relevante devidamente justificado ou necessidade de adequação de horário por motivos de administração interna, os horários previstos no item 5.2 poderão ser alterados, cabendo ao Pregoeiro informar previamente às licitantes a alteração e a nova data e horário para retomada do pregão, através do Sistema PE-INTEGRADO.</w:t>
      </w:r>
    </w:p>
    <w:p>
      <w:pPr>
        <w:spacing w:before="360" w:after="120" w:line="360" w:lineRule="auto"/>
        <w:ind w:left="-1701" w:right="-1276"/>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9525">
                <wp:extent cx="5403850" cy="365125"/>
                <wp:effectExtent l="0" t="0" r="6350" b="15875"/>
                <wp:docPr id="21" name="Forma8"/>
                <wp:cNvGraphicFramePr/>
                <a:graphic xmlns:a="http://schemas.openxmlformats.org/drawingml/2006/main">
                  <a:graphicData uri="http://schemas.microsoft.com/office/word/2010/wordprocessingShape">
                    <wps:wsp>
                      <wps:cNvSpPr/>
                      <wps:spPr>
                        <a:xfrm>
                          <a:off x="0" y="0"/>
                          <a:ext cx="540385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6. DOS ESCLARECIMENTOS E DA IMPUGNAÇÃO AO EDITAL</w:t>
                            </w:r>
                          </w:p>
                        </w:txbxContent>
                      </wps:txbx>
                      <wps:bodyPr anchor="ctr">
                        <a:noAutofit/>
                      </wps:bodyPr>
                    </wps:wsp>
                  </a:graphicData>
                </a:graphic>
              </wp:inline>
            </w:drawing>
          </mc:Choice>
          <mc:Fallback>
            <w:pict>
              <v:rect id="Forma8" o:spid="_x0000_s1026" o:spt="1" style="height:28.75pt;width:425.5pt;v-text-anchor:middle;" fillcolor="#33608E" filled="t" stroked="f" coordsize="21600,21600" o:gfxdata="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61qjXAAAABAEAAA8AAAAAAAAAAQAgAAAAIgAAAGRycy9kb3ducmV2Lnht&#10;bFBLAQIUABQAAAAIAIdO4kAoB1ACwQEAAI4DAAAOAAAAAAAAAAEAIAAAACYBAABkcnMvZTJvRG9j&#10;LnhtbFBLBQYAAAAABgAGAFkBAABZ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6. DOS ESCLARECIMENTOS E DA IMPUGNAÇÃO AO EDITAL</w:t>
                      </w:r>
                    </w:p>
                  </w:txbxContent>
                </v:textbox>
                <w10:wrap type="none"/>
                <w10:anchorlock/>
              </v:rect>
            </w:pict>
          </mc:Fallback>
        </mc:AlternateContent>
      </w:r>
    </w:p>
    <w:p>
      <w:pPr>
        <w:spacing w:before="120" w:after="120" w:line="360" w:lineRule="auto"/>
        <w:jc w:val="both"/>
        <w:rPr>
          <w:rFonts w:ascii="Calibri" w:hAnsi="Calibri" w:cs="Calibri"/>
          <w:sz w:val="20"/>
          <w:szCs w:val="20"/>
        </w:rPr>
      </w:pPr>
      <w:r>
        <w:rPr>
          <w:rFonts w:ascii="Calibri" w:hAnsi="Calibri" w:cs="Calibri"/>
          <w:b/>
          <w:sz w:val="20"/>
          <w:szCs w:val="20"/>
        </w:rPr>
        <w:t>6.1</w:t>
      </w:r>
      <w:r>
        <w:rPr>
          <w:rFonts w:ascii="Calibri" w:hAnsi="Calibri" w:cs="Calibri"/>
          <w:sz w:val="20"/>
          <w:szCs w:val="20"/>
        </w:rPr>
        <w:t>. Qualquer pessoa é parte legítima para apresentar pedido de esclarecimento ou impugnar este Edital, devendo protocolar o pedido, por meio eletrônico, via Sistema, em até 03 (três) dias úteis antes da data fixada para a abertura da sessão pública.</w:t>
      </w:r>
    </w:p>
    <w:p>
      <w:pPr>
        <w:spacing w:before="120" w:after="120" w:line="360" w:lineRule="auto"/>
        <w:jc w:val="both"/>
        <w:rPr>
          <w:rFonts w:ascii="Calibri" w:hAnsi="Calibri" w:cs="Calibri"/>
          <w:sz w:val="20"/>
          <w:szCs w:val="20"/>
        </w:rPr>
      </w:pPr>
      <w:r>
        <w:rPr>
          <w:rFonts w:ascii="Calibri" w:hAnsi="Calibri" w:cs="Calibri"/>
          <w:b/>
          <w:bCs/>
          <w:sz w:val="20"/>
          <w:szCs w:val="20"/>
        </w:rPr>
        <w:t>6.2.</w:t>
      </w:r>
      <w:r>
        <w:rPr>
          <w:rFonts w:ascii="Calibri" w:hAnsi="Calibri" w:cs="Calibri"/>
          <w:sz w:val="20"/>
          <w:szCs w:val="20"/>
        </w:rPr>
        <w:t xml:space="preserve"> As respostas aos pedidos de esclarecimento ou às impugnações vincularão os participantes e a Administração e serão divulgadas no Sistema pelo Pregoeiro no prazo de até 05 (cinco) dias úteis, limitado ao último dia útil anterior à data de abertura do certame. </w:t>
      </w:r>
    </w:p>
    <w:p>
      <w:pPr>
        <w:spacing w:before="120" w:after="120" w:line="360" w:lineRule="auto"/>
        <w:jc w:val="both"/>
        <w:rPr>
          <w:rFonts w:ascii="Calibri" w:hAnsi="Calibri" w:cs="Calibri"/>
          <w:sz w:val="20"/>
          <w:szCs w:val="20"/>
        </w:rPr>
      </w:pPr>
      <w:r>
        <w:rPr>
          <w:rFonts w:ascii="Calibri" w:hAnsi="Calibri" w:cs="Calibri"/>
          <w:b/>
          <w:bCs/>
          <w:sz w:val="20"/>
          <w:szCs w:val="20"/>
        </w:rPr>
        <w:t>6.3.</w:t>
      </w:r>
      <w:r>
        <w:rPr>
          <w:rFonts w:ascii="Calibri" w:hAnsi="Calibri" w:cs="Calibri"/>
          <w:sz w:val="20"/>
          <w:szCs w:val="20"/>
        </w:rPr>
        <w:t xml:space="preserve"> A impugnação não possui efeito suspensivo, exceto em situações excepcionais devidamente motivadas pelo Pregoeiro.</w:t>
      </w:r>
    </w:p>
    <w:p>
      <w:pPr>
        <w:spacing w:before="120" w:after="120" w:line="360" w:lineRule="auto"/>
        <w:jc w:val="both"/>
        <w:rPr>
          <w:rFonts w:ascii="Calibri" w:hAnsi="Calibri" w:cs="Calibri"/>
          <w:sz w:val="20"/>
          <w:szCs w:val="20"/>
        </w:rPr>
      </w:pPr>
      <w:r>
        <w:rPr>
          <w:rFonts w:ascii="Calibri" w:hAnsi="Calibri" w:cs="Calibri"/>
          <w:b/>
          <w:bCs/>
          <w:sz w:val="20"/>
          <w:szCs w:val="20"/>
        </w:rPr>
        <w:t xml:space="preserve">6.4. </w:t>
      </w:r>
      <w:r>
        <w:rPr>
          <w:rFonts w:ascii="Calibri" w:hAnsi="Calibri" w:cs="Calibri"/>
          <w:sz w:val="20"/>
          <w:szCs w:val="20"/>
        </w:rPr>
        <w:t>Acolhida a impugnação, será republicado o Edital com as mesmas formalidades de sua publicação original e, conforme o caso, será definida nova data para realização do certame.</w:t>
      </w:r>
    </w:p>
    <w:p>
      <w:pPr>
        <w:spacing w:before="120" w:after="120" w:line="360" w:lineRule="auto"/>
        <w:jc w:val="both"/>
        <w:rPr>
          <w:rFonts w:ascii="Calibri" w:hAnsi="Calibri" w:cs="Calibri"/>
          <w:sz w:val="20"/>
          <w:szCs w:val="20"/>
        </w:rPr>
      </w:pPr>
      <w:r>
        <w:rPr>
          <w:rFonts w:ascii="Calibri" w:hAnsi="Calibri" w:cs="Calibri"/>
          <w:b/>
          <w:bCs/>
          <w:sz w:val="20"/>
          <w:szCs w:val="20"/>
        </w:rPr>
        <w:t>6.5.</w:t>
      </w:r>
      <w:r>
        <w:rPr>
          <w:rFonts w:ascii="Calibri" w:hAnsi="Calibri" w:cs="Calibri"/>
          <w:sz w:val="20"/>
          <w:szCs w:val="20"/>
        </w:rPr>
        <w:t xml:space="preserve"> Não serão conhecidas impugnações apresentadas intempestivamente ou em desacordo com as regras estabelecidas neste Edital. </w:t>
      </w:r>
    </w:p>
    <w:p>
      <w:pPr>
        <w:spacing w:before="360" w:after="120" w:line="360" w:lineRule="auto"/>
        <w:ind w:left="-1701" w:right="-1276"/>
        <w:jc w:val="both"/>
        <w:rPr>
          <w:rFonts w:ascii="Calibri" w:hAnsi="Calibri" w:cs="Calibri"/>
          <w:b/>
          <w:sz w:val="20"/>
          <w:szCs w:val="20"/>
        </w:rPr>
      </w:pPr>
      <w:r>
        <w:rPr>
          <w:rFonts w:ascii="Calibri" w:hAnsi="Calibri" w:cs="Calibri"/>
          <w:sz w:val="20"/>
          <w:szCs w:val="20"/>
          <w:lang w:eastAsia="pt-BR"/>
        </w:rPr>
        <mc:AlternateContent>
          <mc:Choice Requires="wps">
            <w:drawing>
              <wp:inline distT="0" distB="2540" distL="0" distR="9525">
                <wp:extent cx="4205605" cy="359410"/>
                <wp:effectExtent l="0" t="0" r="4445" b="2540"/>
                <wp:docPr id="6" name="Forma8"/>
                <wp:cNvGraphicFramePr/>
                <a:graphic xmlns:a="http://schemas.openxmlformats.org/drawingml/2006/main">
                  <a:graphicData uri="http://schemas.microsoft.com/office/word/2010/wordprocessingShape">
                    <wps:wsp>
                      <wps:cNvSpPr/>
                      <wps:spPr>
                        <a:xfrm>
                          <a:off x="0" y="0"/>
                          <a:ext cx="4205605" cy="3600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7. DA APRESENTAÇÃO DA PROPOSTA INICIAL</w:t>
                            </w:r>
                          </w:p>
                        </w:txbxContent>
                      </wps:txbx>
                      <wps:bodyPr anchor="ctr">
                        <a:noAutofit/>
                      </wps:bodyPr>
                    </wps:wsp>
                  </a:graphicData>
                </a:graphic>
              </wp:inline>
            </w:drawing>
          </mc:Choice>
          <mc:Fallback>
            <w:pict>
              <v:rect id="Forma8" o:spid="_x0000_s1026" o:spt="1" style="height:28.3pt;width:331.15pt;v-text-anchor:middle;" fillcolor="#33608E" filled="t" stroked="f" coordsize="21600,21600" o:gfxdata="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I1gma7WAAAABAEAAA8AAAAAAAAAAQAgAAAAIgAAAGRycy9kb3ducmV2LnhtbFBLAQIUABQA&#10;AAAIAIdO4kABUqLwuQEAAI0DAAAOAAAAAAAAAAEAIAAAACUBAABkcnMvZTJvRG9jLnhtbFBLBQYA&#10;AAAABgAGAFkBAABQ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7. DA APRESENTAÇÃO DA PROPOSTA INICIAL</w:t>
                      </w:r>
                    </w:p>
                  </w:txbxContent>
                </v:textbox>
                <w10:wrap type="none"/>
                <w10:anchorlock/>
              </v:rect>
            </w:pict>
          </mc:Fallback>
        </mc:AlternateContent>
      </w:r>
      <w:bookmarkStart w:id="8" w:name="_Hlk128559114"/>
    </w:p>
    <w:bookmarkEnd w:id="8"/>
    <w:p>
      <w:pPr>
        <w:spacing w:after="120" w:line="360" w:lineRule="auto"/>
        <w:jc w:val="both"/>
        <w:rPr>
          <w:rFonts w:ascii="Calibri" w:hAnsi="Calibri" w:cs="Calibri"/>
          <w:sz w:val="20"/>
          <w:szCs w:val="20"/>
        </w:rPr>
      </w:pPr>
      <w:bookmarkStart w:id="9" w:name="_Hlk128559502"/>
      <w:r>
        <w:rPr>
          <w:rFonts w:ascii="Calibri" w:hAnsi="Calibri" w:cs="Calibri"/>
          <w:b/>
          <w:bCs/>
          <w:sz w:val="20"/>
          <w:szCs w:val="20"/>
        </w:rPr>
        <w:t xml:space="preserve">7.1. </w:t>
      </w:r>
      <w:r>
        <w:rPr>
          <w:rFonts w:ascii="Calibri" w:hAnsi="Calibri" w:cs="Calibri"/>
          <w:sz w:val="20"/>
          <w:szCs w:val="20"/>
        </w:rPr>
        <w:t xml:space="preserve">A licitante deverá encaminhar, exclusivamente por meio do sistema eletrônico, proposta não identificada, com o preço expresso em moeda nacional até a data e horário marcados </w:t>
      </w:r>
      <w:r>
        <w:rPr>
          <w:rFonts w:hint="default" w:ascii="Calibri" w:hAnsi="Calibri" w:cs="Calibri"/>
          <w:sz w:val="20"/>
          <w:szCs w:val="20"/>
          <w:lang w:val="pt-BR"/>
        </w:rPr>
        <w:t>na folha de rosto</w:t>
      </w:r>
      <w:r>
        <w:rPr>
          <w:rFonts w:ascii="Calibri" w:hAnsi="Calibri" w:cs="Calibri"/>
          <w:sz w:val="20"/>
          <w:szCs w:val="20"/>
        </w:rPr>
        <w:t xml:space="preserve"> do Edital, quando então se encerrará automaticamente a fase de recebimento das propostas iniciais.</w:t>
      </w:r>
    </w:p>
    <w:p>
      <w:pPr>
        <w:spacing w:before="120" w:after="120" w:line="360" w:lineRule="auto"/>
        <w:jc w:val="both"/>
        <w:rPr>
          <w:rFonts w:ascii="Calibri" w:hAnsi="Calibri" w:cs="Calibri"/>
          <w:sz w:val="20"/>
          <w:szCs w:val="20"/>
        </w:rPr>
      </w:pPr>
      <w:r>
        <w:rPr>
          <w:rFonts w:ascii="Calibri" w:hAnsi="Calibri" w:cs="Calibri"/>
          <w:b/>
          <w:sz w:val="20"/>
          <w:szCs w:val="20"/>
        </w:rPr>
        <w:t>7.2</w:t>
      </w:r>
      <w:r>
        <w:rPr>
          <w:rFonts w:ascii="Calibri" w:hAnsi="Calibri" w:cs="Calibri"/>
          <w:sz w:val="20"/>
          <w:szCs w:val="20"/>
        </w:rPr>
        <w:t xml:space="preserve">. A licitante deverá especificar os </w:t>
      </w:r>
      <w:r>
        <w:rPr>
          <w:rFonts w:ascii="Calibri" w:hAnsi="Calibri" w:cs="Calibri"/>
          <w:sz w:val="20"/>
          <w:szCs w:val="20"/>
          <w:u w:val="thick"/>
        </w:rPr>
        <w:t>PREÇOS UNITÁRIOS</w:t>
      </w:r>
      <w:r>
        <w:rPr>
          <w:rFonts w:ascii="Calibri" w:hAnsi="Calibri" w:cs="Calibri"/>
          <w:sz w:val="20"/>
          <w:szCs w:val="20"/>
        </w:rPr>
        <w:t xml:space="preserve"> dos itens nos quais pretende concorrer.</w:t>
      </w:r>
    </w:p>
    <w:p>
      <w:pPr>
        <w:spacing w:before="120" w:after="120" w:line="360" w:lineRule="auto"/>
        <w:jc w:val="both"/>
        <w:rPr>
          <w:rFonts w:ascii="Calibri" w:hAnsi="Calibri" w:cs="Calibri"/>
          <w:sz w:val="20"/>
          <w:szCs w:val="20"/>
        </w:rPr>
      </w:pPr>
      <w:r>
        <w:rPr>
          <w:rFonts w:ascii="Calibri" w:hAnsi="Calibri" w:cs="Calibri"/>
          <w:b/>
          <w:sz w:val="20"/>
          <w:szCs w:val="20"/>
        </w:rPr>
        <w:t>7.3.</w:t>
      </w:r>
      <w:r>
        <w:rPr>
          <w:rFonts w:ascii="Calibri" w:hAnsi="Calibri" w:cs="Calibri"/>
          <w:sz w:val="20"/>
          <w:szCs w:val="20"/>
        </w:rPr>
        <w:t xml:space="preserve"> No cadastramento da proposta inicial, a licitante declarará, em campo próprio do sistema, que:</w:t>
      </w:r>
    </w:p>
    <w:p>
      <w:pPr>
        <w:spacing w:before="120" w:after="120" w:line="360" w:lineRule="auto"/>
        <w:jc w:val="both"/>
        <w:rPr>
          <w:rFonts w:ascii="Calibri" w:hAnsi="Calibri" w:cs="Calibri"/>
          <w:sz w:val="20"/>
          <w:szCs w:val="20"/>
        </w:rPr>
      </w:pPr>
      <w:r>
        <w:rPr>
          <w:rFonts w:ascii="Calibri" w:hAnsi="Calibri" w:cs="Calibri"/>
          <w:b/>
          <w:sz w:val="20"/>
          <w:szCs w:val="20"/>
        </w:rPr>
        <w:t>7.3.1.</w:t>
      </w:r>
      <w:r>
        <w:rPr>
          <w:rFonts w:ascii="Calibri" w:hAnsi="Calibri" w:cs="Calibri"/>
          <w:sz w:val="20"/>
          <w:szCs w:val="20"/>
        </w:rPr>
        <w:t xml:space="preserve"> Está ciente e concorda com as condições contidas no edital e seus anexos, que cumpre plenamente os requisitos de habilitação e que sua proposta está em conformidade com as exigências previstas;</w:t>
      </w:r>
    </w:p>
    <w:p>
      <w:pPr>
        <w:spacing w:before="120" w:after="120" w:line="360" w:lineRule="auto"/>
        <w:ind w:left="-5" w:firstLine="5"/>
        <w:jc w:val="both"/>
        <w:rPr>
          <w:rFonts w:ascii="Calibri" w:hAnsi="Calibri" w:cs="Calibri"/>
          <w:sz w:val="20"/>
          <w:szCs w:val="20"/>
        </w:rPr>
      </w:pPr>
      <w:r>
        <w:rPr>
          <w:rFonts w:ascii="Calibri" w:hAnsi="Calibri" w:cs="Calibri"/>
          <w:b/>
          <w:sz w:val="20"/>
          <w:szCs w:val="20"/>
        </w:rPr>
        <w:t>7.3.2.</w:t>
      </w:r>
      <w:r>
        <w:rPr>
          <w:rFonts w:ascii="Calibri" w:hAnsi="Calibri" w:cs="Calibri"/>
          <w:sz w:val="20"/>
          <w:szCs w:val="20"/>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bookmarkEnd w:id="9"/>
      <w:bookmarkStart w:id="10" w:name="_Hlk128559717"/>
    </w:p>
    <w:p>
      <w:pPr>
        <w:spacing w:before="120" w:after="120" w:line="360" w:lineRule="auto"/>
        <w:ind w:left="-5" w:firstLine="5"/>
        <w:jc w:val="both"/>
        <w:rPr>
          <w:rFonts w:ascii="Calibri" w:hAnsi="Calibri" w:cs="Calibri"/>
          <w:sz w:val="20"/>
          <w:szCs w:val="20"/>
        </w:rPr>
      </w:pPr>
      <w:r>
        <w:rPr>
          <w:rFonts w:ascii="Calibri" w:hAnsi="Calibri" w:cs="Calibri"/>
          <w:b/>
          <w:sz w:val="20"/>
          <w:szCs w:val="20"/>
        </w:rPr>
        <w:t xml:space="preserve">7.4. </w:t>
      </w:r>
      <w:r>
        <w:rPr>
          <w:rFonts w:ascii="Calibri" w:hAnsi="Calibri" w:cs="Calibri"/>
          <w:sz w:val="20"/>
          <w:szCs w:val="20"/>
        </w:rPr>
        <w:t xml:space="preserve">A licitante enquadrada como Microempresa – ME, Empresa de Pequeno Porte - EPP  Microempreendedor Individual (MEI), </w:t>
      </w:r>
      <w:bookmarkStart w:id="11" w:name="_Hlk140599013"/>
      <w:r>
        <w:rPr>
          <w:rFonts w:ascii="Calibri" w:hAnsi="Calibri" w:cs="Calibri"/>
          <w:sz w:val="20"/>
          <w:szCs w:val="20"/>
        </w:rPr>
        <w:t>ou, ainda, como Produtor Rural Pessoa Física e Agricultor Familiar ou Sociedade Cooperativa com tratamento equiparado, nos termos do art. 3º-A, da Lei Complementar nº 123/2006, e do art. 34 da Lei nº 11.488/2007</w:t>
      </w:r>
      <w:bookmarkEnd w:id="11"/>
      <w:r>
        <w:rPr>
          <w:rFonts w:ascii="Calibri" w:hAnsi="Calibri" w:cs="Calibri"/>
          <w:sz w:val="20"/>
          <w:szCs w:val="20"/>
        </w:rPr>
        <w:t>,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pPr>
        <w:spacing w:before="120" w:after="120" w:line="360" w:lineRule="auto"/>
        <w:ind w:left="-5" w:firstLine="5"/>
        <w:jc w:val="both"/>
        <w:rPr>
          <w:rFonts w:ascii="Calibri" w:hAnsi="Calibri" w:cs="Calibri"/>
          <w:sz w:val="20"/>
          <w:szCs w:val="20"/>
        </w:rPr>
      </w:pPr>
      <w:r>
        <w:rPr>
          <w:rFonts w:ascii="Calibri" w:hAnsi="Calibri" w:cs="Calibri"/>
          <w:b/>
          <w:sz w:val="20"/>
          <w:szCs w:val="20"/>
        </w:rPr>
        <w:t>7.4.1.</w:t>
      </w:r>
      <w:r>
        <w:rPr>
          <w:rFonts w:ascii="Calibri" w:hAnsi="Calibri" w:cs="Calibri"/>
          <w:sz w:val="20"/>
          <w:szCs w:val="20"/>
        </w:rPr>
        <w:t xml:space="preserve"> </w:t>
      </w:r>
      <w:bookmarkStart w:id="12" w:name="_Hlk140599031"/>
      <w:r>
        <w:rPr>
          <w:rFonts w:ascii="Calibri" w:hAnsi="Calibri" w:cs="Calibri"/>
          <w:sz w:val="20"/>
          <w:szCs w:val="20"/>
        </w:rPr>
        <w:t>Ao declarar o enquadramento previsto no item 7.4, a licitante também declara que atende aos limites de compromissos contratuais fixados no art. 4º, §§ 2º e 3º da Lei 14.133/2021, estando apta a usufruir o tratamento favorecido estabelecido na LCE 123, de 2006 e neste Edital, cujo tratamento favorecido aplica-se uniformemente às microempresas, às empresas de pequeno porte e às entidades equiparadas.</w:t>
      </w:r>
    </w:p>
    <w:bookmarkEnd w:id="12"/>
    <w:p>
      <w:pPr>
        <w:spacing w:before="120" w:after="120" w:line="360" w:lineRule="auto"/>
        <w:ind w:left="-5" w:firstLine="5"/>
        <w:jc w:val="both"/>
        <w:rPr>
          <w:rFonts w:ascii="Calibri" w:hAnsi="Calibri" w:cs="Calibri"/>
          <w:sz w:val="20"/>
          <w:szCs w:val="20"/>
        </w:rPr>
      </w:pPr>
      <w:r>
        <w:rPr>
          <w:rFonts w:ascii="Calibri" w:hAnsi="Calibri" w:cs="Calibri"/>
          <w:b/>
          <w:sz w:val="20"/>
          <w:szCs w:val="20"/>
        </w:rPr>
        <w:t>7.4.2.</w:t>
      </w:r>
      <w:r>
        <w:rPr>
          <w:rFonts w:ascii="Calibri" w:hAnsi="Calibri" w:cs="Calibri"/>
          <w:sz w:val="20"/>
          <w:szCs w:val="20"/>
        </w:rPr>
        <w:t xml:space="preserve"> Ao declarar o enquadramento como sociedade cooperativa, a licitante também declara que atende os requisitos estabelecidos no art. 16 da Lei nº 14.133, de 2021.</w:t>
      </w:r>
    </w:p>
    <w:p>
      <w:pPr>
        <w:spacing w:before="120" w:after="120" w:line="360" w:lineRule="auto"/>
        <w:ind w:left="-5" w:firstLine="5"/>
        <w:jc w:val="both"/>
        <w:rPr>
          <w:rFonts w:ascii="Calibri" w:hAnsi="Calibri" w:cs="Calibri"/>
          <w:sz w:val="20"/>
          <w:szCs w:val="20"/>
        </w:rPr>
      </w:pPr>
      <w:r>
        <w:rPr>
          <w:rFonts w:ascii="Calibri" w:hAnsi="Calibri" w:cs="Calibri"/>
          <w:b/>
          <w:sz w:val="20"/>
          <w:szCs w:val="20"/>
        </w:rPr>
        <w:t>7.5.</w:t>
      </w:r>
      <w:r>
        <w:rPr>
          <w:rFonts w:ascii="Calibri" w:hAnsi="Calibri" w:cs="Calibri"/>
          <w:sz w:val="20"/>
          <w:szCs w:val="20"/>
        </w:rPr>
        <w:t xml:space="preserve"> Nos itens com participação exclusiva ou reservada às licitantes enquadradas ou equiparadas a Microempresas, Empresas de Pequeno Porte ou Microempreendedores Individuais (MEI) a declaração prevista no item 7.4 é requisito para o exercício do benefício ao referido item e sua ausência impede o prosseguimento da participação da licitante naquele item.</w:t>
      </w:r>
    </w:p>
    <w:p>
      <w:pPr>
        <w:spacing w:before="120" w:after="120" w:line="360" w:lineRule="auto"/>
        <w:ind w:left="-5" w:firstLine="5"/>
        <w:jc w:val="both"/>
        <w:rPr>
          <w:rFonts w:ascii="Calibri" w:hAnsi="Calibri" w:cs="Calibri"/>
          <w:sz w:val="20"/>
          <w:szCs w:val="20"/>
        </w:rPr>
      </w:pPr>
      <w:r>
        <w:rPr>
          <w:rFonts w:ascii="Calibri" w:hAnsi="Calibri" w:cs="Calibri"/>
          <w:b/>
          <w:sz w:val="20"/>
          <w:szCs w:val="20"/>
        </w:rPr>
        <w:t>7.6.</w:t>
      </w:r>
      <w:r>
        <w:rPr>
          <w:rFonts w:ascii="Calibri" w:hAnsi="Calibri" w:cs="Calibri"/>
          <w:sz w:val="20"/>
          <w:szCs w:val="20"/>
        </w:rPr>
        <w:t xml:space="preserve"> Nos itens de ampla concorrência, a ausência da declaração prevista no item 7.4 não impedirá a participação das </w:t>
      </w:r>
      <w:bookmarkStart w:id="13" w:name="_Hlk129270781"/>
      <w:r>
        <w:rPr>
          <w:rFonts w:ascii="Calibri" w:hAnsi="Calibri" w:cs="Calibri"/>
          <w:sz w:val="20"/>
          <w:szCs w:val="20"/>
        </w:rPr>
        <w:t xml:space="preserve">licitantes enquadradas ou equiparadas </w:t>
      </w:r>
      <w:bookmarkEnd w:id="13"/>
      <w:r>
        <w:rPr>
          <w:rFonts w:ascii="Calibri" w:hAnsi="Calibri" w:cs="Calibri"/>
          <w:sz w:val="20"/>
          <w:szCs w:val="20"/>
        </w:rPr>
        <w:t xml:space="preserve">a Microempresa, Empresa de Pequeno Porte, Microempreendedor Individual (MEI) no processo licitatório, porém indicará que abdicou do direito ao tratamento favorecido previsto na Lei Complementar nº 123, de 2006. </w:t>
      </w:r>
    </w:p>
    <w:p>
      <w:pPr>
        <w:spacing w:before="120" w:after="120" w:line="360" w:lineRule="auto"/>
        <w:ind w:left="-5" w:firstLine="5"/>
        <w:jc w:val="both"/>
        <w:rPr>
          <w:rFonts w:ascii="Calibri" w:hAnsi="Calibri" w:cs="Calibri"/>
          <w:sz w:val="20"/>
          <w:szCs w:val="20"/>
        </w:rPr>
      </w:pPr>
      <w:r>
        <w:rPr>
          <w:rFonts w:ascii="Calibri" w:hAnsi="Calibri" w:cs="Calibri"/>
          <w:b/>
          <w:sz w:val="20"/>
          <w:szCs w:val="20"/>
        </w:rPr>
        <w:t>7.7.</w:t>
      </w:r>
      <w:r>
        <w:rPr>
          <w:rFonts w:ascii="Calibri" w:hAnsi="Calibri" w:cs="Calibri"/>
          <w:sz w:val="20"/>
          <w:szCs w:val="20"/>
        </w:rPr>
        <w:t xml:space="preserve"> A falsidade das declarações previstas nos itens 7.3 e 7.4 sujeitará a licitante às sanções previstas na Lei 14.133, de 2021, e neste Edital.</w:t>
      </w:r>
    </w:p>
    <w:p>
      <w:pPr>
        <w:spacing w:before="120" w:after="120" w:line="360" w:lineRule="auto"/>
        <w:ind w:left="-5" w:firstLine="5"/>
        <w:jc w:val="both"/>
        <w:rPr>
          <w:rFonts w:ascii="Calibri" w:hAnsi="Calibri" w:cs="Calibri"/>
          <w:sz w:val="20"/>
          <w:szCs w:val="20"/>
        </w:rPr>
      </w:pPr>
      <w:r>
        <w:rPr>
          <w:rFonts w:ascii="Calibri" w:hAnsi="Calibri" w:cs="Calibri"/>
          <w:b/>
          <w:sz w:val="20"/>
          <w:szCs w:val="20"/>
        </w:rPr>
        <w:t>7.8.</w:t>
      </w:r>
      <w:r>
        <w:rPr>
          <w:rFonts w:ascii="Calibri" w:hAnsi="Calibri" w:cs="Calibri"/>
          <w:sz w:val="20"/>
          <w:szCs w:val="20"/>
        </w:rPr>
        <w:t xml:space="preserve"> A licitante beneficiária da isenção de ICMS de que trata o art. 9º da Lei nº 15.730/2016 c/c o art. 63 do Anexo 7 do Decreto Estadual nº 44.650/17 (Convênio ICMS 73/04) deverá apresentar sua proposta desonerada do tributo, discriminando, expressa e obrigatoriamente, o percentual de dedução da isenção fiscal.</w:t>
      </w:r>
    </w:p>
    <w:p>
      <w:pPr>
        <w:spacing w:before="120" w:after="120" w:line="360" w:lineRule="auto"/>
        <w:ind w:left="-5" w:firstLine="5"/>
        <w:jc w:val="both"/>
        <w:rPr>
          <w:rFonts w:ascii="Calibri" w:hAnsi="Calibri" w:cs="Calibri"/>
          <w:sz w:val="20"/>
          <w:szCs w:val="20"/>
        </w:rPr>
      </w:pPr>
      <w:r>
        <w:rPr>
          <w:rFonts w:ascii="Calibri" w:hAnsi="Calibri" w:cs="Calibri"/>
          <w:b/>
          <w:sz w:val="20"/>
          <w:szCs w:val="20"/>
        </w:rPr>
        <w:t>7.9.</w:t>
      </w:r>
      <w:r>
        <w:rPr>
          <w:rFonts w:ascii="Calibri" w:hAnsi="Calibri" w:cs="Calibri"/>
          <w:sz w:val="20"/>
          <w:szCs w:val="20"/>
        </w:rPr>
        <w:t xml:space="preserve"> As propostas terão validade de, no mínimo, </w:t>
      </w:r>
      <w:r>
        <w:rPr>
          <w:rFonts w:ascii="Calibri" w:hAnsi="Calibri" w:cs="Calibri"/>
          <w:b/>
          <w:bCs/>
          <w:sz w:val="20"/>
          <w:szCs w:val="20"/>
        </w:rPr>
        <w:t>120 (cento e vinte) dias</w:t>
      </w:r>
      <w:r>
        <w:rPr>
          <w:rFonts w:ascii="Calibri" w:hAnsi="Calibri" w:cs="Calibri"/>
          <w:sz w:val="20"/>
          <w:szCs w:val="20"/>
        </w:rPr>
        <w:t xml:space="preserve">, contados da data de abertura da sessão pública estabelecida </w:t>
      </w:r>
      <w:r>
        <w:rPr>
          <w:rFonts w:hint="default" w:ascii="Calibri" w:hAnsi="Calibri" w:cs="Calibri"/>
          <w:sz w:val="20"/>
          <w:szCs w:val="20"/>
          <w:lang w:val="pt-BR"/>
        </w:rPr>
        <w:t>na folha de rosto</w:t>
      </w:r>
      <w:r>
        <w:rPr>
          <w:rFonts w:ascii="Calibri" w:hAnsi="Calibri" w:cs="Calibri"/>
          <w:sz w:val="20"/>
          <w:szCs w:val="20"/>
        </w:rPr>
        <w:t xml:space="preserve"> deste Edital, independente de declaração da licitante. </w:t>
      </w:r>
    </w:p>
    <w:bookmarkEnd w:id="10"/>
    <w:p>
      <w:pPr>
        <w:spacing w:before="120" w:after="120" w:line="360" w:lineRule="auto"/>
        <w:ind w:left="-5" w:firstLine="5"/>
        <w:jc w:val="both"/>
        <w:rPr>
          <w:rFonts w:ascii="Calibri" w:hAnsi="Calibri" w:cs="Calibri"/>
          <w:sz w:val="20"/>
          <w:szCs w:val="20"/>
        </w:rPr>
      </w:pPr>
      <w:bookmarkStart w:id="14" w:name="_Hlk128560031"/>
      <w:r>
        <w:rPr>
          <w:rFonts w:ascii="Calibri" w:hAnsi="Calibri" w:cs="Calibri"/>
          <w:b/>
          <w:bCs/>
          <w:sz w:val="20"/>
          <w:szCs w:val="20"/>
        </w:rPr>
        <w:t>7.9.1.</w:t>
      </w:r>
      <w:r>
        <w:rPr>
          <w:rFonts w:ascii="Calibri" w:hAnsi="Calibri" w:cs="Calibri"/>
          <w:sz w:val="20"/>
          <w:szCs w:val="20"/>
        </w:rPr>
        <w:t xml:space="preserve"> Decorrido o prazo de validade das propostas, sem convocação para contratação, ficam as licitantes liberadas dos compromissos assumidos.</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7.10.</w:t>
      </w:r>
      <w:r>
        <w:rPr>
          <w:rFonts w:ascii="Calibri" w:hAnsi="Calibri" w:cs="Calibr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bookmarkEnd w:id="14"/>
      <w:bookmarkStart w:id="15" w:name="_Hlk128561849"/>
    </w:p>
    <w:bookmarkEnd w:id="15"/>
    <w:p>
      <w:pPr>
        <w:spacing w:before="120" w:after="120" w:line="360" w:lineRule="auto"/>
        <w:ind w:left="-5" w:firstLine="5"/>
        <w:jc w:val="both"/>
        <w:rPr>
          <w:rFonts w:ascii="Calibri" w:hAnsi="Calibri" w:cs="Calibri"/>
          <w:sz w:val="20"/>
          <w:szCs w:val="20"/>
        </w:rPr>
      </w:pPr>
      <w:r>
        <w:rPr>
          <w:rFonts w:ascii="Calibri" w:hAnsi="Calibri" w:cs="Calibri"/>
          <w:b/>
          <w:bCs/>
          <w:sz w:val="20"/>
          <w:szCs w:val="20"/>
        </w:rPr>
        <w:t>7.11.</w:t>
      </w:r>
      <w:r>
        <w:rPr>
          <w:rFonts w:ascii="Calibri" w:hAnsi="Calibri" w:cs="Calibri"/>
          <w:sz w:val="20"/>
          <w:szCs w:val="20"/>
        </w:rPr>
        <w:t xml:space="preserve"> As propostas ficarão disponíveis no sistema eletrônico, sendo facultado à licitante retirar ou substituir a proposta anteriormente encaminhada até a abertura da sessão pública.</w:t>
      </w:r>
    </w:p>
    <w:p>
      <w:pPr>
        <w:spacing w:before="360" w:after="120" w:line="360" w:lineRule="auto"/>
        <w:ind w:left="-1701" w:right="-1418"/>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0">
                <wp:extent cx="4886325" cy="363855"/>
                <wp:effectExtent l="0" t="0" r="9525" b="17145"/>
                <wp:docPr id="24" name="Forma11"/>
                <wp:cNvGraphicFramePr/>
                <a:graphic xmlns:a="http://schemas.openxmlformats.org/drawingml/2006/main">
                  <a:graphicData uri="http://schemas.microsoft.com/office/word/2010/wordprocessingShape">
                    <wps:wsp>
                      <wps:cNvSpPr/>
                      <wps:spPr>
                        <a:xfrm>
                          <a:off x="0" y="0"/>
                          <a:ext cx="488632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8. DA ABERTURA E DO PROCESSAMENTO DA LICITAÇÃO</w:t>
                            </w:r>
                          </w:p>
                        </w:txbxContent>
                      </wps:txbx>
                      <wps:bodyPr anchor="ctr">
                        <a:noAutofit/>
                      </wps:bodyPr>
                    </wps:wsp>
                  </a:graphicData>
                </a:graphic>
              </wp:inline>
            </w:drawing>
          </mc:Choice>
          <mc:Fallback>
            <w:pict>
              <v:rect id="Forma11" o:spid="_x0000_s1026" o:spt="1" style="height:28.65pt;width:384.75pt;v-text-anchor:middle;" fillcolor="#33608E" filled="t" stroked="f" coordsize="21600,21600" o:gfxdata="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oKiPXAAAABAEAAA8AAAAAAAAAAQAgAAAAIgAAAGRycy9kb3ducmV2Lnht&#10;bFBLAQIUABQAAAAIAIdO4kCgqJDHwQEAAI8DAAAOAAAAAAAAAAEAIAAAACYBAABkcnMvZTJvRG9j&#10;LnhtbFBLBQYAAAAABgAGAFkBAABZ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8. DA ABERTURA E DO PROCESSAMENTO DA LICITAÇÃO</w:t>
                      </w:r>
                    </w:p>
                  </w:txbxContent>
                </v:textbox>
                <w10:wrap type="none"/>
                <w10:anchorlock/>
              </v:rect>
            </w:pict>
          </mc:Fallback>
        </mc:AlternateContent>
      </w:r>
    </w:p>
    <w:p>
      <w:pPr>
        <w:spacing w:before="120" w:after="120" w:line="360" w:lineRule="auto"/>
        <w:jc w:val="both"/>
        <w:rPr>
          <w:rFonts w:ascii="Calibri" w:hAnsi="Calibri" w:cs="Calibri"/>
          <w:bCs/>
          <w:sz w:val="20"/>
          <w:szCs w:val="20"/>
        </w:rPr>
      </w:pPr>
      <w:r>
        <w:rPr>
          <w:rFonts w:ascii="Calibri" w:hAnsi="Calibri" w:cs="Calibri"/>
          <w:b/>
          <w:sz w:val="20"/>
          <w:szCs w:val="20"/>
        </w:rPr>
        <w:t xml:space="preserve">8.1. </w:t>
      </w:r>
      <w:r>
        <w:rPr>
          <w:rFonts w:ascii="Calibri" w:hAnsi="Calibri" w:cs="Calibri"/>
          <w:sz w:val="20"/>
          <w:szCs w:val="20"/>
        </w:rPr>
        <w:t>A licitação será realizada em sessão pública, por meio da Internet, mediante condições de segurança, criptografia e autenticação, em todas as suas fases.</w:t>
      </w:r>
    </w:p>
    <w:p>
      <w:pPr>
        <w:spacing w:before="120" w:after="120" w:line="360" w:lineRule="auto"/>
        <w:jc w:val="both"/>
        <w:rPr>
          <w:rFonts w:ascii="Calibri" w:hAnsi="Calibri" w:cs="Calibri"/>
          <w:bCs/>
          <w:sz w:val="20"/>
          <w:szCs w:val="20"/>
        </w:rPr>
      </w:pPr>
      <w:r>
        <w:rPr>
          <w:rFonts w:ascii="Calibri" w:hAnsi="Calibri" w:cs="Calibri"/>
          <w:b/>
          <w:sz w:val="20"/>
          <w:szCs w:val="20"/>
        </w:rPr>
        <w:t xml:space="preserve">8.2. </w:t>
      </w:r>
      <w:r>
        <w:rPr>
          <w:rFonts w:ascii="Calibri" w:hAnsi="Calibri" w:cs="Calibri"/>
          <w:sz w:val="20"/>
          <w:szCs w:val="20"/>
        </w:rPr>
        <w:t>Durante a sessão pública, a comunicação entre o Pregoeiro e as licitantes ocorrerá exclusivamente mediante troca de mensagens, em campo próprio do sistema eletrônico.</w:t>
      </w:r>
    </w:p>
    <w:p>
      <w:pPr>
        <w:spacing w:before="120" w:after="120" w:line="360" w:lineRule="auto"/>
        <w:jc w:val="both"/>
        <w:rPr>
          <w:rFonts w:ascii="Calibri" w:hAnsi="Calibri" w:cs="Calibri"/>
          <w:bCs/>
          <w:sz w:val="20"/>
          <w:szCs w:val="20"/>
        </w:rPr>
      </w:pPr>
      <w:r>
        <w:rPr>
          <w:rFonts w:ascii="Calibri" w:hAnsi="Calibri" w:cs="Calibri"/>
          <w:b/>
          <w:sz w:val="20"/>
          <w:szCs w:val="20"/>
        </w:rPr>
        <w:t>8.3</w:t>
      </w:r>
      <w:r>
        <w:rPr>
          <w:rFonts w:ascii="Calibri" w:hAnsi="Calibri" w:cs="Calibri"/>
          <w:sz w:val="20"/>
          <w:szCs w:val="20"/>
        </w:rPr>
        <w:t>. 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pPr>
        <w:spacing w:before="120" w:after="120" w:line="360" w:lineRule="auto"/>
        <w:jc w:val="both"/>
        <w:rPr>
          <w:rFonts w:ascii="Calibri" w:hAnsi="Calibri" w:cs="Calibri"/>
          <w:sz w:val="20"/>
          <w:szCs w:val="20"/>
        </w:rPr>
      </w:pPr>
      <w:r>
        <w:rPr>
          <w:rFonts w:ascii="Calibri" w:hAnsi="Calibri" w:cs="Calibri"/>
          <w:b/>
          <w:sz w:val="20"/>
          <w:szCs w:val="20"/>
        </w:rPr>
        <w:t>8.4.</w:t>
      </w:r>
      <w:r>
        <w:rPr>
          <w:rFonts w:ascii="Calibri" w:hAnsi="Calibri" w:cs="Calibri"/>
          <w:sz w:val="20"/>
          <w:szCs w:val="20"/>
        </w:rPr>
        <w:t xml:space="preserve"> A abertura da sessão pública ocorrerá na data e horário indicados </w:t>
      </w:r>
      <w:r>
        <w:rPr>
          <w:rFonts w:hint="default" w:ascii="Calibri" w:hAnsi="Calibri" w:cs="Calibri"/>
          <w:sz w:val="20"/>
          <w:szCs w:val="20"/>
          <w:lang w:val="pt-BR"/>
        </w:rPr>
        <w:t>na folha de rosto</w:t>
      </w:r>
      <w:r>
        <w:rPr>
          <w:rFonts w:ascii="Calibri" w:hAnsi="Calibri" w:cs="Calibri"/>
          <w:sz w:val="20"/>
          <w:szCs w:val="20"/>
        </w:rPr>
        <w:t xml:space="preserve"> deste Edital, com a divulgação das propostas de preços recebidas, na forma prevista neste instrumento convocatório.</w:t>
      </w:r>
    </w:p>
    <w:p>
      <w:pPr>
        <w:spacing w:before="120" w:after="120" w:line="360" w:lineRule="auto"/>
        <w:jc w:val="both"/>
        <w:rPr>
          <w:rFonts w:ascii="Calibri" w:hAnsi="Calibri" w:cs="Calibri"/>
          <w:sz w:val="20"/>
          <w:szCs w:val="20"/>
        </w:rPr>
      </w:pPr>
      <w:r>
        <w:rPr>
          <w:rFonts w:ascii="Calibri" w:hAnsi="Calibri" w:cs="Calibri"/>
          <w:b/>
          <w:sz w:val="20"/>
          <w:szCs w:val="20"/>
        </w:rPr>
        <w:t>8.5.</w:t>
      </w:r>
      <w:r>
        <w:rPr>
          <w:rFonts w:ascii="Calibri" w:hAnsi="Calibri" w:cs="Calibri"/>
          <w:sz w:val="20"/>
          <w:szCs w:val="20"/>
        </w:rPr>
        <w:t xml:space="preserve"> O Pregoeiro verificará as propostas apresentadas e desclassificará, motivadamente, aquelas que não estejam em conformidade com os requisitos estabelecidos neste Edital.</w:t>
      </w:r>
    </w:p>
    <w:p>
      <w:pPr>
        <w:spacing w:before="120" w:after="120" w:line="360" w:lineRule="auto"/>
        <w:jc w:val="both"/>
        <w:rPr>
          <w:rFonts w:ascii="Calibri" w:hAnsi="Calibri" w:cs="Calibri"/>
          <w:sz w:val="20"/>
          <w:szCs w:val="20"/>
        </w:rPr>
      </w:pPr>
      <w:r>
        <w:rPr>
          <w:rFonts w:ascii="Calibri" w:hAnsi="Calibri" w:cs="Calibri"/>
          <w:b/>
          <w:bCs/>
          <w:sz w:val="20"/>
          <w:szCs w:val="20"/>
        </w:rPr>
        <w:t>8.</w:t>
      </w:r>
      <w:r>
        <w:rPr>
          <w:rFonts w:ascii="Calibri" w:hAnsi="Calibri" w:cs="Calibri"/>
          <w:b/>
          <w:sz w:val="20"/>
          <w:szCs w:val="20"/>
        </w:rPr>
        <w:t>5.1.</w:t>
      </w:r>
      <w:r>
        <w:rPr>
          <w:rFonts w:ascii="Calibri" w:hAnsi="Calibri" w:cs="Calibri"/>
          <w:sz w:val="20"/>
          <w:szCs w:val="20"/>
        </w:rPr>
        <w:t xml:space="preserve"> </w:t>
      </w:r>
      <w:r>
        <w:rPr>
          <w:rFonts w:ascii="Calibri" w:hAnsi="Calibri" w:cs="Calibri"/>
          <w:bCs/>
          <w:sz w:val="20"/>
          <w:szCs w:val="20"/>
        </w:rPr>
        <w:t>O Pregoeiro poderá suspender a sessão pública para a análise dos documentos relativos às garantias de proposta apresentadas pelas licitantes.</w:t>
      </w:r>
    </w:p>
    <w:p>
      <w:pPr>
        <w:spacing w:before="120" w:after="120" w:line="360" w:lineRule="auto"/>
        <w:jc w:val="both"/>
        <w:rPr>
          <w:rFonts w:ascii="Calibri" w:hAnsi="Calibri" w:cs="Calibri"/>
          <w:sz w:val="20"/>
          <w:szCs w:val="20"/>
        </w:rPr>
      </w:pPr>
      <w:r>
        <w:rPr>
          <w:rFonts w:ascii="Calibri" w:hAnsi="Calibri" w:cs="Calibri"/>
          <w:b/>
          <w:sz w:val="20"/>
          <w:szCs w:val="20"/>
        </w:rPr>
        <w:t>8.6.</w:t>
      </w:r>
      <w:r>
        <w:rPr>
          <w:rFonts w:ascii="Calibri" w:hAnsi="Calibri" w:cs="Calibri"/>
          <w:sz w:val="20"/>
          <w:szCs w:val="20"/>
        </w:rPr>
        <w:t xml:space="preserve">  Será desclassificada a proposta que contenha elementos que permitam a sua identificação.</w:t>
      </w:r>
    </w:p>
    <w:p>
      <w:pPr>
        <w:spacing w:before="120" w:after="120" w:line="360" w:lineRule="auto"/>
        <w:jc w:val="both"/>
        <w:rPr>
          <w:rFonts w:ascii="Calibri" w:hAnsi="Calibri" w:cs="Calibri"/>
          <w:sz w:val="20"/>
          <w:szCs w:val="20"/>
        </w:rPr>
      </w:pPr>
      <w:r>
        <w:rPr>
          <w:rFonts w:ascii="Calibri" w:hAnsi="Calibri" w:cs="Calibri"/>
          <w:b/>
          <w:sz w:val="20"/>
          <w:szCs w:val="20"/>
        </w:rPr>
        <w:t>8.7.</w:t>
      </w:r>
      <w:r>
        <w:rPr>
          <w:rFonts w:ascii="Calibri" w:hAnsi="Calibri" w:cs="Calibri"/>
          <w:sz w:val="20"/>
          <w:szCs w:val="20"/>
        </w:rPr>
        <w:t xml:space="preserve"> </w:t>
      </w:r>
      <w:bookmarkStart w:id="16" w:name="_Hlk128562668"/>
      <w:r>
        <w:rPr>
          <w:rFonts w:ascii="Calibri" w:hAnsi="Calibri" w:cs="Calibri"/>
          <w:sz w:val="20"/>
          <w:szCs w:val="20"/>
        </w:rPr>
        <w:t>A desclassificação será sempre fundamentada e registrada no sistema, com acompanhamento em tempo real por todos os participantes.</w:t>
      </w:r>
    </w:p>
    <w:bookmarkEnd w:id="16"/>
    <w:p>
      <w:pPr>
        <w:spacing w:before="120" w:after="120" w:line="360" w:lineRule="auto"/>
        <w:jc w:val="both"/>
        <w:rPr>
          <w:rFonts w:ascii="Calibri" w:hAnsi="Calibri" w:cs="Calibri"/>
          <w:sz w:val="20"/>
          <w:szCs w:val="20"/>
        </w:rPr>
      </w:pPr>
      <w:r>
        <w:rPr>
          <w:rFonts w:ascii="Calibri" w:hAnsi="Calibri" w:cs="Calibri"/>
          <w:b/>
          <w:sz w:val="20"/>
          <w:szCs w:val="20"/>
        </w:rPr>
        <w:t>8.8.</w:t>
      </w:r>
      <w:r>
        <w:rPr>
          <w:rFonts w:ascii="Calibri" w:hAnsi="Calibri" w:cs="Calibri"/>
          <w:sz w:val="20"/>
          <w:szCs w:val="20"/>
        </w:rPr>
        <w:t xml:space="preserve"> Somente as licitantes com propostas classificadas participarão da fase de lances.</w:t>
      </w:r>
    </w:p>
    <w:p>
      <w:pPr>
        <w:spacing w:before="360" w:after="120" w:line="360" w:lineRule="auto"/>
        <w:ind w:left="-1701" w:right="-1418"/>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0">
                <wp:extent cx="2667000" cy="363855"/>
                <wp:effectExtent l="0" t="0" r="0" b="17145"/>
                <wp:docPr id="25" name="Forma12"/>
                <wp:cNvGraphicFramePr/>
                <a:graphic xmlns:a="http://schemas.openxmlformats.org/drawingml/2006/main">
                  <a:graphicData uri="http://schemas.microsoft.com/office/word/2010/wordprocessingShape">
                    <wps:wsp>
                      <wps:cNvSpPr/>
                      <wps:spPr>
                        <a:xfrm>
                          <a:off x="0" y="0"/>
                          <a:ext cx="2667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9. DA FASE DE LANCES</w:t>
                            </w:r>
                          </w:p>
                        </w:txbxContent>
                      </wps:txbx>
                      <wps:bodyPr anchor="ctr">
                        <a:noAutofit/>
                      </wps:bodyPr>
                    </wps:wsp>
                  </a:graphicData>
                </a:graphic>
              </wp:inline>
            </w:drawing>
          </mc:Choice>
          <mc:Fallback>
            <w:pict>
              <v:rect id="Forma12" o:spid="_x0000_s1026" o:spt="1" style="height:28.65pt;width:210pt;v-text-anchor:middle;" fillcolor="#33608E" filled="t" stroked="f" coordsize="21600,21600" o:gfxdata="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BSjIz1gAAAAQBAAAPAAAAAAAAAAEAIAAAACIAAABkcnMvZG93bnJldi54bWxQ&#10;SwECFAAUAAAACACHTuJAI2XNkcABAACPAwAADgAAAAAAAAABACAAAAAlAQAAZHJzL2Uyb0RvYy54&#10;bWxQSwUGAAAAAAYABgBZAQAAVwU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9. DA FASE DE LANCES</w:t>
                      </w:r>
                    </w:p>
                  </w:txbxContent>
                </v:textbox>
                <w10:wrap type="none"/>
                <w10:anchorlock/>
              </v:rect>
            </w:pict>
          </mc:Fallback>
        </mc:AlternateConten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9.1.</w:t>
      </w:r>
      <w:r>
        <w:rPr>
          <w:rFonts w:ascii="Calibri" w:hAnsi="Calibri" w:cs="Calibri"/>
          <w:sz w:val="20"/>
          <w:szCs w:val="20"/>
        </w:rPr>
        <w:t xml:space="preserve"> Aberta a etapa competitiva, os representantes das licitantes classificadas deverão estar conectados ao sistema eletrônico</w:t>
      </w:r>
      <w:r>
        <w:rPr>
          <w:rFonts w:ascii="Calibri" w:hAnsi="Calibri" w:cs="Calibri"/>
          <w:bCs/>
          <w:sz w:val="20"/>
          <w:szCs w:val="20"/>
        </w:rPr>
        <w:t xml:space="preserve"> e poderão </w:t>
      </w:r>
      <w:r>
        <w:rPr>
          <w:rFonts w:ascii="Calibri" w:hAnsi="Calibri" w:cs="Calibri"/>
          <w:sz w:val="20"/>
          <w:szCs w:val="20"/>
        </w:rPr>
        <w:t>encaminhar lances sucessivos, exclusivamente por meio do sistema eletrônico.</w:t>
      </w:r>
      <w:bookmarkStart w:id="17" w:name="_Hlk128563068"/>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9.2.</w:t>
      </w:r>
      <w:r>
        <w:rPr>
          <w:rFonts w:ascii="Calibri" w:hAnsi="Calibri" w:cs="Calibri"/>
          <w:sz w:val="20"/>
          <w:szCs w:val="20"/>
        </w:rPr>
        <w:t xml:space="preserve"> Caso a licitante não apresente lances, concorrerá com o valor de sua proposta.</w:t>
      </w:r>
      <w:bookmarkEnd w:id="17"/>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9.3.</w:t>
      </w:r>
      <w:r>
        <w:rPr>
          <w:rFonts w:ascii="Calibri" w:hAnsi="Calibri" w:cs="Calibri"/>
          <w:sz w:val="20"/>
          <w:szCs w:val="20"/>
        </w:rPr>
        <w:t xml:space="preserve"> O sistema eletrônico não identificará o autor dos lances aos demais participantes.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9.4.</w:t>
      </w:r>
      <w:r>
        <w:rPr>
          <w:rFonts w:ascii="Calibri" w:hAnsi="Calibri" w:cs="Calibri"/>
          <w:sz w:val="20"/>
          <w:szCs w:val="20"/>
        </w:rPr>
        <w:t xml:space="preserve"> A licitante somente poderá oferecer lance de valor inferior ao último por ela ofertado e registrado no sistema.</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9.5.</w:t>
      </w:r>
      <w:r>
        <w:rPr>
          <w:rFonts w:ascii="Calibri" w:hAnsi="Calibri" w:cs="Calibri"/>
          <w:sz w:val="20"/>
          <w:szCs w:val="20"/>
        </w:rPr>
        <w:t xml:space="preserve"> Durante o transcurso da sessão, as licitantes serão informadas, em tempo real, do valor do menor lance registrado.</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9.6.</w:t>
      </w:r>
      <w:r>
        <w:rPr>
          <w:rFonts w:ascii="Calibri" w:hAnsi="Calibri" w:cs="Calibri"/>
          <w:sz w:val="20"/>
          <w:szCs w:val="20"/>
        </w:rPr>
        <w:t xml:space="preserve"> Não serão aceitos dois ou mais lances iguais provenientes de licitantes distintas, prevalecendo aquele que for recebido e registrado primeiro.</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9.7.</w:t>
      </w:r>
      <w:r>
        <w:rPr>
          <w:rFonts w:ascii="Calibri" w:hAnsi="Calibri" w:cs="Calibri"/>
          <w:sz w:val="20"/>
          <w:szCs w:val="20"/>
        </w:rPr>
        <w:t xml:space="preserve"> Salvo se houver evidente erro material, não poderá haver desistência dos lances ofertados, sujeitando-se a licitante desistente às penalidades estabelecidas neste Edital.</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9.8.</w:t>
      </w:r>
      <w:r>
        <w:rPr>
          <w:rFonts w:ascii="Calibri" w:hAnsi="Calibri" w:cs="Calibri"/>
          <w:sz w:val="20"/>
          <w:szCs w:val="20"/>
        </w:rPr>
        <w:t xml:space="preserve"> Durante a fase de lances, o Pregoeiro poderá, justificadamente e mediante comunicação via sistema, excluir lance oriundo de evidente erro material alegado pela respectiva licitante </w:t>
      </w:r>
      <w:bookmarkStart w:id="18" w:name="_Hlk128563235"/>
      <w:r>
        <w:rPr>
          <w:rFonts w:ascii="Calibri" w:hAnsi="Calibri" w:cs="Calibri"/>
          <w:sz w:val="20"/>
          <w:szCs w:val="20"/>
        </w:rPr>
        <w:t>ou lance que possa comprometer, restringir ou frustrar o caráter competitivo do certame, implicando, nesta última hipótese, exclusão da licitante da disputa.</w:t>
      </w:r>
      <w:bookmarkEnd w:id="18"/>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9.9.</w:t>
      </w:r>
      <w:r>
        <w:rPr>
          <w:rFonts w:ascii="Calibri" w:hAnsi="Calibri" w:cs="Calibri"/>
          <w:sz w:val="20"/>
          <w:szCs w:val="20"/>
        </w:rPr>
        <w:t xml:space="preserve"> Se ocorrer a desconexão do Pregoeiro no decorrer da etapa de lances, e o sistema eletrônico permanecer acessível às licitantes</w:t>
      </w:r>
      <w:r>
        <w:rPr>
          <w:rFonts w:ascii="Calibri" w:hAnsi="Calibri" w:cs="Calibri"/>
          <w:b/>
          <w:sz w:val="20"/>
          <w:szCs w:val="20"/>
        </w:rPr>
        <w:t>,</w:t>
      </w:r>
      <w:r>
        <w:rPr>
          <w:rFonts w:ascii="Calibri" w:hAnsi="Calibri" w:cs="Calibri"/>
          <w:sz w:val="20"/>
          <w:szCs w:val="20"/>
        </w:rPr>
        <w:t xml:space="preserve"> os lances continuarão sendo recebidos, sem prejuízo dos atos realizados.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9.10.</w:t>
      </w:r>
      <w:r>
        <w:rPr>
          <w:rFonts w:ascii="Calibri" w:hAnsi="Calibri" w:cs="Calibri"/>
          <w:sz w:val="20"/>
          <w:szCs w:val="20"/>
        </w:rPr>
        <w:t xml:space="preserve"> No caso de a desconexão do Pregoeiro persistir por tempo superior a 15 (quinze) minutos, a sessão do Pregão será suspensa e terá reinício somente após comunicação expressa aos participantes no endereço </w:t>
      </w:r>
      <w:r>
        <w:fldChar w:fldCharType="begin"/>
      </w:r>
      <w:r>
        <w:instrText xml:space="preserve"> HYPERLINK "http://www.peintegrado.pe.gov.br" </w:instrText>
      </w:r>
      <w:r>
        <w:fldChar w:fldCharType="separate"/>
      </w:r>
      <w:r>
        <w:rPr>
          <w:rStyle w:val="7"/>
          <w:rFonts w:ascii="Calibri" w:hAnsi="Calibri" w:cs="Calibri"/>
          <w:color w:val="auto"/>
          <w:sz w:val="20"/>
          <w:szCs w:val="20"/>
          <w:u w:val="none"/>
        </w:rPr>
        <w:t>www.peintegrado.pe.gov.br</w:t>
      </w:r>
      <w:r>
        <w:rPr>
          <w:rStyle w:val="7"/>
          <w:rFonts w:ascii="Calibri" w:hAnsi="Calibri" w:cs="Calibri"/>
          <w:color w:val="auto"/>
          <w:sz w:val="20"/>
          <w:szCs w:val="20"/>
          <w:u w:val="none"/>
        </w:rPr>
        <w:fldChar w:fldCharType="end"/>
      </w:r>
      <w:r>
        <w:rPr>
          <w:rFonts w:ascii="Calibri" w:hAnsi="Calibri" w:cs="Calibri"/>
          <w:sz w:val="20"/>
          <w:szCs w:val="20"/>
        </w:rPr>
        <w:t>.</w:t>
      </w:r>
      <w:bookmarkStart w:id="19" w:name="_Hlk128563379"/>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9.10.1.</w:t>
      </w:r>
      <w:r>
        <w:rPr>
          <w:rFonts w:ascii="Calibri" w:hAnsi="Calibri" w:cs="Calibr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bookmarkEnd w:id="19"/>
      <w:r>
        <w:rPr>
          <w:rFonts w:ascii="Calibri" w:hAnsi="Calibri" w:cs="Calibri"/>
          <w:sz w:val="20"/>
          <w:szCs w:val="20"/>
        </w:rPr>
        <w:t>.</w:t>
      </w:r>
      <w:bookmarkStart w:id="20" w:name="_Hlk128563429"/>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9.11. </w:t>
      </w:r>
      <w:r>
        <w:rPr>
          <w:rFonts w:ascii="Calibri" w:hAnsi="Calibri" w:cs="Calibri"/>
          <w:sz w:val="20"/>
          <w:szCs w:val="20"/>
        </w:rPr>
        <w:t xml:space="preserve">O procedimento da etapa de lances seguirá de acordo com o modo de disputa </w:t>
      </w:r>
      <w:r>
        <w:rPr>
          <w:rFonts w:ascii="Calibri" w:hAnsi="Calibri" w:cs="Calibri"/>
          <w:b/>
          <w:sz w:val="20"/>
          <w:szCs w:val="20"/>
        </w:rPr>
        <w:t>aberto</w:t>
      </w:r>
      <w:r>
        <w:rPr>
          <w:rFonts w:ascii="Calibri" w:hAnsi="Calibri" w:cs="Calibri"/>
          <w:sz w:val="20"/>
          <w:szCs w:val="20"/>
        </w:rPr>
        <w:t>, conforme Termo de Referência).</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9.12.</w:t>
      </w:r>
      <w:r>
        <w:rPr>
          <w:rFonts w:ascii="Calibri" w:hAnsi="Calibri" w:cs="Calibri"/>
          <w:sz w:val="20"/>
          <w:szCs w:val="20"/>
        </w:rPr>
        <w:t xml:space="preserve"> A etapa de lances públicos e sucessivos terá duração de 15 (quinze) minutos e, após esse prazo, será prorrogada automaticamente pelo sistema se houver oferta de lance nos últimos 02 (dois) minutos do período de duração. </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9.12.1.</w:t>
      </w:r>
      <w:r>
        <w:rPr>
          <w:rFonts w:ascii="Calibri" w:hAnsi="Calibri" w:cs="Calibri"/>
          <w:sz w:val="20"/>
          <w:szCs w:val="20"/>
        </w:rPr>
        <w:t xml:space="preserve"> A prorrogação automática de que trata o item 9.12 será de 02 (dois) minutos e ocorrerá sucessivamente sempre que houver lances enviados nesse período de prorrogação, inclusive quando se tratar de lances intermediários.</w:t>
      </w:r>
    </w:p>
    <w:p>
      <w:pPr>
        <w:pStyle w:val="10"/>
        <w:jc w:val="both"/>
        <w:rPr>
          <w:rFonts w:ascii="Calibri" w:hAnsi="Calibri" w:cs="Calibri"/>
        </w:rPr>
      </w:pPr>
      <w:r>
        <w:rPr>
          <w:rFonts w:ascii="Calibri" w:hAnsi="Calibri" w:cs="Calibri"/>
          <w:b/>
          <w:bCs/>
        </w:rPr>
        <w:t>9.13.</w:t>
      </w:r>
      <w:r>
        <w:rPr>
          <w:rFonts w:ascii="Calibri" w:hAnsi="Calibri" w:cs="Calibri"/>
        </w:rPr>
        <w:t xml:space="preserve"> Na hipótese de não haver novos lances na forma prevista nos itens 9.12.1, a sessão pública será encerrada automaticamente e o sistema ordenará e divulgará os lances em ordem crescente de classificação.</w:t>
      </w:r>
    </w:p>
    <w:bookmarkEnd w:id="20"/>
    <w:p>
      <w:pPr>
        <w:spacing w:before="120" w:after="120" w:line="360" w:lineRule="auto"/>
        <w:ind w:left="-10" w:firstLine="10"/>
        <w:jc w:val="both"/>
        <w:rPr>
          <w:rFonts w:ascii="Calibri" w:hAnsi="Calibri" w:cs="Calibri"/>
          <w:iCs/>
          <w:sz w:val="20"/>
          <w:szCs w:val="20"/>
        </w:rPr>
      </w:pPr>
      <w:bookmarkStart w:id="21" w:name="_Hlk128564307"/>
      <w:r>
        <w:rPr>
          <w:rFonts w:ascii="Calibri" w:hAnsi="Calibri" w:cs="Calibri"/>
          <w:b/>
          <w:sz w:val="20"/>
          <w:szCs w:val="20"/>
        </w:rPr>
        <w:t>9.14.</w:t>
      </w:r>
      <w:r>
        <w:rPr>
          <w:rFonts w:ascii="Calibri" w:hAnsi="Calibri" w:cs="Calibri"/>
          <w:sz w:val="20"/>
          <w:szCs w:val="20"/>
        </w:rPr>
        <w:t xml:space="preserve"> Encerrada a etapa de que trata o item 9.13, o sistema ordenará e divulgará os lances segundo a ordem crescente de vantajosidade, que se dará, conforme o critério de julgamento de </w:t>
      </w:r>
      <w:r>
        <w:rPr>
          <w:rFonts w:ascii="Calibri" w:hAnsi="Calibri" w:cs="Calibri"/>
          <w:b/>
          <w:sz w:val="20"/>
          <w:szCs w:val="20"/>
          <w:u w:val="thick"/>
        </w:rPr>
        <w:t xml:space="preserve">MENOR PREÇO UNITÁRIO POR ITEM </w:t>
      </w:r>
      <w:r>
        <w:rPr>
          <w:rFonts w:ascii="Calibri" w:hAnsi="Calibri" w:cs="Calibri"/>
          <w:sz w:val="20"/>
          <w:szCs w:val="20"/>
        </w:rPr>
        <w:t>.</w:t>
      </w:r>
    </w:p>
    <w:bookmarkEnd w:id="21"/>
    <w:p>
      <w:pPr>
        <w:spacing w:before="360" w:after="120" w:line="360" w:lineRule="auto"/>
        <w:ind w:left="-1701" w:right="-1276"/>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0">
                <wp:extent cx="3524885" cy="363855"/>
                <wp:effectExtent l="0" t="0" r="18415" b="17145"/>
                <wp:docPr id="26" name="Forma13"/>
                <wp:cNvGraphicFramePr/>
                <a:graphic xmlns:a="http://schemas.openxmlformats.org/drawingml/2006/main">
                  <a:graphicData uri="http://schemas.microsoft.com/office/word/2010/wordprocessingShape">
                    <wps:wsp>
                      <wps:cNvSpPr/>
                      <wps:spPr>
                        <a:xfrm>
                          <a:off x="0" y="0"/>
                          <a:ext cx="352488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10. DOS CRITÉRIOS DE DESEMPATE</w:t>
                            </w:r>
                          </w:p>
                        </w:txbxContent>
                      </wps:txbx>
                      <wps:bodyPr anchor="ctr">
                        <a:noAutofit/>
                      </wps:bodyPr>
                    </wps:wsp>
                  </a:graphicData>
                </a:graphic>
              </wp:inline>
            </w:drawing>
          </mc:Choice>
          <mc:Fallback>
            <w:pict>
              <v:rect id="Forma13" o:spid="_x0000_s1026" o:spt="1" style="height:28.65pt;width:277.55pt;v-text-anchor:middle;" fillcolor="#33608E" filled="t" stroked="f" coordsize="21600,21600" o:gfxdata="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Byy2pTWAAAABAEAAA8AAAAAAAAAAQAgAAAAIgAAAGRycy9kb3ducmV2Lnht&#10;bFBLAQIUABQAAAAIAIdO4kA8z4S0wgEAAI8DAAAOAAAAAAAAAAEAIAAAACUBAABkcnMvZTJvRG9j&#10;LnhtbFBLBQYAAAAABgAGAFkBAABZ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10. DOS CRITÉRIOS DE DESEMPATE</w:t>
                      </w:r>
                    </w:p>
                  </w:txbxContent>
                </v:textbox>
                <w10:wrap type="none"/>
                <w10:anchorlock/>
              </v:rect>
            </w:pict>
          </mc:Fallback>
        </mc:AlternateContent>
      </w:r>
    </w:p>
    <w:p>
      <w:pPr>
        <w:spacing w:before="120" w:after="120" w:line="360" w:lineRule="auto"/>
        <w:jc w:val="both"/>
        <w:rPr>
          <w:rFonts w:hint="default" w:cs="Calibri" w:asciiTheme="minorAscii" w:hAnsiTheme="minorAscii"/>
          <w:sz w:val="20"/>
          <w:szCs w:val="20"/>
          <w:highlight w:val="none"/>
        </w:rPr>
      </w:pPr>
      <w:r>
        <w:rPr>
          <w:rFonts w:hint="default" w:cs="Calibri" w:asciiTheme="minorAscii" w:hAnsiTheme="minorAscii"/>
          <w:b/>
          <w:bCs/>
          <w:sz w:val="20"/>
          <w:szCs w:val="20"/>
          <w:highlight w:val="none"/>
        </w:rPr>
        <w:t>10.1.</w:t>
      </w:r>
      <w:r>
        <w:rPr>
          <w:rFonts w:hint="default" w:cs="Calibri" w:asciiTheme="minorAscii" w:hAnsiTheme="minorAscii"/>
          <w:sz w:val="20"/>
          <w:szCs w:val="20"/>
          <w:highlight w:val="none"/>
        </w:rPr>
        <w:t xml:space="preserve"> Encerrada a fase de disputa, havendo eventual empate entre propostas ou lances, deverão ser aplicados os critérios estabelecidos no</w:t>
      </w:r>
      <w:r>
        <w:rPr>
          <w:rFonts w:ascii="Bahnschrift" w:hAnsi="Bahnschrift" w:cs="Calibri"/>
          <w:sz w:val="24"/>
          <w:szCs w:val="24"/>
          <w:highlight w:val="none"/>
        </w:rPr>
        <w:t xml:space="preserve"> </w:t>
      </w:r>
      <w:r>
        <w:rPr>
          <w:rFonts w:hint="default" w:cs="Calibri" w:asciiTheme="minorAscii" w:hAnsiTheme="minorAscii"/>
          <w:sz w:val="20"/>
          <w:szCs w:val="20"/>
          <w:highlight w:val="none"/>
        </w:rPr>
        <w:t>art. 60 da Lei Federal nº 14.133/2021.</w:t>
      </w:r>
    </w:p>
    <w:p>
      <w:pPr>
        <w:spacing w:before="120" w:after="120" w:line="360" w:lineRule="auto"/>
        <w:jc w:val="both"/>
        <w:rPr>
          <w:rFonts w:ascii="Calibri" w:hAnsi="Calibri" w:cs="Calibri"/>
          <w:sz w:val="20"/>
          <w:szCs w:val="20"/>
        </w:rPr>
      </w:pPr>
      <w:r>
        <w:rPr>
          <w:rFonts w:ascii="Calibri" w:hAnsi="Calibri" w:cs="Calibri"/>
          <w:b/>
          <w:sz w:val="20"/>
          <w:szCs w:val="20"/>
        </w:rPr>
        <w:t>10.1.1.</w:t>
      </w:r>
      <w:r>
        <w:rPr>
          <w:rFonts w:ascii="Calibri" w:hAnsi="Calibri" w:cs="Calibri"/>
          <w:sz w:val="20"/>
          <w:szCs w:val="20"/>
        </w:rPr>
        <w:t xml:space="preserve"> Na utilização do critério de disputa final, as licitantes empatadas poderão apresentar um novo lance fechado no prazo improrrogável de 05 (cinco) minutos.</w:t>
      </w:r>
    </w:p>
    <w:p>
      <w:pPr>
        <w:spacing w:before="120" w:after="120" w:line="360" w:lineRule="auto"/>
        <w:jc w:val="both"/>
        <w:rPr>
          <w:rFonts w:ascii="Calibri" w:hAnsi="Calibri" w:cs="Calibri"/>
          <w:sz w:val="20"/>
          <w:szCs w:val="20"/>
        </w:rPr>
      </w:pPr>
      <w:bookmarkStart w:id="22" w:name="_Hlk130481511"/>
      <w:r>
        <w:rPr>
          <w:rFonts w:hint="default" w:cs="Calibri" w:asciiTheme="minorAscii" w:hAnsiTheme="minorAscii"/>
          <w:b/>
          <w:sz w:val="20"/>
          <w:szCs w:val="20"/>
          <w:highlight w:val="none"/>
        </w:rPr>
        <w:t>10.1.2.</w:t>
      </w:r>
      <w:r>
        <w:rPr>
          <w:rFonts w:hint="default" w:cs="Calibri" w:asciiTheme="minorAscii" w:hAnsiTheme="minorAscii"/>
          <w:sz w:val="20"/>
          <w:szCs w:val="20"/>
          <w:highlight w:val="none"/>
        </w:rPr>
        <w:t xml:space="preserve"> </w:t>
      </w:r>
      <w:r>
        <w:rPr>
          <w:rFonts w:hint="default" w:asciiTheme="minorAscii" w:hAnsiTheme="minorAscii" w:cstheme="minorHAnsi"/>
          <w:sz w:val="20"/>
          <w:szCs w:val="20"/>
          <w:highlight w:val="none"/>
        </w:rPr>
        <w:t>Persistindo o empate, o agente de contratação questionará às licitantes empatadas sobre o atendimento dos critérios previstos no inciso IV e no §1º do art. 60 da Lei Federal nº 14.133/2021,</w:t>
      </w:r>
      <w:r>
        <w:rPr>
          <w:rFonts w:hint="default" w:asciiTheme="minorAscii" w:hAnsiTheme="minorAscii" w:cstheme="minorHAnsi"/>
          <w:sz w:val="20"/>
          <w:szCs w:val="20"/>
        </w:rPr>
        <w:t xml:space="preserve"> assinalando prazo para que a licitante que julgue ser beneficiária do critério de preferência apresente os documentos necessários à comprovação do requisito.</w:t>
      </w:r>
      <w:r>
        <w:rPr>
          <w:rFonts w:ascii="Calibri" w:hAnsi="Calibri" w:cs="Calibri"/>
          <w:sz w:val="20"/>
          <w:szCs w:val="20"/>
        </w:rPr>
        <w:t xml:space="preserve"> </w:t>
      </w:r>
      <w:bookmarkEnd w:id="22"/>
    </w:p>
    <w:p>
      <w:pPr>
        <w:spacing w:before="120" w:after="120" w:line="360" w:lineRule="auto"/>
        <w:jc w:val="both"/>
        <w:rPr>
          <w:rFonts w:ascii="Calibri" w:hAnsi="Calibri" w:cs="Calibri"/>
          <w:sz w:val="20"/>
          <w:szCs w:val="20"/>
        </w:rPr>
      </w:pPr>
      <w:r>
        <w:rPr>
          <w:rFonts w:ascii="Calibri" w:hAnsi="Calibri" w:cs="Calibri"/>
          <w:b/>
          <w:sz w:val="20"/>
          <w:szCs w:val="20"/>
        </w:rPr>
        <w:t>10.1.3</w:t>
      </w:r>
      <w:r>
        <w:rPr>
          <w:rFonts w:ascii="Calibri" w:hAnsi="Calibri" w:cs="Calibri"/>
          <w:sz w:val="20"/>
          <w:szCs w:val="20"/>
        </w:rPr>
        <w:t>. Na hipótese de nenhuma das licitantes manifestar-se na forma prevista no item 10.1.2, ou se não for devidamente comprovado o seu direito, o Pregoeiro realizará sorteio para definir a licitante classificada provisoriamente em primeiro lugar.</w:t>
      </w:r>
    </w:p>
    <w:p>
      <w:pPr>
        <w:spacing w:before="120" w:after="120" w:line="360" w:lineRule="auto"/>
        <w:jc w:val="both"/>
        <w:rPr>
          <w:rFonts w:ascii="Calibri" w:hAnsi="Calibri" w:cs="Calibri"/>
          <w:sz w:val="20"/>
          <w:szCs w:val="20"/>
        </w:rPr>
      </w:pPr>
      <w:r>
        <w:rPr>
          <w:rFonts w:ascii="Calibri" w:hAnsi="Calibri" w:cs="Calibri"/>
          <w:b/>
          <w:sz w:val="20"/>
          <w:szCs w:val="20"/>
        </w:rPr>
        <w:t>10.2.</w:t>
      </w:r>
      <w:r>
        <w:rPr>
          <w:rFonts w:ascii="Calibri" w:hAnsi="Calibri" w:cs="Calibri"/>
          <w:sz w:val="20"/>
          <w:szCs w:val="20"/>
        </w:rPr>
        <w:t xml:space="preserve"> Não havendo empate ou desempatadas as propostas/lances nos termos do item 10.1, o Sistema procederá à verificação automática da existência de empate ficto, considerando o porte das entidades empresariais participantes. </w:t>
      </w:r>
    </w:p>
    <w:p>
      <w:pPr>
        <w:spacing w:before="120" w:after="120" w:line="360" w:lineRule="auto"/>
        <w:jc w:val="both"/>
        <w:rPr>
          <w:rFonts w:ascii="Calibri" w:hAnsi="Calibri" w:cs="Calibri"/>
          <w:sz w:val="20"/>
          <w:szCs w:val="20"/>
        </w:rPr>
      </w:pPr>
      <w:r>
        <w:rPr>
          <w:rFonts w:ascii="Calibri" w:hAnsi="Calibri" w:cs="Calibri"/>
          <w:b/>
          <w:sz w:val="20"/>
          <w:szCs w:val="20"/>
        </w:rPr>
        <w:t>10.2.1.</w:t>
      </w:r>
      <w:r>
        <w:rPr>
          <w:rFonts w:ascii="Calibri" w:hAnsi="Calibri" w:cs="Calibri"/>
          <w:sz w:val="20"/>
          <w:szCs w:val="20"/>
        </w:rPr>
        <w:t xml:space="preserve"> Se a licitante classificada em primeiro lugar for empresa de maior porte e houver lance de Microempresa, Empresa de Pequeno Porte ou Microempreendedor Individual (MEI) que seja igual ou até 5% (cinco por cento) superior à proposta mais bem classificada, considera-se a ocorrência de empate ficto, devendo ser adotadas as seguintes providências:</w:t>
      </w:r>
    </w:p>
    <w:p>
      <w:pPr>
        <w:numPr>
          <w:ilvl w:val="0"/>
          <w:numId w:val="3"/>
        </w:numPr>
        <w:spacing w:before="120" w:after="120" w:line="360" w:lineRule="auto"/>
        <w:ind w:left="0" w:firstLine="0"/>
        <w:jc w:val="both"/>
        <w:rPr>
          <w:rFonts w:ascii="Calibri" w:hAnsi="Calibri" w:cs="Calibri"/>
          <w:sz w:val="20"/>
          <w:szCs w:val="20"/>
        </w:rPr>
      </w:pPr>
      <w:r>
        <w:rPr>
          <w:rFonts w:ascii="Calibri" w:hAnsi="Calibri" w:cs="Calibri"/>
          <w:sz w:val="20"/>
          <w:szCs w:val="20"/>
        </w:rPr>
        <w:t>A Microempresa, a Empresa de Pequeno Porte, Microempreendedor Individual (MEI) ou equiparada mais bem classificado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pPr>
        <w:numPr>
          <w:ilvl w:val="0"/>
          <w:numId w:val="3"/>
        </w:numPr>
        <w:spacing w:before="120" w:after="120" w:line="360" w:lineRule="auto"/>
        <w:ind w:left="0" w:firstLine="0"/>
        <w:jc w:val="both"/>
        <w:rPr>
          <w:rFonts w:ascii="Calibri" w:hAnsi="Calibri" w:cs="Calibri"/>
          <w:sz w:val="20"/>
          <w:szCs w:val="20"/>
        </w:rPr>
      </w:pPr>
      <w:r>
        <w:rPr>
          <w:rFonts w:ascii="Calibri" w:hAnsi="Calibri" w:cs="Calibri"/>
          <w:sz w:val="20"/>
          <w:szCs w:val="20"/>
        </w:rPr>
        <w:t>A convocada que não apresentar proposta dentro do prazo de 05 (cinco) minutos, controlados pelo sistema eletrônico, decairá do direito previsto nos artigos 44 e 45 da Lei Complementar n.º 123/2006.</w:t>
      </w:r>
    </w:p>
    <w:p>
      <w:pPr>
        <w:numPr>
          <w:ilvl w:val="0"/>
          <w:numId w:val="3"/>
        </w:numPr>
        <w:spacing w:before="120" w:after="120" w:line="360" w:lineRule="auto"/>
        <w:ind w:left="0" w:firstLine="0"/>
        <w:jc w:val="both"/>
        <w:rPr>
          <w:rFonts w:ascii="Calibri" w:hAnsi="Calibri" w:cs="Calibri"/>
          <w:sz w:val="20"/>
          <w:szCs w:val="20"/>
        </w:rPr>
      </w:pPr>
      <w:r>
        <w:rPr>
          <w:rFonts w:ascii="Calibri" w:hAnsi="Calibri" w:cs="Calibri"/>
          <w:sz w:val="20"/>
          <w:szCs w:val="20"/>
        </w:rPr>
        <w:t xml:space="preserve">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por cento), na ordem de classificação, para o exercício do mesmo direito, no prazo estabelecido no subitem anterior. </w:t>
      </w:r>
    </w:p>
    <w:p>
      <w:pPr>
        <w:numPr>
          <w:ilvl w:val="0"/>
          <w:numId w:val="3"/>
        </w:numPr>
        <w:spacing w:before="120" w:after="120" w:line="360" w:lineRule="auto"/>
        <w:ind w:left="0" w:firstLine="0"/>
        <w:jc w:val="both"/>
        <w:rPr>
          <w:rFonts w:ascii="Calibri" w:hAnsi="Calibri" w:cs="Calibri"/>
          <w:sz w:val="20"/>
          <w:szCs w:val="20"/>
        </w:rPr>
      </w:pPr>
      <w:r>
        <w:rPr>
          <w:rFonts w:ascii="Calibri" w:hAnsi="Calibri" w:cs="Calibri"/>
          <w:sz w:val="20"/>
          <w:szCs w:val="20"/>
        </w:rPr>
        <w:t xml:space="preserve">Havendo mais de uma microempresa, empresa de pequeno porte, Microempreendedor Individual (MEI) ou equiparada com proposta de mesmo valor, o sistema realizará sorteio entre elas para que se identifique aquela que primeiro poderá exercer o direito de apresentar melhor oferta. </w:t>
      </w:r>
    </w:p>
    <w:p>
      <w:pPr>
        <w:spacing w:before="120" w:after="120" w:line="360" w:lineRule="auto"/>
        <w:jc w:val="both"/>
        <w:rPr>
          <w:rFonts w:ascii="Calibri" w:hAnsi="Calibri" w:cs="Calibri"/>
          <w:b/>
          <w:sz w:val="20"/>
          <w:szCs w:val="20"/>
        </w:rPr>
      </w:pPr>
      <w:r>
        <w:rPr>
          <w:rFonts w:ascii="Calibri" w:hAnsi="Calibri" w:cs="Calibri"/>
          <w:b/>
          <w:sz w:val="20"/>
          <w:szCs w:val="20"/>
        </w:rPr>
        <w:t xml:space="preserve">10.2.2. </w:t>
      </w:r>
      <w:r>
        <w:rPr>
          <w:rFonts w:ascii="Calibri" w:hAnsi="Calibri" w:cs="Calibri"/>
          <w:sz w:val="20"/>
          <w:szCs w:val="20"/>
        </w:rPr>
        <w:t>Na hipótese de não contratação nos termos previstos no item 10.2.1, a licitação prossegue com as demais licitantes.</w:t>
      </w:r>
    </w:p>
    <w:p>
      <w:pPr>
        <w:spacing w:before="360" w:after="120" w:line="360" w:lineRule="auto"/>
        <w:ind w:left="-1701" w:right="-1276"/>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0">
                <wp:extent cx="3388995" cy="363855"/>
                <wp:effectExtent l="0" t="0" r="1905" b="17145"/>
                <wp:docPr id="11" name="Forma13"/>
                <wp:cNvGraphicFramePr/>
                <a:graphic xmlns:a="http://schemas.openxmlformats.org/drawingml/2006/main">
                  <a:graphicData uri="http://schemas.microsoft.com/office/word/2010/wordprocessingShape">
                    <wps:wsp>
                      <wps:cNvSpPr/>
                      <wps:spPr>
                        <a:xfrm>
                          <a:off x="0" y="0"/>
                          <a:ext cx="338899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11. DA NEGOCIAÇÃO</w:t>
                            </w:r>
                          </w:p>
                        </w:txbxContent>
                      </wps:txbx>
                      <wps:bodyPr anchor="ctr">
                        <a:noAutofit/>
                      </wps:bodyPr>
                    </wps:wsp>
                  </a:graphicData>
                </a:graphic>
              </wp:inline>
            </w:drawing>
          </mc:Choice>
          <mc:Fallback>
            <w:pict>
              <v:rect id="Forma13" o:spid="_x0000_s1026" o:spt="1" style="height:28.65pt;width:266.85pt;v-text-anchor:middle;" fillcolor="#33608E" filled="t" stroked="f" coordsize="21600,21600" o:gfxdata="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Jx2KB1wAAAAQBAAAPAAAAAAAAAAEAIAAAACIAAABkcnMvZG93bnJldi54&#10;bWxQSwECFAAUAAAACACHTuJAV48StsIBAACPAwAADgAAAAAAAAABACAAAAAmAQAAZHJzL2Uyb0Rv&#10;Yy54bWxQSwUGAAAAAAYABgBZAQAAWgU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11. DA NEGOCIAÇÃO</w:t>
                      </w:r>
                    </w:p>
                  </w:txbxContent>
                </v:textbox>
                <w10:wrap type="none"/>
                <w10:anchorlock/>
              </v:rect>
            </w:pict>
          </mc:Fallback>
        </mc:AlternateContent>
      </w:r>
      <w:bookmarkStart w:id="23" w:name="_Hlk128565188"/>
    </w:p>
    <w:p>
      <w:pPr>
        <w:spacing w:before="120" w:after="120" w:line="360" w:lineRule="auto"/>
        <w:jc w:val="both"/>
        <w:rPr>
          <w:rFonts w:ascii="Calibri" w:hAnsi="Calibri" w:cs="Calibri"/>
          <w:sz w:val="20"/>
          <w:szCs w:val="20"/>
        </w:rPr>
      </w:pPr>
      <w:r>
        <w:rPr>
          <w:rFonts w:ascii="Calibri" w:hAnsi="Calibri" w:cs="Calibri"/>
          <w:b/>
          <w:bCs/>
          <w:sz w:val="20"/>
          <w:szCs w:val="20"/>
        </w:rPr>
        <w:t>11.1.</w:t>
      </w:r>
      <w:r>
        <w:rPr>
          <w:rFonts w:ascii="Calibri" w:hAnsi="Calibri" w:cs="Calibri"/>
          <w:sz w:val="20"/>
          <w:szCs w:val="20"/>
        </w:rPr>
        <w:t xml:space="preserve"> Após o encerramento da fase de disputa,</w:t>
      </w:r>
      <w:bookmarkEnd w:id="23"/>
      <w:r>
        <w:rPr>
          <w:rFonts w:ascii="Calibri" w:hAnsi="Calibri" w:cs="Calibri"/>
          <w:sz w:val="20"/>
          <w:szCs w:val="20"/>
        </w:rPr>
        <w:t xml:space="preserve"> o Pregoeiro deverá negociar os preços apresentados pelas licitantes, podendo encaminhar contraproposta diretamente àquela que tenha apresentado o lance mais vantajoso, observado o critério de julgamento e o valor máximo estimado para a contratação.</w:t>
      </w:r>
    </w:p>
    <w:p>
      <w:pPr>
        <w:spacing w:before="120" w:after="120" w:line="360" w:lineRule="auto"/>
        <w:jc w:val="both"/>
        <w:rPr>
          <w:rFonts w:ascii="Calibri" w:hAnsi="Calibri" w:cs="Calibri"/>
          <w:sz w:val="20"/>
          <w:szCs w:val="20"/>
        </w:rPr>
      </w:pPr>
      <w:r>
        <w:rPr>
          <w:rFonts w:ascii="Calibri" w:hAnsi="Calibri" w:cs="Calibri"/>
          <w:b/>
          <w:bCs/>
          <w:sz w:val="20"/>
          <w:szCs w:val="20"/>
        </w:rPr>
        <w:t>11.2.</w:t>
      </w:r>
      <w:r>
        <w:rPr>
          <w:rFonts w:ascii="Calibri" w:hAnsi="Calibri" w:cs="Calibri"/>
          <w:sz w:val="20"/>
          <w:szCs w:val="20"/>
        </w:rPr>
        <w:t xml:space="preserve"> A negociação será realizada por meio do sistema eletrônico, podendo ser acompanhada pelas demais licitantes.</w:t>
      </w:r>
      <w:bookmarkStart w:id="24" w:name="_Hlk128565304"/>
    </w:p>
    <w:p>
      <w:pPr>
        <w:spacing w:before="120" w:after="120" w:line="360" w:lineRule="auto"/>
        <w:jc w:val="both"/>
        <w:rPr>
          <w:rFonts w:ascii="Calibri" w:hAnsi="Calibri" w:cs="Calibri"/>
          <w:sz w:val="20"/>
          <w:szCs w:val="20"/>
        </w:rPr>
      </w:pPr>
      <w:r>
        <w:rPr>
          <w:rFonts w:ascii="Calibri" w:hAnsi="Calibri" w:cs="Calibri"/>
          <w:b/>
          <w:bCs/>
          <w:sz w:val="20"/>
          <w:szCs w:val="20"/>
        </w:rPr>
        <w:t>11.2.1.</w:t>
      </w:r>
      <w:r>
        <w:rPr>
          <w:rFonts w:ascii="Calibri" w:hAnsi="Calibri" w:cs="Calibri"/>
          <w:sz w:val="20"/>
          <w:szCs w:val="20"/>
        </w:rPr>
        <w:t xml:space="preserve"> O resultado da negociação será registrado na ata da sessão pública e divulgado a todos os licitantes.</w:t>
      </w:r>
    </w:p>
    <w:p>
      <w:pPr>
        <w:spacing w:before="120" w:after="120" w:line="360" w:lineRule="auto"/>
        <w:jc w:val="both"/>
        <w:rPr>
          <w:rFonts w:ascii="Calibri" w:hAnsi="Calibri" w:cs="Calibri"/>
          <w:sz w:val="20"/>
          <w:szCs w:val="20"/>
        </w:rPr>
      </w:pPr>
      <w:r>
        <w:rPr>
          <w:rFonts w:ascii="Calibri" w:hAnsi="Calibri" w:cs="Calibri"/>
          <w:b/>
          <w:bCs/>
          <w:sz w:val="20"/>
          <w:szCs w:val="20"/>
        </w:rPr>
        <w:t>11.3.</w:t>
      </w:r>
      <w:r>
        <w:rPr>
          <w:rFonts w:ascii="Calibri" w:hAnsi="Calibri" w:cs="Calibr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bookmarkEnd w:id="24"/>
    <w:p>
      <w:pPr>
        <w:spacing w:before="120" w:after="120" w:line="360" w:lineRule="auto"/>
        <w:jc w:val="both"/>
        <w:rPr>
          <w:rFonts w:ascii="Calibri" w:hAnsi="Calibri" w:cs="Calibri"/>
          <w:sz w:val="20"/>
          <w:szCs w:val="20"/>
        </w:rPr>
      </w:pPr>
      <w:bookmarkStart w:id="25" w:name="_Hlk128565658"/>
      <w:r>
        <w:rPr>
          <w:rFonts w:ascii="Calibri" w:hAnsi="Calibri" w:cs="Calibri"/>
          <w:b/>
          <w:sz w:val="20"/>
          <w:szCs w:val="20"/>
        </w:rPr>
        <w:t>11.4.</w:t>
      </w:r>
      <w:r>
        <w:rPr>
          <w:rFonts w:ascii="Calibri" w:hAnsi="Calibri" w:cs="Calibri"/>
          <w:sz w:val="20"/>
          <w:szCs w:val="20"/>
        </w:rPr>
        <w:t xml:space="preserve"> Os preços ﬁnais, unitários e totais, propostos pelos licitantes não poderão ultrapassar o preço unitário e global estimado pela Administração, sob pena de desclassiﬁcação da proposta.</w:t>
      </w:r>
    </w:p>
    <w:p>
      <w:pPr>
        <w:spacing w:before="120" w:after="120" w:line="360" w:lineRule="auto"/>
        <w:jc w:val="both"/>
        <w:rPr>
          <w:rFonts w:ascii="Calibri" w:hAnsi="Calibri" w:cs="Calibri"/>
          <w:sz w:val="20"/>
          <w:szCs w:val="20"/>
        </w:rPr>
      </w:pPr>
      <w:r>
        <w:rPr>
          <w:rFonts w:ascii="Calibri" w:hAnsi="Calibri" w:cs="Calibri"/>
          <w:b/>
          <w:sz w:val="20"/>
          <w:szCs w:val="20"/>
        </w:rPr>
        <w:t>11.4.1.</w:t>
      </w:r>
      <w:r>
        <w:rPr>
          <w:rFonts w:ascii="Calibri" w:hAnsi="Calibri" w:cs="Calibri"/>
          <w:sz w:val="20"/>
          <w:szCs w:val="20"/>
        </w:rPr>
        <w:t xml:space="preserve"> No critério de julgamento pelo maior desconto, o preço já decorrente da aplicação do desconto ofertado deverá respeitar o valor máximo do orçamento estimado.</w:t>
      </w:r>
    </w:p>
    <w:p>
      <w:pPr>
        <w:spacing w:before="120" w:after="120" w:line="360" w:lineRule="auto"/>
        <w:jc w:val="both"/>
        <w:rPr>
          <w:rFonts w:ascii="Calibri" w:hAnsi="Calibri" w:cs="Calibri"/>
          <w:sz w:val="20"/>
          <w:szCs w:val="20"/>
        </w:rPr>
      </w:pPr>
      <w:r>
        <w:rPr>
          <w:rFonts w:ascii="Calibri" w:hAnsi="Calibri" w:cs="Calibri"/>
          <w:b/>
          <w:sz w:val="20"/>
          <w:szCs w:val="20"/>
        </w:rPr>
        <w:t>11.5.</w:t>
      </w:r>
      <w:r>
        <w:rPr>
          <w:rFonts w:ascii="Calibri" w:hAnsi="Calibri" w:cs="Calibri"/>
          <w:sz w:val="20"/>
          <w:szCs w:val="20"/>
        </w:rPr>
        <w:t xml:space="preserve"> No caso previsto no item 11.3, o Pregoeiro buscará negociar com as licitantes subsequentes, na ordem de classificação, buscando obter proposta com valor, no mínimo, igual ao previsto no orçamento estimado.</w:t>
      </w:r>
    </w:p>
    <w:p>
      <w:pPr>
        <w:spacing w:before="120" w:after="120" w:line="360" w:lineRule="auto"/>
        <w:jc w:val="both"/>
        <w:rPr>
          <w:rFonts w:ascii="Calibri" w:hAnsi="Calibri" w:cs="Calibri"/>
          <w:sz w:val="20"/>
          <w:szCs w:val="20"/>
        </w:rPr>
      </w:pPr>
      <w:r>
        <w:rPr>
          <w:rFonts w:ascii="Calibri" w:hAnsi="Calibri" w:cs="Calibri"/>
          <w:b/>
          <w:sz w:val="20"/>
          <w:szCs w:val="20"/>
        </w:rPr>
        <w:t>11.6.</w:t>
      </w:r>
      <w:r>
        <w:rPr>
          <w:rFonts w:ascii="Calibri" w:hAnsi="Calibri" w:cs="Calibri"/>
          <w:sz w:val="20"/>
          <w:szCs w:val="20"/>
        </w:rPr>
        <w:t xml:space="preserve"> O sistema eletrônico informará a proposta de menor preço ou maior desconto imediatamente após o encerramento da etapa de lances ou, quando for o caso, após negociação promovida pelo Pregoeiro.</w:t>
      </w:r>
      <w:bookmarkEnd w:id="25"/>
    </w:p>
    <w:p>
      <w:pPr>
        <w:spacing w:before="360" w:after="120" w:line="360" w:lineRule="auto"/>
        <w:ind w:left="-1701" w:right="-1418"/>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9525">
                <wp:extent cx="7210425" cy="363855"/>
                <wp:effectExtent l="0" t="0" r="9525" b="0"/>
                <wp:docPr id="27" name="Forma14"/>
                <wp:cNvGraphicFramePr/>
                <a:graphic xmlns:a="http://schemas.openxmlformats.org/drawingml/2006/main">
                  <a:graphicData uri="http://schemas.microsoft.com/office/word/2010/wordprocessingShape">
                    <wps:wsp>
                      <wps:cNvSpPr/>
                      <wps:spPr>
                        <a:xfrm>
                          <a:off x="0" y="0"/>
                          <a:ext cx="721042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12. DA CONVOCAÇÃO DA LICITANTE CLASSIFICADA PROVISORIAMENTE EM PRIMEIRO LUGAR</w:t>
                            </w:r>
                          </w:p>
                        </w:txbxContent>
                      </wps:txbx>
                      <wps:bodyPr anchor="ctr">
                        <a:noAutofit/>
                      </wps:bodyPr>
                    </wps:wsp>
                  </a:graphicData>
                </a:graphic>
              </wp:inline>
            </w:drawing>
          </mc:Choice>
          <mc:Fallback>
            <w:pict>
              <v:rect id="Forma14" o:spid="_x0000_s1026" o:spt="1" style="height:28.65pt;width:567.75pt;v-text-anchor:middle;" fillcolor="#33608E" filled="t" stroked="f" coordsize="21600,21600" o:gfxdata="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r0Hr1wAAAAUBAAAPAAAAAAAAAAEAIAAAACIAAABkcnMvZG93bnJldi54&#10;bWxQSwECFAAUAAAACACHTuJAGUzgIsIBAACPAwAADgAAAAAAAAABACAAAAAmAQAAZHJzL2Uyb0Rv&#10;Yy54bWxQSwUGAAAAAAYABgBZAQAAWgU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12. DA CONVOCAÇÃO DA LICITANTE CLASSIFICADA PROVISORIAMENTE EM PRIMEIRO LUGAR</w:t>
                      </w:r>
                    </w:p>
                  </w:txbxContent>
                </v:textbox>
                <w10:wrap type="none"/>
                <w10:anchorlock/>
              </v:rect>
            </w:pict>
          </mc:Fallback>
        </mc:AlternateContent>
      </w:r>
    </w:p>
    <w:p>
      <w:pPr>
        <w:spacing w:before="120" w:after="120" w:line="360" w:lineRule="auto"/>
        <w:jc w:val="both"/>
        <w:rPr>
          <w:rFonts w:ascii="Calibri" w:hAnsi="Calibri" w:cs="Calibri"/>
          <w:sz w:val="20"/>
          <w:szCs w:val="20"/>
        </w:rPr>
      </w:pPr>
      <w:bookmarkStart w:id="26" w:name="_Hlk51594860"/>
      <w:r>
        <w:rPr>
          <w:rFonts w:ascii="Calibri" w:hAnsi="Calibri" w:cs="Calibri"/>
          <w:b/>
          <w:bCs/>
          <w:sz w:val="20"/>
          <w:szCs w:val="20"/>
        </w:rPr>
        <w:t>12.1.</w:t>
      </w:r>
      <w:r>
        <w:rPr>
          <w:rFonts w:ascii="Calibri" w:hAnsi="Calibri" w:cs="Calibri"/>
          <w:sz w:val="20"/>
          <w:szCs w:val="20"/>
        </w:rPr>
        <w:t xml:space="preserve"> </w:t>
      </w:r>
      <w:bookmarkStart w:id="27" w:name="_Hlk128566585"/>
      <w:r>
        <w:rPr>
          <w:rFonts w:ascii="Calibri" w:hAnsi="Calibri" w:eastAsia="Calibri" w:cs="Calibri"/>
          <w:sz w:val="20"/>
          <w:szCs w:val="20"/>
        </w:rPr>
        <w:t>Após a negociação e antes da convocação da licitante para apresentar a proposta adequada ao último lance, o Pregoeiro verificará se ela se enquadra em uma das vedações previstas no item 3.3 deste Edital, especialmente quanto à existência de sanção que impeça a participação no certamente, mediante consulta ao e-fisco, PE-Integrado,  Cadastro Nacional de Empresas Inidôneas e Suspensas (CEIS) e  Cadastro Nacional de Empresas Punidas (CNEP).</w:t>
      </w:r>
    </w:p>
    <w:bookmarkEnd w:id="27"/>
    <w:p>
      <w:pPr>
        <w:spacing w:before="120" w:after="120" w:line="360" w:lineRule="auto"/>
        <w:jc w:val="both"/>
        <w:rPr>
          <w:rFonts w:ascii="Calibri" w:hAnsi="Calibri" w:cs="Calibri"/>
          <w:sz w:val="20"/>
          <w:szCs w:val="20"/>
        </w:rPr>
      </w:pPr>
      <w:bookmarkStart w:id="28" w:name="_Hlk128566637"/>
      <w:r>
        <w:rPr>
          <w:rFonts w:ascii="Calibri" w:hAnsi="Calibri" w:cs="Calibri"/>
          <w:b/>
          <w:bCs/>
          <w:sz w:val="20"/>
          <w:szCs w:val="20"/>
        </w:rPr>
        <w:t xml:space="preserve">12.1.1. </w:t>
      </w:r>
      <w:r>
        <w:rPr>
          <w:rFonts w:ascii="Calibri" w:hAnsi="Calibri" w:cs="Calibri"/>
          <w:sz w:val="20"/>
          <w:szCs w:val="20"/>
        </w:rPr>
        <w:t>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pPr>
        <w:spacing w:before="120" w:after="120" w:line="360" w:lineRule="auto"/>
        <w:jc w:val="both"/>
        <w:rPr>
          <w:rFonts w:ascii="Calibri" w:hAnsi="Calibri" w:cs="Calibri"/>
          <w:sz w:val="20"/>
          <w:szCs w:val="20"/>
        </w:rPr>
      </w:pPr>
      <w:r>
        <w:rPr>
          <w:rFonts w:ascii="Calibri" w:hAnsi="Calibri" w:cs="Calibri"/>
          <w:b/>
          <w:bCs/>
          <w:sz w:val="20"/>
          <w:szCs w:val="20"/>
        </w:rPr>
        <w:t>12.1.2.</w:t>
      </w:r>
      <w:r>
        <w:rPr>
          <w:rFonts w:ascii="Calibri" w:hAnsi="Calibri" w:cs="Calibri"/>
          <w:sz w:val="20"/>
          <w:szCs w:val="20"/>
        </w:rPr>
        <w:t xml:space="preserve"> A consulta aos cadastros será realizada em nome da empresa licitante e também de seu sócio majoritário, nos termos do art.12 da Lei nº 8.429, de 1992.</w:t>
      </w:r>
    </w:p>
    <w:p>
      <w:pPr>
        <w:spacing w:before="120" w:after="120" w:line="360" w:lineRule="auto"/>
        <w:jc w:val="both"/>
        <w:rPr>
          <w:rFonts w:ascii="Calibri" w:hAnsi="Calibri" w:cs="Calibri"/>
          <w:sz w:val="20"/>
          <w:szCs w:val="20"/>
        </w:rPr>
      </w:pPr>
      <w:r>
        <w:rPr>
          <w:rFonts w:ascii="Calibri" w:hAnsi="Calibri" w:cs="Calibri"/>
          <w:b/>
          <w:bCs/>
          <w:sz w:val="20"/>
          <w:szCs w:val="20"/>
        </w:rPr>
        <w:t>12.1.3.</w:t>
      </w:r>
      <w:r>
        <w:rPr>
          <w:rFonts w:ascii="Calibri" w:hAnsi="Calibri" w:cs="Calibri"/>
          <w:sz w:val="20"/>
          <w:szCs w:val="20"/>
        </w:rPr>
        <w:t xml:space="preserve"> Caso reste configurada a ocorrência de alguma das vedações elencadas no item 3.3 deste edital, será declarado o impedimento de sua participação na presente licitação, devendo o Pregoeiro repetir este procedimento, convocando as licitantes subsequentes, de acordo com a ordem de classificação.</w:t>
      </w:r>
    </w:p>
    <w:bookmarkEnd w:id="28"/>
    <w:p>
      <w:pPr>
        <w:spacing w:before="120" w:after="120" w:line="360" w:lineRule="auto"/>
        <w:jc w:val="both"/>
        <w:rPr>
          <w:rFonts w:ascii="Calibri" w:hAnsi="Calibri" w:cs="Calibri"/>
          <w:sz w:val="20"/>
          <w:szCs w:val="20"/>
        </w:rPr>
      </w:pPr>
      <w:r>
        <w:rPr>
          <w:rFonts w:ascii="Calibri" w:hAnsi="Calibri" w:cs="Calibri"/>
          <w:b/>
          <w:bCs/>
          <w:sz w:val="20"/>
          <w:szCs w:val="20"/>
        </w:rPr>
        <w:t>12.2.</w:t>
      </w:r>
      <w:r>
        <w:rPr>
          <w:rFonts w:ascii="Calibri" w:hAnsi="Calibri" w:cs="Calibri"/>
          <w:sz w:val="20"/>
          <w:szCs w:val="20"/>
        </w:rPr>
        <w:t xml:space="preserve"> A licitante classificada provisoriamente em primeiro lugar será convocada para apresentar a PROPOSTA DE PREÇO ADEQUADA AO ÚLTIMO LANCE, devidamente preenchida na forma do Modelo de Proposta de Preços (Anexo I do TR), bem como os DOCUMENTOS EXIGIDOS PARA A HABILITAÇÃO DIGITALIZADOS, para fins de exame de aceitabilidade do preço e de sua habilitação.</w:t>
      </w:r>
    </w:p>
    <w:p>
      <w:pPr>
        <w:spacing w:before="120" w:after="120" w:line="360" w:lineRule="auto"/>
        <w:jc w:val="both"/>
        <w:rPr>
          <w:rFonts w:ascii="Calibri" w:hAnsi="Calibri" w:cs="Calibri"/>
          <w:sz w:val="20"/>
          <w:szCs w:val="20"/>
        </w:rPr>
      </w:pPr>
      <w:r>
        <w:rPr>
          <w:rFonts w:ascii="Calibri" w:hAnsi="Calibri" w:cs="Calibri"/>
          <w:b/>
          <w:sz w:val="20"/>
          <w:szCs w:val="20"/>
        </w:rPr>
        <w:t>12.3</w:t>
      </w:r>
      <w:r>
        <w:rPr>
          <w:rFonts w:ascii="Calibri" w:hAnsi="Calibri" w:cs="Calibri"/>
          <w:sz w:val="20"/>
          <w:szCs w:val="20"/>
        </w:rPr>
        <w:t>. Os documentos deverão ser incluídos no Sistema no prazo de 02 (duas) horas corridas, contado a partir da convocação do Pregoeiro.</w:t>
      </w:r>
    </w:p>
    <w:p>
      <w:pPr>
        <w:spacing w:before="120" w:after="120" w:line="360" w:lineRule="auto"/>
        <w:jc w:val="both"/>
        <w:rPr>
          <w:rFonts w:ascii="Calibri" w:hAnsi="Calibri" w:cs="Calibri"/>
          <w:sz w:val="20"/>
          <w:szCs w:val="20"/>
        </w:rPr>
      </w:pPr>
      <w:r>
        <w:rPr>
          <w:rFonts w:ascii="Calibri" w:hAnsi="Calibri" w:cs="Calibri"/>
          <w:b/>
          <w:sz w:val="20"/>
          <w:szCs w:val="20"/>
        </w:rPr>
        <w:t>12.4.</w:t>
      </w:r>
      <w:r>
        <w:rPr>
          <w:rFonts w:ascii="Calibri" w:hAnsi="Calibri" w:cs="Calibri"/>
          <w:sz w:val="20"/>
          <w:szCs w:val="20"/>
        </w:rPr>
        <w:t xml:space="preserve"> O prazo de que trata o item 12.3 poderá ser prorrogado por igual período, antes do término do prazo originalmente previsto, mediante solicitação da licitante ou de ofício, a critério do Pregoeiro. </w:t>
      </w:r>
    </w:p>
    <w:bookmarkEnd w:id="26"/>
    <w:p>
      <w:pPr>
        <w:spacing w:before="120" w:after="120" w:line="360" w:lineRule="auto"/>
        <w:jc w:val="both"/>
        <w:rPr>
          <w:rFonts w:ascii="Calibri" w:hAnsi="Calibri" w:cs="Calibri"/>
          <w:sz w:val="20"/>
          <w:szCs w:val="20"/>
        </w:rPr>
      </w:pPr>
      <w:r>
        <w:rPr>
          <w:rFonts w:ascii="Calibri" w:hAnsi="Calibri" w:cs="Calibri"/>
          <w:b/>
          <w:bCs/>
          <w:sz w:val="20"/>
          <w:szCs w:val="20"/>
        </w:rPr>
        <w:t xml:space="preserve">12.5. </w:t>
      </w:r>
      <w:r>
        <w:rPr>
          <w:rFonts w:ascii="Calibri" w:hAnsi="Calibri" w:cs="Calibri"/>
          <w:sz w:val="20"/>
          <w:szCs w:val="20"/>
        </w:rPr>
        <w:t>Recomenda-se que as licitantes iniciem a sessão de abertura da licitação com todos os documentos necessários à classificação/habilitação previamente digitalizados.</w:t>
      </w:r>
    </w:p>
    <w:p>
      <w:pPr>
        <w:spacing w:before="120" w:after="120" w:line="360" w:lineRule="auto"/>
        <w:jc w:val="both"/>
        <w:rPr>
          <w:rFonts w:ascii="Calibri" w:hAnsi="Calibri" w:cs="Calibri"/>
          <w:sz w:val="20"/>
          <w:szCs w:val="20"/>
        </w:rPr>
      </w:pPr>
      <w:r>
        <w:rPr>
          <w:rFonts w:ascii="Calibri" w:hAnsi="Calibri" w:cs="Calibri"/>
          <w:b/>
          <w:bCs/>
          <w:sz w:val="20"/>
          <w:szCs w:val="20"/>
        </w:rPr>
        <w:t>12.6.</w:t>
      </w:r>
      <w:r>
        <w:rPr>
          <w:rFonts w:ascii="Calibri" w:hAnsi="Calibri" w:cs="Calibri"/>
          <w:sz w:val="20"/>
          <w:szCs w:val="20"/>
        </w:rPr>
        <w:t xml:space="preserve"> A licitante responsabilizar-se-á pela documentação encaminhada, assumindo como verdadeiras suas propostas, declarações e atestados.</w:t>
      </w:r>
    </w:p>
    <w:p>
      <w:pPr>
        <w:spacing w:before="120" w:after="120" w:line="360" w:lineRule="auto"/>
        <w:jc w:val="both"/>
        <w:rPr>
          <w:rFonts w:ascii="Calibri" w:hAnsi="Calibri" w:cs="Calibri"/>
          <w:sz w:val="20"/>
          <w:szCs w:val="20"/>
        </w:rPr>
      </w:pPr>
      <w:r>
        <w:rPr>
          <w:rFonts w:ascii="Calibri" w:hAnsi="Calibri" w:cs="Calibri"/>
          <w:b/>
          <w:bCs/>
          <w:sz w:val="20"/>
          <w:szCs w:val="20"/>
        </w:rPr>
        <w:t>12.7.</w:t>
      </w:r>
      <w:r>
        <w:rPr>
          <w:rFonts w:ascii="Calibri" w:hAnsi="Calibri" w:cs="Calibri"/>
          <w:sz w:val="20"/>
          <w:szCs w:val="20"/>
        </w:rPr>
        <w:t xml:space="preserve"> Os arquivos encaminhados deverão estar legíveis.</w:t>
      </w:r>
    </w:p>
    <w:p>
      <w:pPr>
        <w:spacing w:before="120" w:after="120" w:line="360" w:lineRule="auto"/>
        <w:jc w:val="both"/>
        <w:rPr>
          <w:rFonts w:ascii="Calibri" w:hAnsi="Calibri" w:cs="Calibri"/>
          <w:sz w:val="20"/>
          <w:szCs w:val="20"/>
        </w:rPr>
      </w:pPr>
      <w:r>
        <w:rPr>
          <w:rFonts w:ascii="Calibri" w:hAnsi="Calibri" w:cs="Calibri"/>
          <w:b/>
          <w:bCs/>
          <w:sz w:val="20"/>
          <w:szCs w:val="20"/>
        </w:rPr>
        <w:t>12.8.</w:t>
      </w:r>
      <w:r>
        <w:rPr>
          <w:rFonts w:ascii="Calibri" w:hAnsi="Calibri" w:cs="Calibri"/>
          <w:sz w:val="20"/>
          <w:szCs w:val="20"/>
        </w:rPr>
        <w:t xml:space="preserve"> Caberá à licitante confirmar o recebimento pelo Pregoeiro dos documentos encaminhados pelo sistema, responsabilizando-se pelo ônus decorrente da perda de negócios causada pela inobservância de quaisquer mensagens emitidas pelo Pregoeiro no sistema.</w:t>
      </w:r>
    </w:p>
    <w:p>
      <w:pPr>
        <w:spacing w:before="120" w:after="120" w:line="360" w:lineRule="auto"/>
        <w:jc w:val="both"/>
        <w:rPr>
          <w:rFonts w:ascii="Calibri" w:hAnsi="Calibri" w:cs="Calibri"/>
          <w:sz w:val="20"/>
          <w:szCs w:val="20"/>
        </w:rPr>
      </w:pPr>
      <w:r>
        <w:rPr>
          <w:rFonts w:ascii="Calibri" w:hAnsi="Calibri" w:cs="Calibri"/>
          <w:b/>
          <w:bCs/>
          <w:sz w:val="20"/>
          <w:szCs w:val="20"/>
        </w:rPr>
        <w:t>12.9.</w:t>
      </w:r>
      <w:r>
        <w:rPr>
          <w:rFonts w:ascii="Calibri" w:hAnsi="Calibri" w:cs="Calibri"/>
          <w:sz w:val="20"/>
          <w:szCs w:val="20"/>
        </w:rPr>
        <w:t xml:space="preserve"> A licitante que abandonar o certame, deixando de encaminhar a proposta e/ou documentos de habilitação DIGITALIZADOS, no todo ou em parte, no prazo previsto no item 12.3, será desclassificada ou inabilitada do certame, conforme o caso, e sujeitar-se-á às sanções previstas neste Edital.</w:t>
      </w:r>
    </w:p>
    <w:p>
      <w:pPr>
        <w:spacing w:before="120" w:after="120" w:line="360" w:lineRule="auto"/>
        <w:jc w:val="both"/>
        <w:rPr>
          <w:rFonts w:ascii="Calibri" w:hAnsi="Calibri" w:cs="Calibri"/>
          <w:sz w:val="20"/>
          <w:szCs w:val="20"/>
        </w:rPr>
      </w:pPr>
      <w:r>
        <w:rPr>
          <w:rFonts w:ascii="Calibri" w:hAnsi="Calibri" w:cs="Calibri"/>
          <w:b/>
          <w:bCs/>
          <w:sz w:val="20"/>
          <w:szCs w:val="20"/>
        </w:rPr>
        <w:t>12.10.</w:t>
      </w:r>
      <w:r>
        <w:rPr>
          <w:rFonts w:ascii="Calibri" w:hAnsi="Calibri" w:cs="Calibri"/>
          <w:sz w:val="20"/>
          <w:szCs w:val="20"/>
        </w:rPr>
        <w:t xml:space="preserve"> A sessão será suspensa para aguardo da proposta de preços e dos documentos de habilitação, cabendo ao Pregoeiro informar, através do sistema eletrônico, a data e o horário para retomada da licitação e divulgação da aceitabilidade da proposta e do resultado da habilitação.</w:t>
      </w:r>
    </w:p>
    <w:p>
      <w:pPr>
        <w:spacing w:before="360" w:after="120" w:line="360" w:lineRule="auto"/>
        <w:ind w:left="-1701" w:right="-1418"/>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9525">
                <wp:extent cx="3688715" cy="363855"/>
                <wp:effectExtent l="0" t="0" r="6985" b="17145"/>
                <wp:docPr id="28" name="Forma15"/>
                <wp:cNvGraphicFramePr/>
                <a:graphic xmlns:a="http://schemas.openxmlformats.org/drawingml/2006/main">
                  <a:graphicData uri="http://schemas.microsoft.com/office/word/2010/wordprocessingShape">
                    <wps:wsp>
                      <wps:cNvSpPr/>
                      <wps:spPr>
                        <a:xfrm>
                          <a:off x="0" y="0"/>
                          <a:ext cx="368871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13. DA ANÁLISE DA PROPOSTA</w:t>
                            </w:r>
                          </w:p>
                        </w:txbxContent>
                      </wps:txbx>
                      <wps:bodyPr anchor="ctr">
                        <a:noAutofit/>
                      </wps:bodyPr>
                    </wps:wsp>
                  </a:graphicData>
                </a:graphic>
              </wp:inline>
            </w:drawing>
          </mc:Choice>
          <mc:Fallback>
            <w:pict>
              <v:rect id="Forma15" o:spid="_x0000_s1026" o:spt="1" style="height:28.65pt;width:290.45pt;v-text-anchor:middle;" fillcolor="#33608E" filled="t" stroked="f" coordsize="21600,21600" o:gfxdata="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aQzuBtYAAAAEAQAADwAAAAAAAAABACAAAAAiAAAAZHJzL2Rvd25yZXYueG1s&#10;UEsBAhQAFAAAAAgAh07iQP+nVovBAQAAjwMAAA4AAAAAAAAAAQAgAAAAJQEAAGRycy9lMm9Eb2Mu&#10;eG1sUEsFBgAAAAAGAAYAWQEAAFgFA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13. DA ANÁLISE DA PROPOSTA</w:t>
                      </w:r>
                    </w:p>
                  </w:txbxContent>
                </v:textbox>
                <w10:wrap type="none"/>
                <w10:anchorlock/>
              </v:rect>
            </w:pict>
          </mc:Fallback>
        </mc:AlternateConten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 xml:space="preserve">13.1. </w:t>
      </w:r>
      <w:r>
        <w:rPr>
          <w:rFonts w:ascii="Calibri" w:hAnsi="Calibri" w:cs="Calibri"/>
          <w:iCs/>
          <w:sz w:val="20"/>
          <w:szCs w:val="20"/>
        </w:rPr>
        <w:t>O Pregoeiro examinará a proposta mais bem classificada quanto à compatibilidade do preço ofertado com o valor estimado e à compatibilidade do objeto com as especificações técnicas do edital.</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 xml:space="preserve">13.2.3. </w:t>
      </w:r>
      <w:r>
        <w:rPr>
          <w:rFonts w:ascii="Calibri" w:hAnsi="Calibri" w:cs="Calibri"/>
          <w:iCs/>
          <w:sz w:val="20"/>
          <w:szCs w:val="20"/>
        </w:rPr>
        <w:t>O Pregoeiro poderá solicitar parecer de técnicos pertencentes ao quadro de pessoal do Estado de Pernambuco ou de pessoas físicas ou jurídicas com a expertise necessária, contratados para este fim.</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13.3.</w:t>
      </w:r>
      <w:bookmarkStart w:id="29" w:name="_Hlk128572243"/>
      <w:r>
        <w:rPr>
          <w:rFonts w:ascii="Calibri" w:hAnsi="Calibri" w:cs="Calibri"/>
          <w:b/>
          <w:bCs/>
          <w:iCs/>
          <w:sz w:val="20"/>
          <w:szCs w:val="20"/>
        </w:rPr>
        <w:t xml:space="preserve"> </w:t>
      </w:r>
      <w:r>
        <w:rPr>
          <w:rFonts w:ascii="Calibri" w:hAnsi="Calibri" w:cs="Calibri"/>
          <w:iCs/>
          <w:sz w:val="20"/>
          <w:szCs w:val="20"/>
        </w:rPr>
        <w:t>Eventuais falhas formais ou materiais da proposta, como erros no preenchimento da planilha ou outros que não impedem a caracterização do objeto e o fornecimento dos bens nos termos desta licitação, não constituem motivo para a desclassificação da proposta e deverão ser corrigidos pela licitante.</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13.3.1.</w:t>
      </w:r>
      <w:r>
        <w:rPr>
          <w:rFonts w:ascii="Calibri" w:hAnsi="Calibri" w:cs="Calibri"/>
          <w:iCs/>
          <w:sz w:val="20"/>
          <w:szCs w:val="20"/>
        </w:rPr>
        <w:t xml:space="preserve"> Os ajustes da proposta não poderão implicar alteração de sua substância nem aumento do seu valor global.</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 xml:space="preserve">13.3.2. </w:t>
      </w:r>
      <w:r>
        <w:rPr>
          <w:rFonts w:ascii="Calibri" w:hAnsi="Calibri" w:cs="Calibri"/>
          <w:iCs/>
          <w:sz w:val="20"/>
          <w:szCs w:val="20"/>
        </w:rPr>
        <w:t>Considera-se erro no preenchimento da planilha passível de correção a indicação de recolhimento de impostos e contribuições na forma do Simples Nacional, quando não cabível esse regime.</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 xml:space="preserve">13.3.3. </w:t>
      </w:r>
      <w:r>
        <w:rPr>
          <w:rFonts w:ascii="Calibri" w:hAnsi="Calibri" w:cs="Calibri"/>
          <w:iCs/>
          <w:sz w:val="20"/>
          <w:szCs w:val="20"/>
        </w:rPr>
        <w:t>O Pregoeiro poderá fixar prazo para o reenvio do anexo contendo a proposta ajustada quando o preço total ofertado for aceitável, mas os preços unitários que o compõem necessitarem de ajustes para adequação aos valores estimados.</w:t>
      </w:r>
      <w:bookmarkEnd w:id="29"/>
    </w:p>
    <w:p>
      <w:pPr>
        <w:spacing w:before="120" w:after="120" w:line="360" w:lineRule="auto"/>
        <w:ind w:left="-10" w:firstLine="10"/>
        <w:jc w:val="both"/>
        <w:rPr>
          <w:rFonts w:ascii="Calibri" w:hAnsi="Calibri" w:cs="Calibri"/>
          <w:sz w:val="20"/>
          <w:szCs w:val="20"/>
        </w:rPr>
      </w:pPr>
      <w:bookmarkStart w:id="30" w:name="_Hlk132641700"/>
      <w:r>
        <w:rPr>
          <w:rFonts w:ascii="Calibri" w:hAnsi="Calibri" w:cs="Calibri"/>
          <w:b/>
          <w:bCs/>
          <w:iCs/>
          <w:sz w:val="20"/>
          <w:szCs w:val="20"/>
        </w:rPr>
        <w:t>13.3</w:t>
      </w:r>
      <w:r>
        <w:rPr>
          <w:rFonts w:ascii="Calibri" w:hAnsi="Calibri" w:cs="Calibri"/>
          <w:b/>
          <w:iCs/>
          <w:sz w:val="20"/>
          <w:szCs w:val="20"/>
        </w:rPr>
        <w:t>.4.</w:t>
      </w:r>
      <w:r>
        <w:rPr>
          <w:rFonts w:ascii="Calibri" w:hAnsi="Calibri" w:cs="Calibri"/>
          <w:iCs/>
          <w:sz w:val="20"/>
          <w:szCs w:val="20"/>
        </w:rPr>
        <w:t xml:space="preserve"> </w:t>
      </w:r>
      <w:r>
        <w:rPr>
          <w:rFonts w:ascii="Calibri" w:hAnsi="Calibri" w:cs="Calibri"/>
          <w:sz w:val="20"/>
          <w:szCs w:val="20"/>
        </w:rPr>
        <w:t>No caso de discrepância entre valores grafados em algarismos e por extenso, prevalecerá o valor por extenso</w:t>
      </w:r>
    </w:p>
    <w:p>
      <w:pPr>
        <w:spacing w:before="120" w:after="120" w:line="360" w:lineRule="auto"/>
        <w:ind w:left="-10" w:firstLine="10"/>
        <w:jc w:val="both"/>
        <w:rPr>
          <w:rFonts w:ascii="Calibri" w:hAnsi="Calibri" w:cs="Calibri"/>
          <w:sz w:val="20"/>
          <w:szCs w:val="20"/>
        </w:rPr>
      </w:pPr>
      <w:r>
        <w:rPr>
          <w:rFonts w:ascii="Calibri" w:hAnsi="Calibri" w:cs="Calibri"/>
          <w:b/>
          <w:iCs/>
          <w:sz w:val="20"/>
          <w:szCs w:val="20"/>
        </w:rPr>
        <w:t>13.3.5</w:t>
      </w:r>
      <w:r>
        <w:rPr>
          <w:rFonts w:ascii="Calibri" w:hAnsi="Calibri" w:cs="Calibri"/>
          <w:iCs/>
          <w:sz w:val="20"/>
          <w:szCs w:val="20"/>
        </w:rPr>
        <w:t xml:space="preserve">. </w:t>
      </w:r>
      <w:r>
        <w:rPr>
          <w:rFonts w:ascii="Calibri" w:hAnsi="Calibri" w:cs="Calibri"/>
          <w:sz w:val="20"/>
          <w:szCs w:val="20"/>
        </w:rPr>
        <w:t>No caso de erro de multiplicação do preço unitário pela quantidade correspondente, o produto será retificado, mantendo-se inalterados o preço unitário e a quantidade.</w:t>
      </w:r>
    </w:p>
    <w:p>
      <w:pPr>
        <w:spacing w:before="120" w:after="120" w:line="360" w:lineRule="auto"/>
        <w:ind w:left="-10" w:firstLine="10"/>
        <w:jc w:val="both"/>
        <w:rPr>
          <w:rFonts w:ascii="Calibri" w:hAnsi="Calibri" w:cs="Calibri"/>
          <w:sz w:val="20"/>
          <w:szCs w:val="20"/>
        </w:rPr>
      </w:pPr>
      <w:r>
        <w:rPr>
          <w:rFonts w:ascii="Calibri" w:hAnsi="Calibri" w:cs="Calibri"/>
          <w:b/>
          <w:sz w:val="20"/>
          <w:szCs w:val="20"/>
        </w:rPr>
        <w:t>13.3.6.</w:t>
      </w:r>
      <w:r>
        <w:rPr>
          <w:rFonts w:ascii="Calibri" w:hAnsi="Calibri" w:cs="Calibri"/>
          <w:sz w:val="20"/>
          <w:szCs w:val="20"/>
        </w:rPr>
        <w:t xml:space="preserve"> No caso de erro de somatório, a adição será retificada, mantendo-se inalteradas as parcelas.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13.3.7. </w:t>
      </w:r>
      <w:r>
        <w:rPr>
          <w:rFonts w:ascii="Calibri" w:hAnsi="Calibri" w:cs="Calibri"/>
          <w:sz w:val="20"/>
          <w:szCs w:val="20"/>
        </w:rPr>
        <w:t>No caso de erros de transcrição das quantidades previstas para o fornecimento, o produto será corrigido devidamente, mantendo-se o preço unitário e se corrigindo a quantidade e o preço total.</w:t>
      </w:r>
      <w:bookmarkEnd w:id="30"/>
    </w:p>
    <w:p>
      <w:pPr>
        <w:pStyle w:val="10"/>
      </w:pPr>
      <w:r>
        <w:rPr>
          <w:rFonts w:hint="default" w:ascii="Calibri" w:hAnsi="Calibri" w:cs="Calibri"/>
          <w:b/>
          <w:bCs/>
          <w:sz w:val="20"/>
          <w:szCs w:val="20"/>
          <w:lang w:val="pt-BR"/>
        </w:rPr>
        <w:t>13.4.</w:t>
      </w:r>
      <w:r>
        <w:rPr>
          <w:b w:val="0"/>
          <w:bCs/>
        </w:rPr>
        <w:t xml:space="preserve"> Para a análise da compatibilidade do objeto com as especificações técnicas do edital, a licitante deverá anexar à proposta os seguintes documentos:</w:t>
      </w:r>
    </w:p>
    <w:p>
      <w:pPr>
        <w:pStyle w:val="10"/>
      </w:pPr>
    </w:p>
    <w:p>
      <w:pPr>
        <w:pStyle w:val="14"/>
        <w:spacing w:before="120" w:beforeAutospacing="0" w:after="120"/>
        <w:ind w:left="708" w:leftChars="0" w:right="120"/>
        <w:jc w:val="both"/>
        <w:rPr>
          <w:rFonts w:cs="Calibri" w:asciiTheme="minorHAnsi" w:hAnsiTheme="minorHAnsi"/>
          <w:b w:val="0"/>
          <w:bCs/>
          <w:color w:val="auto"/>
          <w:sz w:val="20"/>
          <w:szCs w:val="20"/>
        </w:rPr>
      </w:pPr>
      <w:r>
        <w:rPr>
          <w:rFonts w:cs="Calibri" w:asciiTheme="minorHAnsi" w:hAnsiTheme="minorHAnsi"/>
          <w:b/>
          <w:bCs w:val="0"/>
          <w:color w:val="auto"/>
          <w:sz w:val="20"/>
          <w:szCs w:val="20"/>
        </w:rPr>
        <w:t xml:space="preserve">a) </w:t>
      </w:r>
      <w:r>
        <w:rPr>
          <w:rFonts w:cs="Calibri" w:asciiTheme="minorHAnsi" w:hAnsiTheme="minorHAnsi"/>
          <w:b w:val="0"/>
          <w:bCs/>
          <w:color w:val="auto"/>
          <w:sz w:val="20"/>
          <w:szCs w:val="20"/>
        </w:rPr>
        <w:t>Comprovação de registro, cadastramento ou isenção de registro do(s) medicamentos(s) ofertado(s) na Agência Nacional de Vigilância Sanitária – ANVISA, conforme estabelece as Leis nº 6.360/1976 e 13.097/2015 ou sua publicação no Diário Oficial da União;</w:t>
      </w:r>
    </w:p>
    <w:p>
      <w:pPr>
        <w:pStyle w:val="14"/>
        <w:spacing w:before="120" w:beforeAutospacing="0" w:after="120"/>
        <w:ind w:left="708" w:leftChars="0" w:right="120"/>
        <w:jc w:val="both"/>
        <w:rPr>
          <w:rFonts w:cs="Calibri" w:asciiTheme="minorHAnsi" w:hAnsiTheme="minorHAnsi"/>
          <w:b w:val="0"/>
          <w:bCs/>
          <w:color w:val="auto"/>
          <w:sz w:val="20"/>
          <w:szCs w:val="20"/>
        </w:rPr>
      </w:pPr>
      <w:r>
        <w:rPr>
          <w:rFonts w:cs="Calibri" w:asciiTheme="minorHAnsi" w:hAnsiTheme="minorHAnsi"/>
          <w:b/>
          <w:bCs w:val="0"/>
          <w:color w:val="auto"/>
          <w:sz w:val="20"/>
          <w:szCs w:val="20"/>
        </w:rPr>
        <w:t>b)</w:t>
      </w:r>
      <w:r>
        <w:rPr>
          <w:rFonts w:cs="Calibri" w:asciiTheme="minorHAnsi" w:hAnsiTheme="minorHAnsi"/>
          <w:b w:val="0"/>
          <w:bCs/>
          <w:color w:val="auto"/>
          <w:sz w:val="20"/>
          <w:szCs w:val="20"/>
        </w:rPr>
        <w:t xml:space="preserve"> No caso de medicamentos de notificação simplificada constantes na RDC/ANVISA nº 199/2006 e suas atualizações, o licitante deverá apresentar a notificação de registro válido junto à ANVISA e a cópia do rótulo a fim de permitir a verificação das características técnicas do produto;</w:t>
      </w:r>
    </w:p>
    <w:p>
      <w:pPr>
        <w:pStyle w:val="14"/>
        <w:spacing w:before="120" w:beforeAutospacing="0" w:after="120"/>
        <w:ind w:left="708" w:leftChars="0" w:right="120"/>
        <w:jc w:val="both"/>
        <w:rPr>
          <w:rFonts w:cs="Calibri" w:asciiTheme="minorHAnsi" w:hAnsiTheme="minorHAnsi"/>
          <w:b w:val="0"/>
          <w:bCs/>
          <w:color w:val="auto"/>
          <w:sz w:val="20"/>
          <w:szCs w:val="20"/>
        </w:rPr>
      </w:pPr>
      <w:r>
        <w:rPr>
          <w:rFonts w:cs="Calibri" w:asciiTheme="minorHAnsi" w:hAnsiTheme="minorHAnsi"/>
          <w:b/>
          <w:bCs w:val="0"/>
          <w:color w:val="auto"/>
          <w:sz w:val="20"/>
          <w:szCs w:val="20"/>
        </w:rPr>
        <w:t>c)</w:t>
      </w:r>
      <w:r>
        <w:rPr>
          <w:rFonts w:cs="Calibri" w:asciiTheme="minorHAnsi" w:hAnsiTheme="minorHAnsi"/>
          <w:b w:val="0"/>
          <w:bCs/>
          <w:color w:val="auto"/>
          <w:sz w:val="20"/>
          <w:szCs w:val="20"/>
        </w:rPr>
        <w:t xml:space="preserve"> Em se tratando de medicamento importado, cuja importação seja realizada por terceiro não detentor do registro do medicamento na Anvisa, Declaração do Detentor de Registro – DDR.</w:t>
      </w:r>
    </w:p>
    <w:p>
      <w:pPr>
        <w:pStyle w:val="14"/>
        <w:spacing w:before="120" w:beforeAutospacing="0" w:after="120"/>
        <w:ind w:left="708" w:leftChars="0" w:right="120"/>
        <w:jc w:val="both"/>
        <w:rPr>
          <w:rFonts w:cs="Calibri" w:asciiTheme="minorHAnsi" w:hAnsiTheme="minorHAnsi"/>
          <w:b w:val="0"/>
          <w:bCs/>
          <w:color w:val="auto"/>
          <w:sz w:val="20"/>
          <w:szCs w:val="20"/>
        </w:rPr>
      </w:pPr>
      <w:r>
        <w:rPr>
          <w:rFonts w:cs="Calibri" w:asciiTheme="minorHAnsi" w:hAnsiTheme="minorHAnsi"/>
          <w:b/>
          <w:bCs w:val="0"/>
          <w:color w:val="auto"/>
          <w:sz w:val="20"/>
          <w:szCs w:val="20"/>
        </w:rPr>
        <w:t>d)</w:t>
      </w:r>
      <w:r>
        <w:rPr>
          <w:rFonts w:cs="Calibri" w:asciiTheme="minorHAnsi" w:hAnsiTheme="minorHAnsi"/>
          <w:b w:val="0"/>
          <w:bCs/>
          <w:color w:val="auto"/>
          <w:sz w:val="20"/>
          <w:szCs w:val="20"/>
        </w:rPr>
        <w:t xml:space="preserve"> Bula dos medicamentos.</w:t>
      </w:r>
    </w:p>
    <w:p>
      <w:pPr>
        <w:spacing w:before="120" w:after="120" w:line="360" w:lineRule="auto"/>
        <w:ind w:left="-10" w:firstLine="10"/>
        <w:jc w:val="both"/>
        <w:rPr>
          <w:rFonts w:hint="default" w:ascii="Calibri" w:hAnsi="Calibri" w:cs="Calibri"/>
          <w:sz w:val="20"/>
          <w:szCs w:val="20"/>
          <w:lang w:val="pt-BR"/>
        </w:rPr>
      </w:pPr>
    </w:p>
    <w:p>
      <w:pPr>
        <w:spacing w:before="120" w:after="120" w:line="360" w:lineRule="auto"/>
        <w:ind w:left="-10" w:firstLine="10"/>
        <w:jc w:val="both"/>
        <w:rPr>
          <w:rFonts w:ascii="Calibri" w:hAnsi="Calibri" w:cs="Calibri"/>
          <w:iCs/>
          <w:sz w:val="20"/>
          <w:szCs w:val="20"/>
        </w:rPr>
      </w:pPr>
      <w:bookmarkStart w:id="31" w:name="_Hlk128574925"/>
      <w:r>
        <w:rPr>
          <w:rFonts w:ascii="Calibri" w:hAnsi="Calibri" w:cs="Calibri"/>
          <w:b/>
          <w:bCs/>
          <w:iCs/>
          <w:sz w:val="20"/>
          <w:szCs w:val="20"/>
        </w:rPr>
        <w:t>13.</w:t>
      </w:r>
      <w:r>
        <w:rPr>
          <w:rFonts w:hint="default" w:ascii="Calibri" w:hAnsi="Calibri" w:cs="Calibri"/>
          <w:b/>
          <w:bCs/>
          <w:iCs/>
          <w:sz w:val="20"/>
          <w:szCs w:val="20"/>
          <w:lang w:val="pt-BR"/>
        </w:rPr>
        <w:t>5</w:t>
      </w:r>
      <w:r>
        <w:rPr>
          <w:rFonts w:ascii="Calibri" w:hAnsi="Calibri" w:cs="Calibri"/>
          <w:b/>
          <w:bCs/>
          <w:iCs/>
          <w:sz w:val="20"/>
          <w:szCs w:val="20"/>
        </w:rPr>
        <w:t>.</w:t>
      </w:r>
      <w:r>
        <w:rPr>
          <w:rFonts w:ascii="Calibri" w:hAnsi="Calibri" w:cs="Calibri"/>
          <w:iCs/>
          <w:sz w:val="20"/>
          <w:szCs w:val="20"/>
        </w:rPr>
        <w:t xml:space="preserve"> Na análise da proposta não se considerará qualquer oferta de vantagem não prevista neste Edital, inclusive financiamentos subsidiados ou a fundo perdido.</w:t>
      </w:r>
    </w:p>
    <w:p>
      <w:pPr>
        <w:spacing w:before="120" w:after="120" w:line="360" w:lineRule="auto"/>
        <w:ind w:left="-10" w:firstLine="10"/>
        <w:jc w:val="both"/>
        <w:rPr>
          <w:rFonts w:ascii="Calibri" w:hAnsi="Calibri" w:cs="Calibri"/>
          <w:iCs/>
          <w:sz w:val="20"/>
          <w:szCs w:val="20"/>
        </w:rPr>
      </w:pPr>
      <w:r>
        <w:rPr>
          <w:rFonts w:ascii="Calibri" w:hAnsi="Calibri" w:cs="Calibri"/>
          <w:b/>
          <w:iCs/>
          <w:sz w:val="20"/>
          <w:szCs w:val="20"/>
        </w:rPr>
        <w:t>13.</w:t>
      </w:r>
      <w:r>
        <w:rPr>
          <w:rFonts w:hint="default" w:ascii="Calibri" w:hAnsi="Calibri" w:cs="Calibri"/>
          <w:b/>
          <w:iCs/>
          <w:sz w:val="20"/>
          <w:szCs w:val="20"/>
          <w:lang w:val="pt-BR"/>
        </w:rPr>
        <w:t>6</w:t>
      </w:r>
      <w:r>
        <w:rPr>
          <w:rFonts w:ascii="Calibri" w:hAnsi="Calibri" w:cs="Calibri"/>
          <w:iCs/>
          <w:sz w:val="20"/>
          <w:szCs w:val="20"/>
        </w:rPr>
        <w:t>. Serão desclassificadas as propostas que:</w:t>
      </w:r>
    </w:p>
    <w:p>
      <w:pPr>
        <w:numPr>
          <w:ilvl w:val="0"/>
          <w:numId w:val="4"/>
        </w:numPr>
        <w:spacing w:before="120" w:after="120" w:line="360" w:lineRule="auto"/>
        <w:ind w:left="410" w:leftChars="0" w:firstLine="10"/>
        <w:jc w:val="both"/>
        <w:rPr>
          <w:rFonts w:ascii="Calibri" w:hAnsi="Calibri" w:cs="Calibri"/>
          <w:iCs/>
          <w:sz w:val="20"/>
          <w:szCs w:val="20"/>
        </w:rPr>
      </w:pPr>
      <w:r>
        <w:rPr>
          <w:rFonts w:ascii="Calibri" w:hAnsi="Calibri" w:cs="Calibri"/>
          <w:iCs/>
          <w:sz w:val="20"/>
          <w:szCs w:val="20"/>
        </w:rPr>
        <w:t>não obedeçam às especificações técnicas previstas neste Edital;</w:t>
      </w:r>
    </w:p>
    <w:p>
      <w:pPr>
        <w:numPr>
          <w:ilvl w:val="0"/>
          <w:numId w:val="4"/>
        </w:numPr>
        <w:spacing w:before="120" w:after="120" w:line="360" w:lineRule="auto"/>
        <w:ind w:left="410" w:leftChars="0" w:firstLine="10"/>
        <w:jc w:val="both"/>
        <w:rPr>
          <w:rFonts w:ascii="Calibri" w:hAnsi="Calibri" w:cs="Calibri"/>
          <w:iCs/>
          <w:sz w:val="20"/>
          <w:szCs w:val="20"/>
        </w:rPr>
      </w:pPr>
      <w:r>
        <w:rPr>
          <w:rFonts w:ascii="Calibri" w:hAnsi="Calibri" w:cs="Calibri"/>
          <w:iCs/>
          <w:sz w:val="20"/>
          <w:szCs w:val="20"/>
        </w:rPr>
        <w:t>permaneçam com valores unitários ou global superiores aos estimados, após a negociação de que trata o item 11;</w:t>
      </w:r>
    </w:p>
    <w:p>
      <w:pPr>
        <w:numPr>
          <w:ilvl w:val="0"/>
          <w:numId w:val="4"/>
        </w:numPr>
        <w:spacing w:before="120" w:after="120" w:line="360" w:lineRule="auto"/>
        <w:ind w:left="410" w:leftChars="0" w:firstLine="10"/>
        <w:jc w:val="both"/>
        <w:rPr>
          <w:rFonts w:ascii="Calibri" w:hAnsi="Calibri" w:cs="Calibri"/>
          <w:iCs/>
          <w:sz w:val="20"/>
          <w:szCs w:val="20"/>
        </w:rPr>
      </w:pPr>
      <w:r>
        <w:rPr>
          <w:rFonts w:ascii="Calibri" w:hAnsi="Calibri" w:cs="Calibri"/>
          <w:iCs/>
          <w:sz w:val="20"/>
          <w:szCs w:val="20"/>
        </w:rPr>
        <w:t>contenham preços manifestamente inexequíveis ou não tenham sua exequibilidade demonstrada, quando exigido pela Administração;</w:t>
      </w:r>
    </w:p>
    <w:p>
      <w:pPr>
        <w:numPr>
          <w:ilvl w:val="0"/>
          <w:numId w:val="4"/>
        </w:numPr>
        <w:spacing w:before="120" w:after="120" w:line="360" w:lineRule="auto"/>
        <w:ind w:left="410" w:leftChars="0" w:firstLine="10"/>
        <w:jc w:val="both"/>
        <w:rPr>
          <w:rFonts w:ascii="Calibri" w:hAnsi="Calibri" w:cs="Calibri"/>
          <w:iCs/>
          <w:sz w:val="20"/>
          <w:szCs w:val="20"/>
        </w:rPr>
      </w:pPr>
      <w:r>
        <w:rPr>
          <w:rFonts w:ascii="Calibri" w:hAnsi="Calibri" w:cs="Calibri"/>
          <w:iCs/>
          <w:sz w:val="20"/>
          <w:szCs w:val="20"/>
        </w:rPr>
        <w:t>apresentem vício ou desconformidade insanável com quaisquer outras exigências deste Edital;</w:t>
      </w:r>
    </w:p>
    <w:p>
      <w:pPr>
        <w:numPr>
          <w:ilvl w:val="0"/>
          <w:numId w:val="4"/>
        </w:numPr>
        <w:spacing w:before="120" w:after="120" w:line="360" w:lineRule="auto"/>
        <w:ind w:left="410" w:leftChars="0" w:firstLine="10"/>
        <w:jc w:val="both"/>
        <w:rPr>
          <w:rFonts w:ascii="Calibri" w:hAnsi="Calibri" w:cs="Calibri"/>
          <w:iCs/>
          <w:sz w:val="20"/>
          <w:szCs w:val="20"/>
        </w:rPr>
      </w:pPr>
      <w:r>
        <w:rPr>
          <w:rFonts w:ascii="Calibri" w:hAnsi="Calibri" w:cs="Calibri"/>
          <w:iCs/>
          <w:sz w:val="20"/>
          <w:szCs w:val="20"/>
        </w:rPr>
        <w:t>contenham falhas, apontadas pelo Pregoeiro, não corrigidas nem justificadas, mesmo após a oportunidade de saneamento de que trata o item 16 deste Edital;</w:t>
      </w:r>
    </w:p>
    <w:p>
      <w:pPr>
        <w:numPr>
          <w:ilvl w:val="0"/>
          <w:numId w:val="4"/>
        </w:numPr>
        <w:spacing w:before="120" w:after="120" w:line="360" w:lineRule="auto"/>
        <w:ind w:left="410" w:leftChars="0" w:firstLine="10"/>
        <w:jc w:val="both"/>
        <w:rPr>
          <w:rFonts w:ascii="Calibri" w:hAnsi="Calibri" w:cs="Calibri"/>
          <w:iCs/>
          <w:sz w:val="20"/>
          <w:szCs w:val="20"/>
        </w:rPr>
      </w:pPr>
      <w:r>
        <w:rPr>
          <w:rFonts w:ascii="Calibri" w:hAnsi="Calibri" w:cs="Calibri"/>
          <w:iCs/>
          <w:sz w:val="20"/>
          <w:szCs w:val="20"/>
        </w:rPr>
        <w:t>apresentem valores simbólicos, irrisórios ou de valor zero, incompatíveis com os preços de mercado, exceto quando se referirem a materiais e instalações de propriedade da licitante, para os quais ela renuncie à parcela ou à totalidade de remuneração.</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13.</w:t>
      </w:r>
      <w:r>
        <w:rPr>
          <w:rFonts w:hint="default" w:ascii="Calibri" w:hAnsi="Calibri" w:cs="Calibri"/>
          <w:b/>
          <w:bCs/>
          <w:iCs/>
          <w:sz w:val="20"/>
          <w:szCs w:val="20"/>
          <w:lang w:val="pt-BR"/>
        </w:rPr>
        <w:t>7</w:t>
      </w:r>
      <w:r>
        <w:rPr>
          <w:rFonts w:ascii="Calibri" w:hAnsi="Calibri" w:cs="Calibri"/>
          <w:b/>
          <w:bCs/>
          <w:iCs/>
          <w:sz w:val="20"/>
          <w:szCs w:val="20"/>
        </w:rPr>
        <w:t>.</w:t>
      </w:r>
      <w:r>
        <w:rPr>
          <w:rFonts w:ascii="Calibri" w:hAnsi="Calibri" w:cs="Calibri"/>
          <w:iCs/>
          <w:sz w:val="20"/>
          <w:szCs w:val="20"/>
        </w:rPr>
        <w:t xml:space="preserve"> Considerar-se-á indício de inexequibilidade de proposta valores inferiores a 50% do valor estimado para contratação.</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13.</w:t>
      </w:r>
      <w:r>
        <w:rPr>
          <w:rFonts w:hint="default" w:ascii="Calibri" w:hAnsi="Calibri" w:cs="Calibri"/>
          <w:b/>
          <w:bCs/>
          <w:iCs/>
          <w:sz w:val="20"/>
          <w:szCs w:val="20"/>
          <w:lang w:val="pt-BR"/>
        </w:rPr>
        <w:t>7</w:t>
      </w:r>
      <w:r>
        <w:rPr>
          <w:rFonts w:ascii="Calibri" w:hAnsi="Calibri" w:cs="Calibri"/>
          <w:b/>
          <w:bCs/>
          <w:iCs/>
          <w:sz w:val="20"/>
          <w:szCs w:val="20"/>
        </w:rPr>
        <w:t>.1.</w:t>
      </w:r>
      <w:r>
        <w:rPr>
          <w:rFonts w:ascii="Calibri" w:hAnsi="Calibri" w:cs="Calibri"/>
          <w:iCs/>
          <w:sz w:val="20"/>
          <w:szCs w:val="20"/>
        </w:rPr>
        <w:t xml:space="preserve"> Se houver indícios de inexequibilidade da proposta de preço, ou em caso da necessidade de esclarecimentos complementares, o Pregoeiro deverá, por meio de diligência, conferir à licitante a oportunidade de demonstrar a exequibilidade da sua proposta.</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13.</w:t>
      </w:r>
      <w:r>
        <w:rPr>
          <w:rFonts w:hint="default" w:ascii="Calibri" w:hAnsi="Calibri" w:cs="Calibri"/>
          <w:b/>
          <w:bCs/>
          <w:iCs/>
          <w:sz w:val="20"/>
          <w:szCs w:val="20"/>
          <w:lang w:val="pt-BR"/>
        </w:rPr>
        <w:t>7</w:t>
      </w:r>
      <w:r>
        <w:rPr>
          <w:rFonts w:ascii="Calibri" w:hAnsi="Calibri" w:cs="Calibri"/>
          <w:b/>
          <w:bCs/>
          <w:iCs/>
          <w:sz w:val="20"/>
          <w:szCs w:val="20"/>
        </w:rPr>
        <w:t>.2.</w:t>
      </w:r>
      <w:r>
        <w:rPr>
          <w:rFonts w:ascii="Calibri" w:hAnsi="Calibri" w:cs="Calibri"/>
          <w:iCs/>
          <w:sz w:val="20"/>
          <w:szCs w:val="20"/>
        </w:rPr>
        <w:t xml:space="preserve"> A inexequibilidade só ficará comprovada quando, cumulativamente, o custo da licitante ultrapassar o valor da proposta e inexistirem custos de oportunidade capazes de justificar o valor proposto.</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13.</w:t>
      </w:r>
      <w:r>
        <w:rPr>
          <w:rFonts w:hint="default" w:ascii="Calibri" w:hAnsi="Calibri" w:cs="Calibri"/>
          <w:b/>
          <w:bCs/>
          <w:iCs/>
          <w:sz w:val="20"/>
          <w:szCs w:val="20"/>
          <w:lang w:val="pt-BR"/>
        </w:rPr>
        <w:t>7</w:t>
      </w:r>
      <w:r>
        <w:rPr>
          <w:rFonts w:ascii="Calibri" w:hAnsi="Calibri" w:cs="Calibri"/>
          <w:b/>
          <w:bCs/>
          <w:iCs/>
          <w:sz w:val="20"/>
          <w:szCs w:val="20"/>
        </w:rPr>
        <w:t>.3.</w:t>
      </w:r>
      <w:r>
        <w:rPr>
          <w:rFonts w:ascii="Calibri" w:hAnsi="Calibri" w:cs="Calibri"/>
          <w:iCs/>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bookmarkEnd w:id="31"/>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13.</w:t>
      </w:r>
      <w:r>
        <w:rPr>
          <w:rFonts w:hint="default" w:ascii="Calibri" w:hAnsi="Calibri" w:cs="Calibri"/>
          <w:b/>
          <w:bCs/>
          <w:iCs/>
          <w:sz w:val="20"/>
          <w:szCs w:val="20"/>
          <w:lang w:val="pt-BR"/>
        </w:rPr>
        <w:t>8</w:t>
      </w:r>
      <w:r>
        <w:rPr>
          <w:rFonts w:ascii="Calibri" w:hAnsi="Calibri" w:cs="Calibri"/>
          <w:b/>
          <w:bCs/>
          <w:iCs/>
          <w:sz w:val="20"/>
          <w:szCs w:val="20"/>
        </w:rPr>
        <w:t xml:space="preserve">. </w:t>
      </w:r>
      <w:r>
        <w:rPr>
          <w:rFonts w:ascii="Calibri" w:hAnsi="Calibri" w:cs="Calibri"/>
          <w:iCs/>
          <w:sz w:val="20"/>
          <w:szCs w:val="20"/>
        </w:rPr>
        <w:t>Não se admitirá proposta que não observe a desoneração do ICMS quando se tratar de hipótese enquadrada na isenção prevista no Decreto Estadual nº 44.650/17 (Convênio ICMS 73/04).</w:t>
      </w:r>
    </w:p>
    <w:p>
      <w:pPr>
        <w:spacing w:before="120" w:after="120" w:line="360" w:lineRule="auto"/>
        <w:ind w:left="-10" w:firstLine="10"/>
        <w:jc w:val="both"/>
        <w:rPr>
          <w:rFonts w:ascii="Calibri" w:hAnsi="Calibri" w:cs="Calibri"/>
          <w:sz w:val="20"/>
          <w:szCs w:val="20"/>
        </w:rPr>
      </w:pPr>
      <w:bookmarkStart w:id="32" w:name="_Hlk132645016"/>
      <w:bookmarkStart w:id="33" w:name="_Hlk132646377"/>
      <w:r>
        <w:rPr>
          <w:rFonts w:ascii="Calibri" w:hAnsi="Calibri" w:cs="Calibri"/>
          <w:b/>
          <w:bCs/>
          <w:sz w:val="20"/>
          <w:szCs w:val="20"/>
        </w:rPr>
        <w:t>13.</w:t>
      </w:r>
      <w:r>
        <w:rPr>
          <w:rFonts w:hint="default" w:ascii="Calibri" w:hAnsi="Calibri" w:cs="Calibri"/>
          <w:b/>
          <w:bCs/>
          <w:sz w:val="20"/>
          <w:szCs w:val="20"/>
          <w:lang w:val="pt-BR"/>
        </w:rPr>
        <w:t>9</w:t>
      </w:r>
      <w:r>
        <w:rPr>
          <w:rFonts w:ascii="Calibri" w:hAnsi="Calibri" w:cs="Calibri"/>
          <w:b/>
          <w:sz w:val="20"/>
          <w:szCs w:val="20"/>
        </w:rPr>
        <w:t>.</w:t>
      </w:r>
      <w:r>
        <w:rPr>
          <w:rFonts w:ascii="Calibri" w:hAnsi="Calibri" w:cs="Calibri"/>
          <w:sz w:val="20"/>
          <w:szCs w:val="20"/>
        </w:rPr>
        <w:t xml:space="preserve"> Na proposta, não poderão ser incluídos pagamentos antecipados de quaisquer etapas ou serviços.</w:t>
      </w:r>
    </w:p>
    <w:bookmarkEnd w:id="32"/>
    <w:bookmarkEnd w:id="33"/>
    <w:p>
      <w:pPr>
        <w:spacing w:before="120" w:after="120" w:line="360" w:lineRule="auto"/>
        <w:ind w:left="-10" w:firstLine="10"/>
        <w:jc w:val="both"/>
        <w:rPr>
          <w:rFonts w:ascii="Calibri" w:hAnsi="Calibri" w:cs="Calibri"/>
          <w:iCs/>
          <w:sz w:val="20"/>
          <w:szCs w:val="20"/>
        </w:rPr>
      </w:pPr>
      <w:r>
        <w:rPr>
          <w:rFonts w:ascii="Calibri" w:hAnsi="Calibri" w:cs="Calibri"/>
          <w:b/>
          <w:iCs/>
          <w:sz w:val="20"/>
          <w:szCs w:val="20"/>
        </w:rPr>
        <w:t>13.</w:t>
      </w:r>
      <w:r>
        <w:rPr>
          <w:rFonts w:hint="default" w:ascii="Calibri" w:hAnsi="Calibri" w:cs="Calibri"/>
          <w:b/>
          <w:iCs/>
          <w:sz w:val="20"/>
          <w:szCs w:val="20"/>
          <w:lang w:val="pt-BR"/>
        </w:rPr>
        <w:t>10</w:t>
      </w:r>
      <w:r>
        <w:rPr>
          <w:rFonts w:ascii="Calibri" w:hAnsi="Calibri" w:cs="Calibri"/>
          <w:b/>
          <w:iCs/>
          <w:sz w:val="20"/>
          <w:szCs w:val="20"/>
        </w:rPr>
        <w:t>.</w:t>
      </w:r>
      <w:r>
        <w:rPr>
          <w:rFonts w:ascii="Calibri" w:hAnsi="Calibri" w:cs="Calibri"/>
          <w:iCs/>
          <w:sz w:val="20"/>
          <w:szCs w:val="20"/>
        </w:rPr>
        <w:t xml:space="preserve"> </w:t>
      </w:r>
      <w:r>
        <w:rPr>
          <w:rFonts w:ascii="Calibri" w:hAnsi="Calibri" w:cs="Calibri"/>
          <w:b/>
          <w:bCs/>
          <w:iCs/>
          <w:sz w:val="20"/>
          <w:szCs w:val="20"/>
        </w:rPr>
        <w:t xml:space="preserve"> </w:t>
      </w:r>
      <w:bookmarkStart w:id="34" w:name="_Hlk128576760"/>
      <w:r>
        <w:rPr>
          <w:rFonts w:ascii="Calibri" w:hAnsi="Calibri" w:cs="Calibri"/>
          <w:iCs/>
          <w:sz w:val="20"/>
          <w:szCs w:val="20"/>
        </w:rPr>
        <w:t>Se a proposta da licitante provisoriamente classificada em primeiro lugar não for aceita, o Pregoeiro retomará a sessão pública para convocar as licitantes subsequentes, obedecida a ordem de classificação, a fim de apresentarem proposta de preços e documentos de habilitação, no mesmo prazo e condições do item 12.3, e realizarem a negociação de que trata o item 11, até a apuração de uma que atenda às condições editalícias.</w:t>
      </w:r>
    </w:p>
    <w:p>
      <w:pPr>
        <w:spacing w:before="120" w:after="120" w:line="360" w:lineRule="auto"/>
        <w:ind w:left="-10" w:firstLine="10"/>
        <w:jc w:val="both"/>
        <w:rPr>
          <w:rFonts w:ascii="Calibri" w:hAnsi="Calibri" w:cs="Calibri"/>
          <w:iCs/>
          <w:sz w:val="20"/>
          <w:szCs w:val="20"/>
        </w:rPr>
      </w:pPr>
      <w:r>
        <w:rPr>
          <w:rFonts w:ascii="Calibri" w:hAnsi="Calibri" w:cs="Calibri"/>
          <w:b/>
          <w:bCs/>
          <w:iCs/>
          <w:sz w:val="20"/>
          <w:szCs w:val="20"/>
        </w:rPr>
        <w:t>13.1</w:t>
      </w:r>
      <w:r>
        <w:rPr>
          <w:rFonts w:hint="default" w:ascii="Calibri" w:hAnsi="Calibri" w:cs="Calibri"/>
          <w:b/>
          <w:bCs/>
          <w:iCs/>
          <w:sz w:val="20"/>
          <w:szCs w:val="20"/>
          <w:lang w:val="pt-BR"/>
        </w:rPr>
        <w:t>1</w:t>
      </w:r>
      <w:r>
        <w:rPr>
          <w:rFonts w:ascii="Calibri" w:hAnsi="Calibri" w:cs="Calibri"/>
          <w:b/>
          <w:bCs/>
          <w:iCs/>
          <w:sz w:val="20"/>
          <w:szCs w:val="20"/>
        </w:rPr>
        <w:t>.</w:t>
      </w:r>
      <w:r>
        <w:rPr>
          <w:rFonts w:ascii="Calibri" w:hAnsi="Calibri" w:cs="Calibri"/>
          <w:iCs/>
          <w:sz w:val="20"/>
          <w:szCs w:val="20"/>
        </w:rPr>
        <w:t xml:space="preserve"> Quando todas as licitantes forem desclassificadas, o Pregoeiro poderá fixar o prazo de 8 (oito) dias úteis para a apresentação de novas propostas escoimadas das causas de desclassificação.</w:t>
      </w:r>
      <w:bookmarkEnd w:id="34"/>
    </w:p>
    <w:p>
      <w:pPr>
        <w:spacing w:before="120" w:after="120" w:line="360" w:lineRule="auto"/>
        <w:jc w:val="both"/>
        <w:rPr>
          <w:rFonts w:cstheme="minorHAnsi"/>
          <w:iCs/>
          <w:sz w:val="20"/>
          <w:szCs w:val="20"/>
        </w:rPr>
      </w:pPr>
      <w:bookmarkStart w:id="35" w:name="_Hlk128576961"/>
      <w:r>
        <w:rPr>
          <w:rFonts w:cstheme="minorHAnsi"/>
          <w:b/>
          <w:bCs/>
          <w:iCs/>
          <w:sz w:val="20"/>
          <w:szCs w:val="20"/>
        </w:rPr>
        <w:t>13.1</w:t>
      </w:r>
      <w:r>
        <w:rPr>
          <w:rFonts w:hint="default" w:cstheme="minorHAnsi"/>
          <w:b/>
          <w:bCs/>
          <w:iCs/>
          <w:sz w:val="20"/>
          <w:szCs w:val="20"/>
          <w:lang w:val="pt-BR"/>
        </w:rPr>
        <w:t>2</w:t>
      </w:r>
      <w:r>
        <w:rPr>
          <w:rFonts w:cstheme="minorHAnsi"/>
          <w:b/>
          <w:bCs/>
          <w:iCs/>
          <w:sz w:val="20"/>
          <w:szCs w:val="20"/>
        </w:rPr>
        <w:t>.</w:t>
      </w:r>
      <w:r>
        <w:rPr>
          <w:rFonts w:cstheme="minorHAnsi"/>
          <w:iCs/>
          <w:sz w:val="20"/>
          <w:szCs w:val="20"/>
        </w:rPr>
        <w:t xml:space="preserve"> Classificada a proposta, o Pregoeiro dará início à fase de habilitação da licitante classificada em primeiro lugar, mediante a verificação da documentação exigida neste Edital.</w:t>
      </w:r>
      <w:bookmarkEnd w:id="35"/>
    </w:p>
    <w:p>
      <w:pPr>
        <w:spacing w:before="120" w:after="120" w:line="360" w:lineRule="auto"/>
        <w:ind w:left="-10" w:firstLine="10"/>
        <w:jc w:val="both"/>
        <w:rPr>
          <w:rFonts w:ascii="Calibri" w:hAnsi="Calibri" w:cs="Calibri"/>
          <w:iCs/>
          <w:sz w:val="20"/>
          <w:szCs w:val="20"/>
        </w:rPr>
      </w:pPr>
    </w:p>
    <w:p>
      <w:pPr>
        <w:tabs>
          <w:tab w:val="left" w:pos="851"/>
          <w:tab w:val="left" w:pos="1277"/>
        </w:tabs>
        <w:spacing w:before="360" w:after="120" w:line="360" w:lineRule="auto"/>
        <w:ind w:left="-1701"/>
        <w:jc w:val="both"/>
        <w:rPr>
          <w:rFonts w:ascii="Calibri" w:hAnsi="Calibri" w:cs="Calibri"/>
          <w:b/>
          <w:bCs/>
          <w:sz w:val="20"/>
          <w:szCs w:val="20"/>
        </w:rPr>
      </w:pPr>
      <w:r>
        <w:rPr>
          <w:rFonts w:ascii="Calibri" w:hAnsi="Calibri" w:cs="Calibri"/>
          <w:sz w:val="20"/>
          <w:szCs w:val="20"/>
          <w:lang w:eastAsia="pt-BR"/>
        </w:rPr>
        <mc:AlternateContent>
          <mc:Choice Requires="wps">
            <w:drawing>
              <wp:inline distT="0" distB="2540" distL="0" distR="9525">
                <wp:extent cx="3933825" cy="363855"/>
                <wp:effectExtent l="0" t="0" r="9525" b="17145"/>
                <wp:docPr id="22" name="Forma15"/>
                <wp:cNvGraphicFramePr/>
                <a:graphic xmlns:a="http://schemas.openxmlformats.org/drawingml/2006/main">
                  <a:graphicData uri="http://schemas.microsoft.com/office/word/2010/wordprocessingShape">
                    <wps:wsp>
                      <wps:cNvSpPr/>
                      <wps:spPr>
                        <a:xfrm>
                          <a:off x="0" y="0"/>
                          <a:ext cx="393382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14. DOS DOCUMENTOS DE HABILITAÇÃO</w:t>
                            </w:r>
                          </w:p>
                        </w:txbxContent>
                      </wps:txbx>
                      <wps:bodyPr anchor="ctr">
                        <a:noAutofit/>
                      </wps:bodyPr>
                    </wps:wsp>
                  </a:graphicData>
                </a:graphic>
              </wp:inline>
            </w:drawing>
          </mc:Choice>
          <mc:Fallback>
            <w:pict>
              <v:rect id="Forma15" o:spid="_x0000_s1026" o:spt="1" style="height:28.65pt;width:309.75pt;v-text-anchor:middle;" fillcolor="#33608E" filled="t" stroked="f" coordsize="21600,21600" o:gfxdata="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Mgizt1wAAAAQBAAAPAAAAAAAAAAEAIAAAACIAAABkcnMvZG93bnJldi54&#10;bWxQSwECFAAUAAAACACHTuJA3iDbQ8IBAACPAwAADgAAAAAAAAABACAAAAAmAQAAZHJzL2Uyb0Rv&#10;Yy54bWxQSwUGAAAAAAYABgBZAQAAWgU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14. DOS DOCUMENTOS DE HABILITAÇÃO</w:t>
                      </w:r>
                    </w:p>
                  </w:txbxContent>
                </v:textbox>
                <w10:wrap type="none"/>
                <w10:anchorlock/>
              </v:rect>
            </w:pict>
          </mc:Fallback>
        </mc:AlternateContent>
      </w:r>
    </w:p>
    <w:p>
      <w:pPr>
        <w:tabs>
          <w:tab w:val="left" w:pos="851"/>
          <w:tab w:val="left" w:pos="1277"/>
        </w:tabs>
        <w:spacing w:before="120" w:after="120" w:line="360" w:lineRule="auto"/>
        <w:jc w:val="both"/>
        <w:rPr>
          <w:rFonts w:ascii="Calibri" w:hAnsi="Calibri" w:cs="Calibri"/>
          <w:sz w:val="20"/>
          <w:szCs w:val="20"/>
        </w:rPr>
      </w:pPr>
      <w:r>
        <w:rPr>
          <w:rFonts w:ascii="Calibri" w:hAnsi="Calibri" w:cs="Calibri"/>
          <w:b/>
          <w:bCs/>
          <w:sz w:val="20"/>
          <w:szCs w:val="20"/>
        </w:rPr>
        <w:t>14.1.</w:t>
      </w:r>
      <w:r>
        <w:rPr>
          <w:rFonts w:ascii="Calibri" w:hAnsi="Calibri" w:cs="Calibri"/>
          <w:sz w:val="20"/>
          <w:szCs w:val="20"/>
        </w:rPr>
        <w:t xml:space="preserve"> A licitante classificada provisoriamente em primeiro lugar deverá apresentar os seguintes documentos, nos termos e prazo previstos neste Edital:</w:t>
      </w:r>
    </w:p>
    <w:p>
      <w:pPr>
        <w:spacing w:before="120" w:after="120" w:line="360" w:lineRule="auto"/>
        <w:jc w:val="both"/>
        <w:rPr>
          <w:rFonts w:ascii="Calibri" w:hAnsi="Calibri" w:cs="Calibri"/>
          <w:b/>
          <w:bCs/>
          <w:sz w:val="20"/>
          <w:szCs w:val="20"/>
        </w:rPr>
      </w:pPr>
      <w:r>
        <w:rPr>
          <w:rFonts w:ascii="Calibri" w:hAnsi="Calibri" w:cs="Calibri"/>
          <w:b/>
          <w:bCs/>
          <w:sz w:val="20"/>
          <w:szCs w:val="20"/>
        </w:rPr>
        <w:t>14.2.</w:t>
      </w:r>
      <w:r>
        <w:rPr>
          <w:rFonts w:ascii="Calibri" w:hAnsi="Calibri" w:cs="Calibri"/>
          <w:sz w:val="20"/>
          <w:szCs w:val="20"/>
        </w:rPr>
        <w:t xml:space="preserve"> </w:t>
      </w:r>
      <w:r>
        <w:rPr>
          <w:rFonts w:ascii="Calibri" w:hAnsi="Calibri" w:cs="Calibri"/>
          <w:b/>
          <w:bCs/>
          <w:sz w:val="20"/>
          <w:szCs w:val="20"/>
        </w:rPr>
        <w:t>Habilitação Jurídica:</w:t>
      </w:r>
    </w:p>
    <w:p>
      <w:pPr>
        <w:spacing w:before="120" w:after="120" w:line="360" w:lineRule="auto"/>
        <w:jc w:val="both"/>
        <w:rPr>
          <w:rFonts w:ascii="Calibri" w:hAnsi="Calibri" w:cs="Calibri"/>
          <w:sz w:val="20"/>
          <w:szCs w:val="20"/>
        </w:rPr>
      </w:pPr>
      <w:r>
        <w:rPr>
          <w:rFonts w:ascii="Calibri" w:hAnsi="Calibri" w:cs="Calibri"/>
          <w:b/>
          <w:bCs/>
          <w:sz w:val="20"/>
          <w:szCs w:val="20"/>
        </w:rPr>
        <w:t xml:space="preserve">14.2.2. </w:t>
      </w:r>
      <w:bookmarkStart w:id="36" w:name="_Hlk128577444"/>
      <w:r>
        <w:rPr>
          <w:rFonts w:ascii="Calibri" w:hAnsi="Calibri" w:cs="Calibri"/>
          <w:sz w:val="20"/>
          <w:szCs w:val="20"/>
        </w:rPr>
        <w:t>Empresário individual: inscrição no Registro Público de Empresas Mercantis, a cargo da Junta Comercial da respectiva sede;</w:t>
      </w:r>
    </w:p>
    <w:p>
      <w:pPr>
        <w:spacing w:before="120" w:after="120" w:line="360" w:lineRule="auto"/>
        <w:jc w:val="both"/>
        <w:rPr>
          <w:rFonts w:ascii="Calibri" w:hAnsi="Calibri" w:cs="Calibri"/>
          <w:sz w:val="20"/>
          <w:szCs w:val="20"/>
        </w:rPr>
      </w:pPr>
      <w:r>
        <w:rPr>
          <w:rFonts w:ascii="Calibri" w:hAnsi="Calibri" w:cs="Calibri"/>
          <w:b/>
          <w:bCs/>
          <w:sz w:val="20"/>
          <w:szCs w:val="20"/>
        </w:rPr>
        <w:t xml:space="preserve">14.2.3. </w:t>
      </w:r>
      <w:r>
        <w:rPr>
          <w:rFonts w:ascii="Calibri" w:hAnsi="Calibri" w:cs="Calibri"/>
          <w:sz w:val="20"/>
          <w:szCs w:val="20"/>
        </w:rPr>
        <w:t xml:space="preserve">Microempreendedor Individual - MEI: Certificado da Condição de Microempreendedor Individual - CCMEI, cuja aceitação ficará condicionada à verificação da autenticidade no sítio </w:t>
      </w:r>
      <w:r>
        <w:rPr>
          <w:rFonts w:ascii="Calibri" w:hAnsi="Calibri" w:cs="Calibri"/>
          <w:sz w:val="20"/>
          <w:szCs w:val="20"/>
          <w:u w:val="single"/>
        </w:rPr>
        <w:t>https://www.gov.br/empresas-e-negocios/pt-br/empreendedor</w:t>
      </w:r>
      <w:r>
        <w:rPr>
          <w:rFonts w:ascii="Calibri" w:hAnsi="Calibri" w:cs="Calibri"/>
          <w:sz w:val="20"/>
          <w:szCs w:val="20"/>
        </w:rPr>
        <w:t xml:space="preserve">; </w:t>
      </w:r>
    </w:p>
    <w:p>
      <w:pPr>
        <w:spacing w:before="120" w:after="120" w:line="360" w:lineRule="auto"/>
        <w:jc w:val="both"/>
        <w:rPr>
          <w:rFonts w:ascii="Calibri" w:hAnsi="Calibri" w:cs="Calibri"/>
          <w:sz w:val="20"/>
          <w:szCs w:val="20"/>
        </w:rPr>
      </w:pPr>
      <w:r>
        <w:rPr>
          <w:rFonts w:ascii="Calibri" w:hAnsi="Calibri" w:cs="Calibri"/>
          <w:b/>
          <w:bCs/>
          <w:sz w:val="20"/>
          <w:szCs w:val="20"/>
        </w:rPr>
        <w:t>14.2.4.</w:t>
      </w:r>
      <w:r>
        <w:rPr>
          <w:rFonts w:ascii="Calibri" w:hAnsi="Calibri" w:cs="Calibri"/>
          <w:sz w:val="20"/>
          <w:szCs w:val="2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spacing w:before="120" w:after="120" w:line="360" w:lineRule="auto"/>
        <w:jc w:val="both"/>
        <w:rPr>
          <w:rFonts w:ascii="Calibri" w:hAnsi="Calibri" w:cs="Calibri"/>
          <w:sz w:val="20"/>
          <w:szCs w:val="20"/>
        </w:rPr>
      </w:pPr>
      <w:r>
        <w:rPr>
          <w:rFonts w:ascii="Calibri" w:hAnsi="Calibri" w:cs="Calibri"/>
          <w:b/>
          <w:bCs/>
          <w:sz w:val="20"/>
          <w:szCs w:val="20"/>
        </w:rPr>
        <w:t xml:space="preserve">14.2.5. </w:t>
      </w:r>
      <w:r>
        <w:rPr>
          <w:rFonts w:ascii="Calibri" w:hAnsi="Calibri" w:cs="Calibri"/>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Pr>
          <w:rFonts w:ascii="Calibri" w:hAnsi="Calibri" w:cs="Calibri"/>
          <w:sz w:val="20"/>
          <w:szCs w:val="20"/>
          <w:u w:val="single"/>
        </w:rPr>
        <w:t>Instrução Normativa DREI/ME n.º 77, de 18 de março de 2020</w:t>
      </w:r>
      <w:r>
        <w:rPr>
          <w:rFonts w:ascii="Calibri" w:hAnsi="Calibri" w:cs="Calibri"/>
          <w:sz w:val="20"/>
          <w:szCs w:val="20"/>
        </w:rPr>
        <w:t>.</w:t>
      </w:r>
    </w:p>
    <w:p>
      <w:pPr>
        <w:spacing w:before="120" w:after="120" w:line="360" w:lineRule="auto"/>
        <w:jc w:val="both"/>
        <w:rPr>
          <w:rFonts w:ascii="Calibri" w:hAnsi="Calibri" w:cs="Calibri"/>
          <w:sz w:val="20"/>
          <w:szCs w:val="20"/>
        </w:rPr>
      </w:pPr>
      <w:r>
        <w:rPr>
          <w:rFonts w:ascii="Calibri" w:hAnsi="Calibri" w:cs="Calibri"/>
          <w:b/>
          <w:bCs/>
          <w:sz w:val="20"/>
          <w:szCs w:val="20"/>
        </w:rPr>
        <w:t>14.2.5.1.</w:t>
      </w:r>
      <w:r>
        <w:rPr>
          <w:rFonts w:ascii="Calibri" w:hAnsi="Calibri" w:cs="Calibri"/>
          <w:sz w:val="20"/>
          <w:szCs w:val="20"/>
        </w:rPr>
        <w:t xml:space="preserve"> Sociedades estrangeiras que não funcionem no País devem apresentar documentos de habilitação equivalentes, na forma de regulamento emitido pelo Poder Executivo Federal, inicialmente em tradução livre.</w:t>
      </w:r>
    </w:p>
    <w:p>
      <w:pPr>
        <w:spacing w:before="120" w:after="120" w:line="360" w:lineRule="auto"/>
        <w:jc w:val="both"/>
        <w:rPr>
          <w:rFonts w:ascii="Calibri" w:hAnsi="Calibri" w:cs="Calibri"/>
          <w:sz w:val="20"/>
          <w:szCs w:val="20"/>
        </w:rPr>
      </w:pPr>
      <w:r>
        <w:rPr>
          <w:rFonts w:ascii="Calibri" w:hAnsi="Calibri" w:cs="Calibri"/>
          <w:b/>
          <w:bCs/>
          <w:sz w:val="20"/>
          <w:szCs w:val="20"/>
        </w:rPr>
        <w:t xml:space="preserve">14.2.6. </w:t>
      </w:r>
      <w:r>
        <w:rPr>
          <w:rFonts w:ascii="Calibri" w:hAnsi="Calibri" w:cs="Calibri"/>
          <w:sz w:val="20"/>
          <w:szCs w:val="20"/>
        </w:rPr>
        <w:t>Sociedade simples: inscrição do ato constitutivo no Registro Civil de Pessoas Jurídicas do local de sua sede, acompanhada de documento comprobatório de seus administradores;</w:t>
      </w:r>
    </w:p>
    <w:p>
      <w:pPr>
        <w:spacing w:before="120" w:after="120" w:line="360" w:lineRule="auto"/>
        <w:jc w:val="both"/>
        <w:rPr>
          <w:rFonts w:ascii="Calibri" w:hAnsi="Calibri" w:cs="Calibri"/>
          <w:b/>
          <w:bCs/>
          <w:sz w:val="20"/>
          <w:szCs w:val="20"/>
        </w:rPr>
      </w:pPr>
      <w:r>
        <w:rPr>
          <w:rFonts w:ascii="Calibri" w:hAnsi="Calibri" w:cs="Calibri"/>
          <w:b/>
          <w:bCs/>
          <w:sz w:val="20"/>
          <w:szCs w:val="20"/>
        </w:rPr>
        <w:t xml:space="preserve">14.2.7. </w:t>
      </w:r>
      <w:r>
        <w:rPr>
          <w:rFonts w:ascii="Calibri" w:hAnsi="Calibri" w:cs="Calibri"/>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7" w:name="_Int_ySfCXwr4"/>
      <w:r>
        <w:rPr>
          <w:rFonts w:ascii="Calibri" w:hAnsi="Calibri" w:cs="Calibri"/>
          <w:sz w:val="20"/>
          <w:szCs w:val="20"/>
        </w:rPr>
        <w:t>Mercantis onde</w:t>
      </w:r>
      <w:bookmarkEnd w:id="37"/>
      <w:r>
        <w:rPr>
          <w:rFonts w:ascii="Calibri" w:hAnsi="Calibri" w:cs="Calibri"/>
          <w:sz w:val="20"/>
          <w:szCs w:val="20"/>
        </w:rPr>
        <w:t xml:space="preserve"> opera, com averbação no Registro onde tem sede a matriz.</w:t>
      </w:r>
      <w:bookmarkEnd w:id="36"/>
    </w:p>
    <w:p>
      <w:pPr>
        <w:pStyle w:val="14"/>
        <w:spacing w:before="120" w:beforeAutospacing="0" w:after="120"/>
        <w:ind w:right="120"/>
        <w:jc w:val="both"/>
        <w:rPr>
          <w:rFonts w:cs="Calibri" w:asciiTheme="minorHAnsi" w:hAnsiTheme="minorHAnsi"/>
          <w:b/>
          <w:color w:val="auto"/>
          <w:sz w:val="20"/>
          <w:szCs w:val="20"/>
        </w:rPr>
      </w:pPr>
      <w:bookmarkStart w:id="38" w:name="_Hlk128579388"/>
      <w:r>
        <w:rPr>
          <w:rStyle w:val="4"/>
          <w:rFonts w:ascii="Calibri" w:hAnsi="Calibri" w:cs="Calibri"/>
          <w:b w:val="0"/>
          <w:color w:val="auto"/>
          <w:sz w:val="20"/>
          <w:szCs w:val="20"/>
        </w:rPr>
        <w:t xml:space="preserve">14.2.8. </w:t>
      </w:r>
      <w:r>
        <w:rPr>
          <w:rFonts w:eastAsia="SimSun" w:cs="Calibri" w:asciiTheme="minorHAnsi" w:hAnsiTheme="minorHAnsi"/>
          <w:b/>
          <w:color w:val="auto"/>
          <w:sz w:val="20"/>
          <w:szCs w:val="20"/>
        </w:rPr>
        <w:t>Autorização de Funcionamento da Empresa (AFE) expedida pela Agência Nacional de Vigilância Sanitária (ANVISA).</w:t>
      </w:r>
    </w:p>
    <w:p>
      <w:pPr>
        <w:pStyle w:val="14"/>
        <w:spacing w:before="120" w:beforeAutospacing="0" w:after="120"/>
        <w:ind w:right="120"/>
        <w:jc w:val="both"/>
        <w:rPr>
          <w:rFonts w:ascii="Calibri" w:hAnsi="Calibri" w:cs="Calibri"/>
          <w:b/>
          <w:color w:val="auto"/>
          <w:sz w:val="20"/>
          <w:szCs w:val="20"/>
        </w:rPr>
      </w:pPr>
      <w:r>
        <w:rPr>
          <w:rStyle w:val="4"/>
          <w:rFonts w:ascii="Calibri" w:hAnsi="Calibri" w:cs="Calibri"/>
          <w:b w:val="0"/>
          <w:color w:val="auto"/>
          <w:sz w:val="20"/>
          <w:szCs w:val="20"/>
        </w:rPr>
        <w:t>14.2.9. </w:t>
      </w:r>
      <w:r>
        <w:rPr>
          <w:rFonts w:ascii="Calibri" w:hAnsi="Calibri" w:cs="Calibri"/>
          <w:b/>
          <w:color w:val="auto"/>
          <w:sz w:val="20"/>
          <w:szCs w:val="20"/>
        </w:rPr>
        <w:t>Licença de funcionamento do estabelecimento emitida pelo órgão sanitário competente da unidade federativa em que se localize.</w:t>
      </w:r>
    </w:p>
    <w:p>
      <w:pPr>
        <w:pStyle w:val="14"/>
        <w:spacing w:before="120" w:beforeAutospacing="0" w:after="120"/>
        <w:ind w:right="120"/>
        <w:jc w:val="both"/>
        <w:rPr>
          <w:rFonts w:ascii="Calibri" w:hAnsi="Calibri" w:cs="Calibri"/>
          <w:b/>
          <w:color w:val="auto"/>
          <w:sz w:val="20"/>
          <w:szCs w:val="20"/>
        </w:rPr>
      </w:pPr>
      <w:r>
        <w:rPr>
          <w:rStyle w:val="4"/>
          <w:rFonts w:ascii="Calibri" w:hAnsi="Calibri" w:cs="Calibri"/>
          <w:b w:val="0"/>
          <w:color w:val="auto"/>
          <w:sz w:val="20"/>
          <w:szCs w:val="20"/>
        </w:rPr>
        <w:t>14.2.10. </w:t>
      </w:r>
      <w:r>
        <w:rPr>
          <w:rFonts w:ascii="Calibri" w:hAnsi="Calibri" w:cs="Calibri"/>
          <w:b/>
          <w:color w:val="auto"/>
          <w:sz w:val="20"/>
          <w:szCs w:val="20"/>
        </w:rPr>
        <w:t>Em caso de medicamentos sujeitos a controle especial, relacionados na Portaria SVS/MS nº 344/98, Autorização Especial (AE) expedida pela Agência Nacional de Vigilância Sanitária (ANVISA).</w:t>
      </w:r>
    </w:p>
    <w:p>
      <w:pPr>
        <w:spacing w:before="120" w:after="120" w:line="360" w:lineRule="auto"/>
        <w:jc w:val="both"/>
        <w:rPr>
          <w:rFonts w:ascii="Calibri" w:hAnsi="Calibri" w:cs="Calibri"/>
          <w:sz w:val="20"/>
          <w:szCs w:val="20"/>
        </w:rPr>
      </w:pPr>
      <w:r>
        <w:rPr>
          <w:rFonts w:ascii="Calibri" w:hAnsi="Calibri" w:cs="Calibri"/>
          <w:b/>
          <w:sz w:val="20"/>
          <w:szCs w:val="20"/>
        </w:rPr>
        <w:t xml:space="preserve">14.2.11. </w:t>
      </w:r>
      <w:r>
        <w:rPr>
          <w:rFonts w:ascii="Calibri" w:hAnsi="Calibri" w:cs="Calibri"/>
          <w:sz w:val="20"/>
          <w:szCs w:val="20"/>
        </w:rPr>
        <w:t>Os documentos apresentados deverão estar acompanhados de todas as alterações ou da consolidação respectiva.</w:t>
      </w:r>
      <w:bookmarkEnd w:id="38"/>
    </w:p>
    <w:p>
      <w:pPr>
        <w:spacing w:before="120" w:after="120" w:line="360" w:lineRule="auto"/>
        <w:jc w:val="both"/>
        <w:rPr>
          <w:rFonts w:ascii="Calibri" w:hAnsi="Calibri" w:cs="Calibri"/>
          <w:sz w:val="20"/>
          <w:szCs w:val="20"/>
        </w:rPr>
      </w:pPr>
      <w:r>
        <w:rPr>
          <w:rFonts w:ascii="Calibri" w:hAnsi="Calibri" w:cs="Calibri"/>
          <w:b/>
          <w:bCs/>
          <w:sz w:val="20"/>
          <w:szCs w:val="20"/>
        </w:rPr>
        <w:t>14.3. Regularidade Fiscal, Social e Trabalhista:</w:t>
      </w:r>
    </w:p>
    <w:p>
      <w:pPr>
        <w:spacing w:before="120" w:after="120" w:line="360" w:lineRule="auto"/>
        <w:jc w:val="both"/>
        <w:rPr>
          <w:rFonts w:ascii="Calibri" w:hAnsi="Calibri" w:cs="Calibri"/>
          <w:b/>
          <w:sz w:val="20"/>
          <w:szCs w:val="20"/>
        </w:rPr>
      </w:pPr>
      <w:r>
        <w:rPr>
          <w:rFonts w:ascii="Calibri" w:hAnsi="Calibri" w:cs="Calibri"/>
          <w:b/>
          <w:sz w:val="20"/>
          <w:szCs w:val="20"/>
        </w:rPr>
        <w:t xml:space="preserve">14.3.1. </w:t>
      </w:r>
      <w:bookmarkStart w:id="39" w:name="_Hlk128579658"/>
      <w:r>
        <w:rPr>
          <w:rFonts w:ascii="Calibri" w:hAnsi="Calibri" w:cs="Calibri"/>
          <w:sz w:val="20"/>
          <w:szCs w:val="20"/>
        </w:rPr>
        <w:t xml:space="preserve">Prova de inscrição no Cadastro Nacional de Pessoas Jurídicas </w:t>
      </w:r>
      <w:bookmarkEnd w:id="39"/>
      <w:r>
        <w:rPr>
          <w:rFonts w:ascii="Calibri" w:hAnsi="Calibri" w:cs="Calibri"/>
          <w:sz w:val="20"/>
          <w:szCs w:val="20"/>
        </w:rPr>
        <w:t>ou no Cadastro de Pessoas Físicas, conforme o caso;</w:t>
      </w:r>
    </w:p>
    <w:p>
      <w:pPr>
        <w:spacing w:before="120" w:after="120" w:line="360" w:lineRule="auto"/>
        <w:jc w:val="both"/>
        <w:rPr>
          <w:rFonts w:ascii="Calibri" w:hAnsi="Calibri" w:cs="Calibri"/>
          <w:sz w:val="20"/>
          <w:szCs w:val="20"/>
        </w:rPr>
      </w:pPr>
      <w:r>
        <w:rPr>
          <w:rFonts w:ascii="Calibri" w:hAnsi="Calibri" w:cs="Calibri"/>
          <w:b/>
          <w:bCs/>
          <w:sz w:val="20"/>
          <w:szCs w:val="20"/>
        </w:rPr>
        <w:t>14.3.2.</w:t>
      </w:r>
      <w:r>
        <w:rPr>
          <w:rFonts w:ascii="Calibri" w:hAnsi="Calibri" w:cs="Calibri"/>
          <w:sz w:val="20"/>
          <w:szCs w:val="20"/>
        </w:rPr>
        <w:t xml:space="preserve">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pPr>
        <w:spacing w:before="120" w:after="120" w:line="360" w:lineRule="auto"/>
        <w:jc w:val="both"/>
        <w:rPr>
          <w:rFonts w:ascii="Calibri" w:hAnsi="Calibri" w:cs="Calibri"/>
          <w:sz w:val="20"/>
          <w:szCs w:val="20"/>
        </w:rPr>
      </w:pPr>
      <w:r>
        <w:rPr>
          <w:rFonts w:ascii="Calibri" w:hAnsi="Calibri" w:cs="Calibri"/>
          <w:b/>
          <w:bCs/>
          <w:sz w:val="20"/>
          <w:szCs w:val="20"/>
        </w:rPr>
        <w:t>14.3.3.</w:t>
      </w:r>
      <w:r>
        <w:rPr>
          <w:rFonts w:ascii="Calibri" w:hAnsi="Calibri" w:cs="Calibri"/>
          <w:sz w:val="20"/>
          <w:szCs w:val="20"/>
        </w:rPr>
        <w:t xml:space="preserve"> Prova de regularidade relativa ao Fundo de Garantia por Tempo de Serviço – FGTS, comprovada através de apresentação de certidão fornecida pela Caixa Econômica Federal;</w:t>
      </w:r>
    </w:p>
    <w:p>
      <w:pPr>
        <w:spacing w:before="120" w:after="120" w:line="360" w:lineRule="auto"/>
        <w:jc w:val="both"/>
        <w:rPr>
          <w:rFonts w:ascii="Calibri" w:hAnsi="Calibri" w:cs="Calibri"/>
          <w:sz w:val="20"/>
          <w:szCs w:val="20"/>
        </w:rPr>
      </w:pPr>
      <w:bookmarkStart w:id="40" w:name="_Hlk128639697"/>
      <w:r>
        <w:rPr>
          <w:rFonts w:ascii="Calibri" w:hAnsi="Calibri" w:cs="Calibri"/>
          <w:b/>
          <w:bCs/>
          <w:sz w:val="20"/>
          <w:szCs w:val="20"/>
        </w:rPr>
        <w:t>14.3.4.</w:t>
      </w:r>
      <w:r>
        <w:rPr>
          <w:rFonts w:ascii="Calibri" w:hAnsi="Calibri" w:cs="Calibri"/>
          <w:sz w:val="20"/>
          <w:szCs w:val="20"/>
        </w:rPr>
        <w:t xml:space="preserve"> Prova de inscrição no cadastro de contribuintes Estadual/Distrital ou [Municipal/Distrital] relativo ao domicílio ou sede do fornecedor, pertinente ao seu ramo de atividade e compatível com o objeto contratual;</w:t>
      </w:r>
    </w:p>
    <w:p>
      <w:pPr>
        <w:spacing w:before="120" w:after="120" w:line="360" w:lineRule="auto"/>
        <w:jc w:val="both"/>
        <w:rPr>
          <w:rFonts w:ascii="Calibri" w:hAnsi="Calibri" w:cs="Calibri"/>
          <w:sz w:val="20"/>
          <w:szCs w:val="20"/>
        </w:rPr>
      </w:pPr>
      <w:r>
        <w:rPr>
          <w:rFonts w:ascii="Calibri" w:hAnsi="Calibri" w:cs="Calibri"/>
          <w:b/>
          <w:bCs/>
          <w:sz w:val="20"/>
          <w:szCs w:val="20"/>
        </w:rPr>
        <w:t>14.3.5.</w:t>
      </w:r>
      <w:r>
        <w:rPr>
          <w:rFonts w:ascii="Calibri" w:hAnsi="Calibri" w:cs="Calibri"/>
          <w:sz w:val="20"/>
          <w:szCs w:val="20"/>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40"/>
    <w:p>
      <w:pPr>
        <w:spacing w:before="120" w:after="120" w:line="360" w:lineRule="auto"/>
        <w:jc w:val="both"/>
        <w:rPr>
          <w:rFonts w:ascii="Calibri" w:hAnsi="Calibri" w:cs="Calibri"/>
          <w:sz w:val="20"/>
          <w:szCs w:val="20"/>
        </w:rPr>
      </w:pPr>
      <w:r>
        <w:rPr>
          <w:rFonts w:ascii="Calibri" w:hAnsi="Calibri" w:cs="Calibri"/>
          <w:b/>
          <w:bCs/>
          <w:sz w:val="20"/>
          <w:szCs w:val="20"/>
        </w:rPr>
        <w:t>14.3.6.</w:t>
      </w:r>
      <w:r>
        <w:rPr>
          <w:rFonts w:ascii="Calibri" w:hAnsi="Calibri" w:cs="Calibri"/>
          <w:sz w:val="20"/>
          <w:szCs w:val="20"/>
        </w:rPr>
        <w:t xml:space="preserve"> Prova de regularidade para com a Fazenda Estadual, comprovada através de Certidão de Regularidade Fiscal – CRF, emitida pela Secretaria da Fazenda do domicílio ou sede da licitante. </w:t>
      </w:r>
    </w:p>
    <w:p>
      <w:pPr>
        <w:spacing w:before="120" w:after="120" w:line="360" w:lineRule="auto"/>
        <w:jc w:val="both"/>
        <w:rPr>
          <w:rFonts w:ascii="Calibri" w:hAnsi="Calibri" w:cs="Calibri"/>
          <w:sz w:val="20"/>
          <w:szCs w:val="20"/>
        </w:rPr>
      </w:pPr>
      <w:r>
        <w:rPr>
          <w:rFonts w:ascii="Calibri" w:hAnsi="Calibri" w:cs="Calibri"/>
          <w:b/>
          <w:bCs/>
          <w:sz w:val="20"/>
          <w:szCs w:val="20"/>
        </w:rPr>
        <w:t>14.3.6.1.</w:t>
      </w:r>
      <w:r>
        <w:rPr>
          <w:rFonts w:ascii="Calibri" w:hAnsi="Calibri" w:cs="Calibri"/>
          <w:sz w:val="20"/>
          <w:szCs w:val="20"/>
        </w:rPr>
        <w:t xml:space="preserve"> Caso a licitante tenha filial no Estado de Pernambuco, deverá apresentar também a CRF de Pernambuco;</w:t>
      </w:r>
    </w:p>
    <w:p>
      <w:pPr>
        <w:spacing w:before="120" w:after="120" w:line="360" w:lineRule="auto"/>
        <w:jc w:val="both"/>
        <w:rPr>
          <w:rFonts w:ascii="Calibri" w:hAnsi="Calibri" w:cs="Calibri"/>
          <w:sz w:val="20"/>
          <w:szCs w:val="20"/>
        </w:rPr>
      </w:pPr>
      <w:r>
        <w:rPr>
          <w:rFonts w:ascii="Calibri" w:hAnsi="Calibri" w:cs="Calibri"/>
          <w:b/>
          <w:bCs/>
          <w:sz w:val="20"/>
          <w:szCs w:val="20"/>
        </w:rPr>
        <w:t xml:space="preserve">14.3.7. </w:t>
      </w:r>
      <w:r>
        <w:rPr>
          <w:rFonts w:ascii="Calibri" w:hAnsi="Calibri" w:cs="Calibr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pPr>
        <w:spacing w:before="120" w:after="120" w:line="360" w:lineRule="auto"/>
        <w:jc w:val="both"/>
        <w:rPr>
          <w:rFonts w:ascii="Calibri" w:hAnsi="Calibri" w:cs="Calibri"/>
          <w:sz w:val="20"/>
          <w:szCs w:val="20"/>
        </w:rPr>
      </w:pPr>
      <w:r>
        <w:rPr>
          <w:rFonts w:ascii="Calibri" w:hAnsi="Calibri" w:cs="Calibri"/>
          <w:b/>
          <w:bCs/>
          <w:sz w:val="20"/>
          <w:szCs w:val="20"/>
        </w:rPr>
        <w:t>14.3.8.</w:t>
      </w:r>
      <w:r>
        <w:rPr>
          <w:rFonts w:ascii="Calibri" w:hAnsi="Calibri" w:cs="Calibri"/>
          <w:sz w:val="20"/>
          <w:szCs w:val="20"/>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 </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14.3.9.</w:t>
      </w:r>
      <w:r>
        <w:rPr>
          <w:rFonts w:ascii="Calibri" w:hAnsi="Calibri" w:cs="Calibri"/>
          <w:sz w:val="20"/>
          <w:szCs w:val="20"/>
        </w:rPr>
        <w:t xml:space="preserve">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14.3.10.</w:t>
      </w:r>
      <w:r>
        <w:rPr>
          <w:rFonts w:ascii="Calibri" w:hAnsi="Calibri" w:cs="Calibri"/>
          <w:sz w:val="20"/>
          <w:szCs w:val="20"/>
        </w:rPr>
        <w:t xml:space="preserve"> A não regularização da documentação, no prazo previsto no subitem anterior, implicará decadência do direito à contratação, sem prejuízo das sanções previstas neste Edital.</w:t>
      </w:r>
    </w:p>
    <w:p>
      <w:pPr>
        <w:suppressAutoHyphens w:val="0"/>
        <w:spacing w:before="120" w:after="120" w:line="360" w:lineRule="auto"/>
        <w:ind w:left="-5" w:firstLine="5"/>
        <w:jc w:val="both"/>
        <w:rPr>
          <w:rFonts w:ascii="Calibri" w:hAnsi="Calibri" w:eastAsia="Times New Roman" w:cs="Calibri"/>
          <w:sz w:val="20"/>
          <w:szCs w:val="20"/>
          <w:lang w:eastAsia="pt-BR"/>
        </w:rPr>
      </w:pPr>
      <w:bookmarkStart w:id="41" w:name="_Hlk135315354"/>
      <w:r>
        <w:rPr>
          <w:rFonts w:ascii="Calibri" w:hAnsi="Calibri" w:eastAsia="Times New Roman" w:cs="Calibri"/>
          <w:b/>
          <w:bCs/>
          <w:sz w:val="20"/>
          <w:szCs w:val="20"/>
          <w:lang w:eastAsia="pt-BR"/>
        </w:rPr>
        <w:t>14.</w:t>
      </w:r>
      <w:r>
        <w:rPr>
          <w:rFonts w:ascii="Calibri" w:hAnsi="Calibri" w:eastAsia="Times New Roman" w:cs="Calibri"/>
          <w:b/>
          <w:sz w:val="20"/>
          <w:szCs w:val="20"/>
          <w:lang w:eastAsia="pt-BR"/>
        </w:rPr>
        <w:t>3.11</w:t>
      </w:r>
      <w:r>
        <w:rPr>
          <w:rFonts w:ascii="Calibri" w:hAnsi="Calibri" w:eastAsia="Times New Roman" w:cs="Calibri"/>
          <w:sz w:val="20"/>
          <w:szCs w:val="20"/>
          <w:lang w:eastAsia="pt-BR"/>
        </w:rPr>
        <w:t xml:space="preserve">. </w:t>
      </w:r>
      <w:bookmarkEnd w:id="41"/>
      <w:r>
        <w:rPr>
          <w:rFonts w:ascii="Calibri" w:hAnsi="Calibri" w:cs="Calibr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pPr>
        <w:spacing w:before="120" w:after="120" w:line="360" w:lineRule="auto"/>
        <w:ind w:left="-5" w:firstLine="5"/>
        <w:jc w:val="both"/>
        <w:rPr>
          <w:rFonts w:ascii="Calibri" w:hAnsi="Calibri" w:cs="Calibri"/>
          <w:b/>
          <w:bCs/>
          <w:sz w:val="20"/>
          <w:szCs w:val="20"/>
          <w:highlight w:val="white"/>
        </w:rPr>
      </w:pPr>
      <w:r>
        <w:rPr>
          <w:rFonts w:ascii="Calibri" w:hAnsi="Calibri" w:cs="Calibri"/>
          <w:b/>
          <w:bCs/>
          <w:sz w:val="20"/>
          <w:szCs w:val="20"/>
          <w:highlight w:val="white"/>
        </w:rPr>
        <w:t>14.4. Qualificação Técnica:</w:t>
      </w:r>
    </w:p>
    <w:p>
      <w:pPr>
        <w:pStyle w:val="10"/>
        <w:jc w:val="both"/>
        <w:rPr>
          <w:rFonts w:ascii="Calibri" w:hAnsi="Calibri" w:cs="Calibri"/>
          <w:b/>
        </w:rPr>
      </w:pPr>
      <w:r>
        <w:rPr>
          <w:rFonts w:ascii="Calibri" w:hAnsi="Calibri" w:cs="Calibri"/>
          <w:b/>
          <w:bCs/>
          <w:highlight w:val="white"/>
        </w:rPr>
        <w:t xml:space="preserve">14.4.1. </w:t>
      </w:r>
      <w:r>
        <w:rPr>
          <w:rFonts w:cs="Calibri"/>
          <w:b/>
        </w:rPr>
        <w:t xml:space="preserve">Registro ou inscrição da empresa na entidade profissional no Conselho Regional de Farmácia ( CRF ), em plena validade; </w:t>
      </w:r>
    </w:p>
    <w:p>
      <w:pPr>
        <w:spacing w:before="120" w:after="120" w:line="360" w:lineRule="auto"/>
        <w:jc w:val="both"/>
        <w:rPr>
          <w:rFonts w:ascii="Calibri" w:hAnsi="Calibri" w:cs="Calibri"/>
          <w:sz w:val="20"/>
          <w:szCs w:val="20"/>
        </w:rPr>
      </w:pPr>
      <w:r>
        <w:rPr>
          <w:rFonts w:ascii="Calibri" w:hAnsi="Calibri" w:cs="Calibri"/>
          <w:sz w:val="20"/>
          <w:szCs w:val="20"/>
        </w:rPr>
        <w:t>14.4.1.1. Sociedades empresárias estrangeiras atenderão à exigência relativa ao registro ou inscrição na entidade profissional competente no Brasil, quando for o caso, por meio da apresentação, no momento da assinatura do contrato, da solicitação de registro perante a respectiva entidade profissional.</w:t>
      </w:r>
    </w:p>
    <w:p>
      <w:pPr>
        <w:spacing w:before="120" w:after="120" w:line="360" w:lineRule="auto"/>
        <w:ind w:left="-5" w:firstLine="5"/>
        <w:jc w:val="both"/>
        <w:rPr>
          <w:rFonts w:ascii="Calibri" w:hAnsi="Calibri" w:cs="Calibri"/>
          <w:b/>
          <w:bCs/>
          <w:sz w:val="20"/>
          <w:szCs w:val="20"/>
        </w:rPr>
      </w:pPr>
      <w:r>
        <w:rPr>
          <w:rFonts w:ascii="Calibri" w:hAnsi="Calibri" w:cs="Calibri"/>
          <w:b/>
          <w:bCs/>
          <w:sz w:val="20"/>
          <w:szCs w:val="20"/>
        </w:rPr>
        <w:t xml:space="preserve">14.5. Qualificação Econômico-Financeira: </w:t>
      </w:r>
    </w:p>
    <w:p>
      <w:pPr>
        <w:pStyle w:val="10"/>
        <w:rPr>
          <w:rFonts w:hint="default" w:ascii="Calibri" w:hAnsi="Calibri" w:cs="Calibri"/>
          <w:b/>
          <w:bCs/>
          <w:sz w:val="20"/>
          <w:szCs w:val="20"/>
          <w:lang w:val="pt-BR"/>
        </w:rPr>
      </w:pPr>
      <w:r>
        <w:rPr>
          <w:rFonts w:hint="default" w:ascii="Calibri" w:hAnsi="Calibri" w:cs="Calibri"/>
          <w:b/>
          <w:bCs/>
          <w:sz w:val="20"/>
          <w:szCs w:val="20"/>
          <w:lang w:val="pt-BR"/>
        </w:rPr>
        <w:t xml:space="preserve">14.5.1. </w:t>
      </w:r>
      <w:r>
        <w:t>Certidão negativa de insolvência civil expedida pelo distribuidor do domicílio ou sede do licitante, caso se trate de pessoa física (se admitida a sua participação na licitação) ou de sociedade simples;</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14.5.</w:t>
      </w:r>
      <w:r>
        <w:rPr>
          <w:rFonts w:hint="default" w:ascii="Calibri" w:hAnsi="Calibri" w:cs="Calibri"/>
          <w:b/>
          <w:bCs/>
          <w:sz w:val="20"/>
          <w:szCs w:val="20"/>
          <w:lang w:val="pt-BR"/>
        </w:rPr>
        <w:t>2</w:t>
      </w:r>
      <w:r>
        <w:rPr>
          <w:rFonts w:ascii="Calibri" w:hAnsi="Calibri" w:cs="Calibri"/>
          <w:b/>
          <w:bCs/>
          <w:sz w:val="20"/>
          <w:szCs w:val="20"/>
        </w:rPr>
        <w:t>.</w:t>
      </w:r>
      <w:r>
        <w:rPr>
          <w:rFonts w:ascii="Calibri" w:hAnsi="Calibri" w:cs="Calibri"/>
          <w:sz w:val="20"/>
          <w:szCs w:val="20"/>
        </w:rPr>
        <w:t xml:space="preserve"> Certidão Negativa de Falência, expedida pelo distribuidor ou distribuidores (caso exista mais de um) da sede ou domicílio da licitante;</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14.5.</w:t>
      </w:r>
      <w:r>
        <w:rPr>
          <w:rFonts w:hint="default" w:ascii="Calibri" w:hAnsi="Calibri" w:cs="Calibri"/>
          <w:b/>
          <w:bCs/>
          <w:sz w:val="20"/>
          <w:szCs w:val="20"/>
          <w:lang w:val="pt-BR"/>
        </w:rPr>
        <w:t>2</w:t>
      </w:r>
      <w:r>
        <w:rPr>
          <w:rFonts w:ascii="Calibri" w:hAnsi="Calibri" w:cs="Calibri"/>
          <w:b/>
          <w:bCs/>
          <w:sz w:val="20"/>
          <w:szCs w:val="20"/>
        </w:rPr>
        <w:t xml:space="preserve">.1. </w:t>
      </w:r>
      <w:r>
        <w:rPr>
          <w:rFonts w:ascii="Calibri" w:hAnsi="Calibri" w:cs="Calibri"/>
          <w:sz w:val="20"/>
          <w:szCs w:val="20"/>
        </w:rPr>
        <w:t>Certidão Negativa de Falência referente aos processos distribuídos pelo PJe (</w:t>
      </w:r>
      <w:r>
        <w:rPr>
          <w:rFonts w:ascii="Calibri" w:hAnsi="Calibri" w:cs="Calibri"/>
          <w:b/>
          <w:sz w:val="20"/>
          <w:szCs w:val="20"/>
          <w:u w:val="single"/>
        </w:rPr>
        <w:t>processos judiciais eletrônicos</w:t>
      </w:r>
      <w:r>
        <w:rPr>
          <w:rFonts w:ascii="Calibri" w:hAnsi="Calibri" w:cs="Calibri"/>
          <w:sz w:val="20"/>
          <w:szCs w:val="20"/>
        </w:rPr>
        <w:t>) da sede ou domicílio da licitante;</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14.5.</w:t>
      </w:r>
      <w:r>
        <w:rPr>
          <w:rFonts w:hint="default" w:ascii="Calibri" w:hAnsi="Calibri" w:cs="Calibri"/>
          <w:b/>
          <w:bCs/>
          <w:sz w:val="20"/>
          <w:szCs w:val="20"/>
          <w:lang w:val="pt-BR"/>
        </w:rPr>
        <w:t>2</w:t>
      </w:r>
      <w:r>
        <w:rPr>
          <w:rFonts w:ascii="Calibri" w:hAnsi="Calibri" w:cs="Calibri"/>
          <w:b/>
          <w:bCs/>
          <w:sz w:val="20"/>
          <w:szCs w:val="20"/>
        </w:rPr>
        <w:t xml:space="preserve">.2. </w:t>
      </w:r>
      <w:r>
        <w:rPr>
          <w:rFonts w:ascii="Calibri" w:hAnsi="Calibri" w:cs="Calibri"/>
          <w:sz w:val="20"/>
          <w:szCs w:val="20"/>
        </w:rPr>
        <w:t>A certidão descrita no item 14.5.</w:t>
      </w:r>
      <w:r>
        <w:rPr>
          <w:rFonts w:hint="default" w:ascii="Calibri" w:hAnsi="Calibri" w:cs="Calibri"/>
          <w:sz w:val="20"/>
          <w:szCs w:val="20"/>
          <w:lang w:val="pt-BR"/>
        </w:rPr>
        <w:t>2</w:t>
      </w:r>
      <w:r>
        <w:rPr>
          <w:rFonts w:ascii="Calibri" w:hAnsi="Calibri" w:cs="Calibri"/>
          <w:sz w:val="20"/>
          <w:szCs w:val="20"/>
        </w:rPr>
        <w:t xml:space="preserve">.1 somente é exigível quando a certidão negativa de Falência da sede ou do domicílio da licitante contiver a </w:t>
      </w:r>
      <w:r>
        <w:rPr>
          <w:rFonts w:ascii="Calibri" w:hAnsi="Calibri" w:cs="Calibri"/>
          <w:b/>
          <w:sz w:val="20"/>
          <w:szCs w:val="20"/>
          <w:u w:val="single"/>
        </w:rPr>
        <w:t>ressalva expressa</w:t>
      </w:r>
      <w:r>
        <w:rPr>
          <w:rFonts w:ascii="Calibri" w:hAnsi="Calibri" w:cs="Calibri"/>
          <w:sz w:val="20"/>
          <w:szCs w:val="20"/>
        </w:rPr>
        <w:t xml:space="preserve"> de que não abrange os </w:t>
      </w:r>
      <w:r>
        <w:rPr>
          <w:rFonts w:ascii="Calibri" w:hAnsi="Calibri" w:cs="Calibri"/>
          <w:sz w:val="20"/>
          <w:szCs w:val="20"/>
          <w:u w:val="single"/>
        </w:rPr>
        <w:t>processos judiciais eletrônicos</w:t>
      </w:r>
      <w:r>
        <w:rPr>
          <w:rFonts w:ascii="Calibri" w:hAnsi="Calibri" w:cs="Calibri"/>
          <w:sz w:val="20"/>
          <w:szCs w:val="20"/>
        </w:rPr>
        <w:t>.</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14.5.</w:t>
      </w:r>
      <w:r>
        <w:rPr>
          <w:rFonts w:hint="default" w:ascii="Calibri" w:hAnsi="Calibri" w:cs="Calibri"/>
          <w:b/>
          <w:bCs/>
          <w:sz w:val="20"/>
          <w:szCs w:val="20"/>
          <w:lang w:val="pt-BR"/>
        </w:rPr>
        <w:t>2</w:t>
      </w:r>
      <w:r>
        <w:rPr>
          <w:rFonts w:ascii="Calibri" w:hAnsi="Calibri" w:cs="Calibri"/>
          <w:b/>
          <w:bCs/>
          <w:sz w:val="20"/>
          <w:szCs w:val="20"/>
        </w:rPr>
        <w:t>.3.</w:t>
      </w:r>
      <w:r>
        <w:rPr>
          <w:rFonts w:ascii="Calibri" w:hAnsi="Calibri" w:cs="Calibri"/>
          <w:sz w:val="20"/>
          <w:szCs w:val="20"/>
        </w:rPr>
        <w:t xml:space="preserve"> No caso de Certidão Positiva de Falência, a licitante será inabilitada, salvo se restar comprovado que não houve decisão judicial válida e eficaz decretando a falência da empresa.</w:t>
      </w:r>
    </w:p>
    <w:p>
      <w:pPr>
        <w:spacing w:before="120" w:after="120" w:line="360" w:lineRule="auto"/>
        <w:ind w:left="-5" w:firstLine="5"/>
        <w:jc w:val="both"/>
        <w:rPr>
          <w:rFonts w:ascii="Calibri" w:hAnsi="Calibri" w:cs="Calibri"/>
          <w:b/>
          <w:bCs/>
          <w:sz w:val="20"/>
          <w:szCs w:val="20"/>
        </w:rPr>
      </w:pPr>
      <w:r>
        <w:rPr>
          <w:rFonts w:ascii="Calibri" w:hAnsi="Calibri" w:cs="Calibri"/>
          <w:b/>
          <w:bCs/>
          <w:sz w:val="20"/>
          <w:szCs w:val="20"/>
        </w:rPr>
        <w:t>14.6. Documentos complementares:</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14.6.1.</w:t>
      </w:r>
      <w:r>
        <w:rPr>
          <w:rFonts w:ascii="Calibri" w:hAnsi="Calibri" w:cs="Calibri"/>
          <w:sz w:val="20"/>
          <w:szCs w:val="20"/>
        </w:rPr>
        <w:t xml:space="preserve"> Declaração de cumprimento do disposto no inciso XXXIII do art. 7º da Constituição Federal, de acordo com o modelo estabelecido no Anexo II deste Edital.</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14.6.2.</w:t>
      </w:r>
      <w:r>
        <w:rPr>
          <w:rFonts w:ascii="Calibri" w:hAnsi="Calibri" w:cs="Calibr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14.6.3.</w:t>
      </w:r>
      <w:r>
        <w:rPr>
          <w:rFonts w:ascii="Calibri" w:hAnsi="Calibri" w:cs="Calibri"/>
          <w:sz w:val="20"/>
          <w:szCs w:val="20"/>
        </w:rPr>
        <w:t xml:space="preserve"> 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w:t>
      </w:r>
    </w:p>
    <w:p>
      <w:pPr>
        <w:spacing w:before="120" w:after="120" w:line="360" w:lineRule="auto"/>
        <w:ind w:left="-5" w:firstLine="5"/>
        <w:jc w:val="both"/>
        <w:rPr>
          <w:rFonts w:ascii="Calibri" w:hAnsi="Calibri" w:cs="Calibri"/>
          <w:b/>
          <w:bCs/>
          <w:sz w:val="20"/>
          <w:szCs w:val="20"/>
        </w:rPr>
      </w:pPr>
      <w:r>
        <w:rPr>
          <w:rFonts w:ascii="Calibri" w:hAnsi="Calibri" w:cs="Calibri"/>
          <w:b/>
          <w:bCs/>
          <w:sz w:val="20"/>
          <w:szCs w:val="20"/>
        </w:rPr>
        <w:t>14.6.4.</w:t>
      </w:r>
      <w:r>
        <w:rPr>
          <w:rFonts w:ascii="Calibri" w:hAnsi="Calibri" w:cs="Calibri"/>
          <w:sz w:val="20"/>
          <w:szCs w:val="20"/>
        </w:rPr>
        <w:t xml:space="preserve"> Declaração de que não há sanções vigentes que legalmente proíbam a participante de licitar e/ou contratar com o contratante.</w:t>
      </w:r>
    </w:p>
    <w:p>
      <w:pPr>
        <w:spacing w:before="120" w:after="120" w:line="360" w:lineRule="auto"/>
        <w:ind w:left="-5" w:firstLine="5"/>
        <w:jc w:val="both"/>
        <w:rPr>
          <w:rFonts w:ascii="Calibri" w:hAnsi="Calibri" w:cs="Calibri"/>
          <w:b/>
          <w:bCs/>
          <w:sz w:val="20"/>
          <w:szCs w:val="20"/>
        </w:rPr>
      </w:pPr>
      <w:r>
        <w:rPr>
          <w:rFonts w:ascii="Calibri" w:hAnsi="Calibri" w:cs="Calibri"/>
          <w:b/>
          <w:bCs/>
          <w:sz w:val="20"/>
          <w:szCs w:val="20"/>
        </w:rPr>
        <w:t>14.7. Das regras gerais relativas aos documentos de habilitação:</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14.7.1.</w:t>
      </w:r>
      <w:r>
        <w:rPr>
          <w:rFonts w:ascii="Calibri" w:hAnsi="Calibri" w:cs="Calibri"/>
          <w:sz w:val="20"/>
          <w:szCs w:val="20"/>
        </w:rPr>
        <w:t xml:space="preserve"> A documentação poderá ser apresentada por meio do sistema PE-Integrado. </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14.7.2.</w:t>
      </w:r>
      <w:r>
        <w:rPr>
          <w:rFonts w:ascii="Calibri" w:hAnsi="Calibri" w:cs="Calibr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14.7.3.</w:t>
      </w:r>
      <w:r>
        <w:rPr>
          <w:rFonts w:ascii="Calibri" w:hAnsi="Calibri" w:cs="Calibri"/>
          <w:sz w:val="20"/>
          <w:szCs w:val="20"/>
        </w:rPr>
        <w:t xml:space="preserve"> 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14.7.3.1.</w:t>
      </w:r>
      <w:r>
        <w:rPr>
          <w:rFonts w:ascii="Calibri" w:hAnsi="Calibri" w:cs="Calibri"/>
          <w:sz w:val="20"/>
          <w:szCs w:val="20"/>
        </w:rPr>
        <w:t xml:space="preserve"> Se os documentos indicados no item 14.7.3, na data da convocação, encontrarem-se com prazo de validade expirado, ou tenham sofrido alterações, devem ser também apresentados novos documentos que comprovem a manutenção das condições de habilitação;</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14.7.4.</w:t>
      </w:r>
      <w:r>
        <w:rPr>
          <w:rFonts w:ascii="Calibri" w:hAnsi="Calibri" w:cs="Calibri"/>
          <w:sz w:val="20"/>
          <w:szCs w:val="20"/>
        </w:rPr>
        <w:t xml:space="preserve"> Os documentos de regularidade fiscal, social e trabalhista, previstos no item 14.3, devem encontrar-se válidos na data da convocação.</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14.7.5.</w:t>
      </w:r>
      <w:r>
        <w:rPr>
          <w:rFonts w:ascii="Calibri" w:hAnsi="Calibri" w:cs="Calibri"/>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14.7.5.1.</w:t>
      </w:r>
      <w:r>
        <w:rPr>
          <w:rFonts w:ascii="Calibri" w:hAnsi="Calibri" w:cs="Calibri"/>
          <w:sz w:val="20"/>
          <w:szCs w:val="20"/>
        </w:rPr>
        <w:t xml:space="preserve"> Caso haja previsão de prazo diverso em lei ou em norma infralegal municipal, de outros estados da federação ou internacional, a licitante ficará responsável por juntar a respectiva comprovação.</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14.7.6.</w:t>
      </w:r>
      <w:r>
        <w:rPr>
          <w:rFonts w:ascii="Calibri" w:hAnsi="Calibri" w:cs="Calibri"/>
          <w:sz w:val="20"/>
          <w:szCs w:val="20"/>
        </w:rPr>
        <w:t xml:space="preserve"> Não será aceito qualquer protocolo de entrega ou de solicitação de documentos em substituição aos documentos relacionados neste Edital.</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14.7.7.</w:t>
      </w:r>
      <w:r>
        <w:rPr>
          <w:rFonts w:ascii="Calibri" w:hAnsi="Calibri" w:cs="Calibr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14.7.8.</w:t>
      </w:r>
      <w:r>
        <w:rPr>
          <w:rFonts w:ascii="Calibri" w:hAnsi="Calibri" w:cs="Calibri"/>
          <w:sz w:val="20"/>
          <w:szCs w:val="20"/>
        </w:rPr>
        <w:t xml:space="preserve"> Para fins de habilitação, a verificação dos documentos pelo Pregoeiro nos sítios oficiais de órgãos e entidades emissores de certidões constitui meio legal de prova.</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14.7.9.</w:t>
      </w:r>
      <w:r>
        <w:rPr>
          <w:rFonts w:ascii="Calibri" w:hAnsi="Calibri" w:cs="Calibri"/>
          <w:sz w:val="20"/>
          <w:szCs w:val="20"/>
        </w:rPr>
        <w:t xml:space="preserve"> Caso </w:t>
      </w:r>
      <w:bookmarkStart w:id="42" w:name="_Hlk113538853"/>
      <w:r>
        <w:rPr>
          <w:rFonts w:ascii="Calibri" w:hAnsi="Calibri" w:cs="Calibri"/>
          <w:sz w:val="20"/>
          <w:szCs w:val="20"/>
        </w:rPr>
        <w:t>a licitante não logre comprovar o atendimento cumulativo dos requisitos de qualificação técnica e econômico-financeira para todos os lotes/itens em que seja classificada provisoriamente em primeiro lugar, caberá a Administração especificar, considerando a maior economia obtida em valores absolutos de cada lote/item, os respectivos lotes/itens para os quais a licitante será habilitada</w:t>
      </w:r>
      <w:bookmarkEnd w:id="42"/>
      <w:r>
        <w:rPr>
          <w:rFonts w:ascii="Calibri" w:hAnsi="Calibri" w:cs="Calibri"/>
          <w:sz w:val="20"/>
          <w:szCs w:val="20"/>
        </w:rPr>
        <w:t>.</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14.7.10.</w:t>
      </w:r>
      <w:r>
        <w:rPr>
          <w:rFonts w:ascii="Calibri" w:hAnsi="Calibri" w:cs="Calibr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 xml:space="preserve">14.7.10.1. </w:t>
      </w:r>
      <w:r>
        <w:rPr>
          <w:rFonts w:ascii="Calibri" w:hAnsi="Calibri" w:cs="Calibri"/>
          <w:sz w:val="20"/>
          <w:szCs w:val="20"/>
        </w:rPr>
        <w:t>Caso seja vencedora a licitante estrangeira que não funcione no país, será exigido, como condição para assinatura do contrato, que os documentos apresentados sejam traduzidos por tradutor juramentado e consularizados pelos respectivos consulados ou embaixadas.</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14.7.10.2.</w:t>
      </w:r>
      <w:r>
        <w:rPr>
          <w:rFonts w:ascii="Calibri" w:hAnsi="Calibri" w:cs="Calibri"/>
          <w:sz w:val="20"/>
          <w:szCs w:val="20"/>
        </w:rPr>
        <w:t xml:space="preserve"> A autenticação consular ou em embaixada será dispensada quando se tratar de documento público e o respectivo país for signatário da Convenção de Haia, sendo, neste caso, necessário apenas o apostilamento do documento em cartório, nos termos do disposto no Decreto Federal nº 8.660/2016.</w:t>
      </w:r>
    </w:p>
    <w:p>
      <w:pPr>
        <w:spacing w:before="120" w:after="120" w:line="360" w:lineRule="auto"/>
        <w:ind w:left="-5" w:firstLine="5"/>
        <w:jc w:val="both"/>
        <w:rPr>
          <w:rFonts w:ascii="Calibri" w:hAnsi="Calibri" w:cs="Calibri"/>
          <w:sz w:val="20"/>
          <w:szCs w:val="20"/>
        </w:rPr>
      </w:pPr>
      <w:r>
        <w:rPr>
          <w:rFonts w:ascii="Calibri" w:hAnsi="Calibri" w:cs="Calibri"/>
          <w:b/>
          <w:bCs/>
          <w:sz w:val="20"/>
          <w:szCs w:val="20"/>
        </w:rPr>
        <w:t>14.7.11.</w:t>
      </w:r>
      <w:r>
        <w:rPr>
          <w:rFonts w:ascii="Calibri" w:hAnsi="Calibri" w:cs="Calibri"/>
          <w:sz w:val="20"/>
          <w:szCs w:val="20"/>
        </w:rPr>
        <w:t xml:space="preserve"> Será inabilitada a licitante que apresentar declaração ou documentação falsa, que deixar de apresentar quaisquer documentos exigidos ou apresentá-los em desacordo com as exigências deste Edital, ressalvadas as restrições relativas à regularidade fiscal e trabalhista das Microempresas, Empresas de Pequeno Porte, Microempreendedores Individuais ou equiparadas, nos termos da Lei Complementar n° 123/2006, e o disposto no subitem 14.7.7. </w:t>
      </w:r>
    </w:p>
    <w:p>
      <w:pPr>
        <w:spacing w:before="360" w:after="120" w:line="360" w:lineRule="auto"/>
        <w:ind w:left="-1701" w:right="-1418"/>
        <w:jc w:val="both"/>
        <w:rPr>
          <w:rFonts w:ascii="Calibri" w:hAnsi="Calibri" w:cs="Calibri"/>
          <w:sz w:val="20"/>
          <w:szCs w:val="20"/>
          <w:highlight w:val="yellow"/>
        </w:rPr>
      </w:pPr>
      <w:r>
        <w:rPr>
          <w:rFonts w:ascii="Calibri" w:hAnsi="Calibri" w:cs="Calibri"/>
          <w:sz w:val="20"/>
          <w:szCs w:val="20"/>
          <w:lang w:eastAsia="pt-BR"/>
        </w:rPr>
        <mc:AlternateContent>
          <mc:Choice Requires="wps">
            <w:drawing>
              <wp:inline distT="0" distB="2540" distL="0" distR="9525">
                <wp:extent cx="4323715" cy="363855"/>
                <wp:effectExtent l="0" t="0" r="635" b="17145"/>
                <wp:docPr id="29" name="Forma16"/>
                <wp:cNvGraphicFramePr/>
                <a:graphic xmlns:a="http://schemas.openxmlformats.org/drawingml/2006/main">
                  <a:graphicData uri="http://schemas.microsoft.com/office/word/2010/wordprocessingShape">
                    <wps:wsp>
                      <wps:cNvSpPr/>
                      <wps:spPr>
                        <a:xfrm>
                          <a:off x="0" y="0"/>
                          <a:ext cx="432371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Bahnschrift" w:hAnsi="Bahnschrift" w:cs="Arial"/>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15. DA DECLARAÇÃO DA LICITANTE VENCEDORA</w:t>
                            </w:r>
                            <w:r>
                              <w:rPr>
                                <w:rFonts w:ascii="Bahnschrift" w:hAnsi="Bahnschrift" w:cs="Arial"/>
                                <w:b/>
                                <w:bCs/>
                                <w:color w:val="FFFFFF" w:themeColor="background1"/>
                                <w:sz w:val="24"/>
                                <w:szCs w:val="24"/>
                                <w14:textFill>
                                  <w14:solidFill>
                                    <w14:schemeClr w14:val="bg1"/>
                                  </w14:solidFill>
                                </w14:textFill>
                              </w:rPr>
                              <w:t xml:space="preserve"> </w:t>
                            </w:r>
                          </w:p>
                        </w:txbxContent>
                      </wps:txbx>
                      <wps:bodyPr anchor="ctr">
                        <a:noAutofit/>
                      </wps:bodyPr>
                    </wps:wsp>
                  </a:graphicData>
                </a:graphic>
              </wp:inline>
            </w:drawing>
          </mc:Choice>
          <mc:Fallback>
            <w:pict>
              <v:rect id="Forma16" o:spid="_x0000_s1026" o:spt="1" style="height:28.65pt;width:340.45pt;v-text-anchor:middle;" fillcolor="#33608E" filled="t" stroked="f" coordsize="21600,21600" o:gfxdata="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A2Lo/XAAAABAEAAA8AAAAAAAAAAQAgAAAAIgAAAGRycy9kb3ducmV2Lnht&#10;bFBLAQIUABQAAAAIAIdO4kBfYFVOwQEAAI8DAAAOAAAAAAAAAAEAIAAAACYBAABkcnMvZTJvRG9j&#10;LnhtbFBLBQYAAAAABgAGAFkBAABZBQAAAAA=&#10;">
                <v:fill on="t" focussize="0,0"/>
                <v:stroke on="f" weight="1pt"/>
                <v:imagedata o:title=""/>
                <o:lock v:ext="edit" aspectratio="f"/>
                <v:textbox>
                  <w:txbxContent>
                    <w:p>
                      <w:pPr>
                        <w:pStyle w:val="39"/>
                        <w:spacing w:after="0"/>
                        <w:ind w:left="567" w:right="283" w:firstLine="720" w:firstLineChars="300"/>
                        <w:rPr>
                          <w:rFonts w:ascii="Bahnschrift" w:hAnsi="Bahnschrift" w:cs="Arial"/>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15. DA DECLARAÇÃO DA LICITANTE VENCEDORA</w:t>
                      </w:r>
                      <w:r>
                        <w:rPr>
                          <w:rFonts w:ascii="Bahnschrift" w:hAnsi="Bahnschrift" w:cs="Arial"/>
                          <w:b/>
                          <w:bCs/>
                          <w:color w:val="FFFFFF" w:themeColor="background1"/>
                          <w:sz w:val="24"/>
                          <w:szCs w:val="24"/>
                          <w14:textFill>
                            <w14:solidFill>
                              <w14:schemeClr w14:val="bg1"/>
                            </w14:solidFill>
                          </w14:textFill>
                        </w:rPr>
                        <w:t xml:space="preserve"> </w:t>
                      </w:r>
                    </w:p>
                  </w:txbxContent>
                </v:textbox>
                <w10:wrap type="none"/>
                <w10:anchorlock/>
              </v:rect>
            </w:pict>
          </mc:Fallback>
        </mc:AlternateContent>
      </w:r>
    </w:p>
    <w:p>
      <w:pPr>
        <w:pStyle w:val="37"/>
        <w:spacing w:before="120" w:after="120" w:line="360" w:lineRule="auto"/>
        <w:jc w:val="both"/>
        <w:rPr>
          <w:rFonts w:ascii="Calibri" w:hAnsi="Calibri" w:cs="Calibri"/>
        </w:rPr>
      </w:pPr>
      <w:r>
        <w:rPr>
          <w:rFonts w:ascii="Calibri" w:hAnsi="Calibri" w:cs="Calibri"/>
          <w:b/>
          <w:bCs/>
        </w:rPr>
        <w:t xml:space="preserve">15.1. </w:t>
      </w:r>
      <w:r>
        <w:rPr>
          <w:rFonts w:ascii="Calibri" w:hAnsi="Calibri" w:cs="Calibri"/>
        </w:rPr>
        <w:t>Verificado o atendimento das exigências de habilitação fixadas neste Edital, a(s) licitante(s) será(ão) declarada(s) vencedora(s) em sessão pública.</w:t>
      </w:r>
    </w:p>
    <w:p>
      <w:pPr>
        <w:spacing w:before="120" w:after="120" w:line="360" w:lineRule="auto"/>
        <w:ind w:left="-5" w:firstLine="5"/>
        <w:jc w:val="both"/>
        <w:rPr>
          <w:rFonts w:ascii="Calibri" w:hAnsi="Calibri" w:eastAsia="Bookman Old Style" w:cs="Calibri"/>
          <w:sz w:val="20"/>
          <w:szCs w:val="20"/>
        </w:rPr>
      </w:pPr>
      <w:r>
        <w:rPr>
          <w:rFonts w:ascii="Calibri" w:hAnsi="Calibri" w:eastAsia="Bookman Old Style" w:cs="Calibri"/>
          <w:b/>
          <w:bCs/>
          <w:sz w:val="20"/>
          <w:szCs w:val="20"/>
        </w:rPr>
        <w:t>15.</w:t>
      </w:r>
      <w:r>
        <w:rPr>
          <w:rFonts w:hint="default" w:ascii="Calibri" w:hAnsi="Calibri" w:eastAsia="Bookman Old Style" w:cs="Calibri"/>
          <w:b/>
          <w:bCs/>
          <w:sz w:val="20"/>
          <w:szCs w:val="20"/>
          <w:lang w:val="pt-BR"/>
        </w:rPr>
        <w:t>2</w:t>
      </w:r>
      <w:r>
        <w:rPr>
          <w:rFonts w:ascii="Calibri" w:hAnsi="Calibri" w:eastAsia="Bookman Old Style" w:cs="Calibri"/>
          <w:b/>
          <w:bCs/>
          <w:sz w:val="20"/>
          <w:szCs w:val="20"/>
        </w:rPr>
        <w:t xml:space="preserve">. </w:t>
      </w:r>
      <w:r>
        <w:rPr>
          <w:rFonts w:ascii="Calibri" w:hAnsi="Calibri" w:eastAsia="Bookman Old Style" w:cs="Calibri"/>
          <w:sz w:val="20"/>
          <w:szCs w:val="20"/>
        </w:rPr>
        <w:t xml:space="preserve">Na hipótese de a licitante não atender às exigências de habilitação, o </w:t>
      </w:r>
      <w:r>
        <w:rPr>
          <w:rFonts w:ascii="Calibri" w:hAnsi="Calibri" w:cs="Calibri"/>
          <w:sz w:val="20"/>
          <w:szCs w:val="20"/>
        </w:rPr>
        <w:t>Pregoeiro retornará o processo à fase de negociação para exame das ofertas subsequent</w:t>
      </w:r>
      <w:r>
        <w:rPr>
          <w:rFonts w:ascii="Calibri" w:hAnsi="Calibri" w:eastAsia="Bookman Old Style" w:cs="Calibri"/>
          <w:sz w:val="20"/>
          <w:szCs w:val="20"/>
        </w:rPr>
        <w:t>es e assim sucessivamente, na ordem de classificação, até a apuração de uma proposta que atenda ao edital de licitação.</w:t>
      </w:r>
    </w:p>
    <w:p>
      <w:pPr>
        <w:spacing w:before="120" w:after="120" w:line="360" w:lineRule="auto"/>
        <w:ind w:left="-5" w:firstLine="5"/>
        <w:jc w:val="both"/>
        <w:rPr>
          <w:rFonts w:ascii="Calibri" w:hAnsi="Calibri" w:cs="Calibri"/>
          <w:sz w:val="20"/>
          <w:szCs w:val="20"/>
        </w:rPr>
      </w:pPr>
      <w:r>
        <w:rPr>
          <w:rFonts w:ascii="Calibri" w:hAnsi="Calibri" w:eastAsia="Bookman Old Style" w:cs="Calibri"/>
          <w:b/>
          <w:bCs/>
          <w:sz w:val="20"/>
          <w:szCs w:val="20"/>
        </w:rPr>
        <w:t>15.</w:t>
      </w:r>
      <w:r>
        <w:rPr>
          <w:rFonts w:hint="default" w:ascii="Calibri" w:hAnsi="Calibri" w:eastAsia="Bookman Old Style" w:cs="Calibri"/>
          <w:b/>
          <w:bCs/>
          <w:sz w:val="20"/>
          <w:szCs w:val="20"/>
          <w:lang w:val="pt-BR"/>
        </w:rPr>
        <w:t>3</w:t>
      </w:r>
      <w:r>
        <w:rPr>
          <w:rFonts w:ascii="Calibri" w:hAnsi="Calibri" w:eastAsia="Bookman Old Style" w:cs="Calibri"/>
          <w:sz w:val="20"/>
          <w:szCs w:val="20"/>
        </w:rPr>
        <w:t xml:space="preserve">. Após análise de todas as propostas, na hipótese de não haver licitante classificada que atenda às exigências de habilitação, o </w:t>
      </w:r>
      <w:r>
        <w:rPr>
          <w:rFonts w:ascii="Calibri" w:hAnsi="Calibri" w:cs="Calibri"/>
          <w:sz w:val="20"/>
          <w:szCs w:val="20"/>
        </w:rPr>
        <w:t xml:space="preserve">Pregoeiro </w:t>
      </w:r>
      <w:r>
        <w:rPr>
          <w:rFonts w:ascii="Calibri" w:hAnsi="Calibri" w:eastAsia="Bookman Old Style" w:cs="Calibri"/>
          <w:sz w:val="20"/>
          <w:szCs w:val="20"/>
        </w:rPr>
        <w:t>poderá conceder o prazo de 8 (oito) dias úteis para que as licitantes classificadas apresentem nova documentação escoimada das causas da inabilitação, observada a ordem de classificação.</w:t>
      </w:r>
    </w:p>
    <w:p>
      <w:pPr>
        <w:spacing w:before="360" w:after="120" w:line="360" w:lineRule="auto"/>
        <w:ind w:left="-1701" w:right="-1418"/>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9525">
                <wp:extent cx="5211445" cy="365125"/>
                <wp:effectExtent l="0" t="0" r="8255" b="15875"/>
                <wp:docPr id="31" name="Forma17"/>
                <wp:cNvGraphicFramePr/>
                <a:graphic xmlns:a="http://schemas.openxmlformats.org/drawingml/2006/main">
                  <a:graphicData uri="http://schemas.microsoft.com/office/word/2010/wordprocessingShape">
                    <wps:wsp>
                      <wps:cNvSpPr/>
                      <wps:spPr>
                        <a:xfrm>
                          <a:off x="0" y="0"/>
                          <a:ext cx="5211445" cy="3651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16. DO SANEAMENTO DA PROPOSTA E DA HABILITAÇÃO</w:t>
                            </w:r>
                          </w:p>
                        </w:txbxContent>
                      </wps:txbx>
                      <wps:bodyPr anchor="ctr">
                        <a:noAutofit/>
                      </wps:bodyPr>
                    </wps:wsp>
                  </a:graphicData>
                </a:graphic>
              </wp:inline>
            </w:drawing>
          </mc:Choice>
          <mc:Fallback>
            <w:pict>
              <v:rect id="Forma17" o:spid="_x0000_s1026" o:spt="1" style="height:28.75pt;width:410.35pt;v-text-anchor:middle;" fillcolor="#33608E" filled="t" stroked="f" coordsize="21600,21600" o:gfxdata="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P1OQY3WAAAABAEAAA8AAAAAAAAAAQAgAAAAIgAAAGRycy9kb3ducmV2LnhtbFBL&#10;AQIUABQAAAAIAIdO4kCtfO70vwEAAI8DAAAOAAAAAAAAAAEAIAAAACUBAABkcnMvZTJvRG9jLnht&#10;bFBLBQYAAAAABgAGAFkBAABW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16. DO SANEAMENTO DA PROPOSTA E DA HABILITAÇÃO</w:t>
                      </w:r>
                    </w:p>
                  </w:txbxContent>
                </v:textbox>
                <w10:wrap type="none"/>
                <w10:anchorlock/>
              </v:rect>
            </w:pict>
          </mc:Fallback>
        </mc:AlternateContent>
      </w:r>
    </w:p>
    <w:p>
      <w:pPr>
        <w:spacing w:before="120" w:after="120" w:line="360" w:lineRule="auto"/>
        <w:jc w:val="both"/>
        <w:rPr>
          <w:rFonts w:ascii="Calibri" w:hAnsi="Calibri" w:cs="Calibri"/>
          <w:sz w:val="20"/>
          <w:szCs w:val="20"/>
        </w:rPr>
      </w:pPr>
      <w:r>
        <w:rPr>
          <w:rFonts w:ascii="Calibri" w:hAnsi="Calibri" w:cs="Calibri"/>
          <w:b/>
          <w:bCs/>
          <w:sz w:val="20"/>
          <w:szCs w:val="20"/>
        </w:rPr>
        <w:t>16.1.</w:t>
      </w:r>
      <w:r>
        <w:rPr>
          <w:rFonts w:ascii="Calibri" w:hAnsi="Calibri" w:cs="Calibri"/>
          <w:sz w:val="20"/>
          <w:szCs w:val="20"/>
        </w:rPr>
        <w:t xml:space="preserve"> Durante as fases de julgamento e de habilitação, o Pregoeiro, mediante decisão fundamentada, poderá realizar diligências para sanear erros ou falhas que não alterem a substância das propostas e a validade jurídica dos documentos de habilitação, devendo registrá-las em ata acessível aos licitantes.</w:t>
      </w:r>
    </w:p>
    <w:p>
      <w:pPr>
        <w:spacing w:before="120" w:after="120" w:line="360" w:lineRule="auto"/>
        <w:jc w:val="both"/>
        <w:rPr>
          <w:rFonts w:ascii="Calibri" w:hAnsi="Calibri" w:cs="Calibri"/>
          <w:sz w:val="20"/>
          <w:szCs w:val="20"/>
        </w:rPr>
      </w:pPr>
      <w:r>
        <w:rPr>
          <w:rFonts w:ascii="Calibri" w:hAnsi="Calibri" w:cs="Calibri"/>
          <w:b/>
          <w:bCs/>
          <w:sz w:val="20"/>
          <w:szCs w:val="20"/>
        </w:rPr>
        <w:t>16.2.</w:t>
      </w:r>
      <w:r>
        <w:rPr>
          <w:rFonts w:ascii="Calibri" w:hAnsi="Calibri" w:cs="Calibri"/>
          <w:sz w:val="20"/>
          <w:szCs w:val="20"/>
        </w:rPr>
        <w:t xml:space="preserve"> Fica vedada a substituição ou a apresentação de novos documentos, salvo em sede de diligência, para:</w:t>
      </w:r>
    </w:p>
    <w:p>
      <w:pPr>
        <w:numPr>
          <w:ilvl w:val="0"/>
          <w:numId w:val="5"/>
        </w:numPr>
        <w:spacing w:before="120" w:after="120" w:line="360" w:lineRule="auto"/>
        <w:ind w:left="0" w:firstLine="0"/>
        <w:jc w:val="both"/>
        <w:rPr>
          <w:rFonts w:ascii="Calibri" w:hAnsi="Calibri" w:cs="Calibri"/>
          <w:sz w:val="20"/>
          <w:szCs w:val="20"/>
        </w:rPr>
      </w:pPr>
      <w:r>
        <w:rPr>
          <w:rFonts w:ascii="Calibri" w:hAnsi="Calibri" w:cs="Calibri"/>
          <w:sz w:val="20"/>
          <w:szCs w:val="20"/>
        </w:rPr>
        <w:t>complementação de informações ou esclarecimentos adicionais acerca dos documentos já apresentados pelos licitantes;</w:t>
      </w:r>
    </w:p>
    <w:p>
      <w:pPr>
        <w:numPr>
          <w:ilvl w:val="0"/>
          <w:numId w:val="5"/>
        </w:numPr>
        <w:spacing w:before="120" w:after="120" w:line="360" w:lineRule="auto"/>
        <w:ind w:left="0" w:firstLine="0"/>
        <w:jc w:val="both"/>
        <w:rPr>
          <w:rFonts w:ascii="Calibri" w:hAnsi="Calibri" w:cs="Calibri"/>
          <w:sz w:val="20"/>
          <w:szCs w:val="20"/>
        </w:rPr>
      </w:pPr>
      <w:r>
        <w:rPr>
          <w:rFonts w:ascii="Calibri" w:hAnsi="Calibri" w:cs="Calibri"/>
          <w:sz w:val="20"/>
          <w:szCs w:val="20"/>
        </w:rPr>
        <w:t>atualização de documentos cuja validade tenha expirado;</w:t>
      </w:r>
    </w:p>
    <w:p>
      <w:pPr>
        <w:numPr>
          <w:ilvl w:val="0"/>
          <w:numId w:val="5"/>
        </w:numPr>
        <w:spacing w:before="120" w:after="120" w:line="360" w:lineRule="auto"/>
        <w:ind w:left="0" w:firstLine="0"/>
        <w:jc w:val="both"/>
        <w:rPr>
          <w:rFonts w:ascii="Calibri" w:hAnsi="Calibri" w:cs="Calibri"/>
          <w:sz w:val="20"/>
          <w:szCs w:val="20"/>
        </w:rPr>
      </w:pPr>
      <w:r>
        <w:rPr>
          <w:rFonts w:ascii="Calibri" w:hAnsi="Calibri" w:cs="Calibri"/>
          <w:sz w:val="20"/>
          <w:szCs w:val="20"/>
        </w:rPr>
        <w:t>comprovação de situação fática preexistente à época da abertura do certame.</w:t>
      </w:r>
    </w:p>
    <w:p>
      <w:pPr>
        <w:spacing w:before="120" w:after="120" w:line="360" w:lineRule="auto"/>
        <w:jc w:val="both"/>
        <w:rPr>
          <w:rFonts w:ascii="Calibri" w:hAnsi="Calibri" w:cs="Calibri"/>
          <w:sz w:val="20"/>
          <w:szCs w:val="20"/>
        </w:rPr>
      </w:pPr>
      <w:r>
        <w:rPr>
          <w:rFonts w:ascii="Calibri" w:hAnsi="Calibri" w:cs="Calibri"/>
          <w:b/>
          <w:bCs/>
          <w:sz w:val="20"/>
          <w:szCs w:val="20"/>
        </w:rPr>
        <w:t>16.2.1.</w:t>
      </w:r>
      <w:r>
        <w:rPr>
          <w:rFonts w:ascii="Calibri" w:hAnsi="Calibri" w:cs="Calibri"/>
          <w:sz w:val="20"/>
          <w:szCs w:val="20"/>
        </w:rPr>
        <w:t xml:space="preserve"> 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pPr>
        <w:spacing w:before="120" w:after="120" w:line="360" w:lineRule="auto"/>
        <w:jc w:val="both"/>
        <w:rPr>
          <w:rFonts w:ascii="Calibri" w:hAnsi="Calibri" w:cs="Calibri"/>
          <w:sz w:val="20"/>
          <w:szCs w:val="20"/>
        </w:rPr>
      </w:pPr>
      <w:r>
        <w:rPr>
          <w:rFonts w:ascii="Calibri" w:hAnsi="Calibri" w:cs="Calibri"/>
          <w:b/>
          <w:bCs/>
          <w:sz w:val="20"/>
          <w:szCs w:val="20"/>
        </w:rPr>
        <w:t>16.2.2.</w:t>
      </w:r>
      <w:r>
        <w:rPr>
          <w:rFonts w:ascii="Calibri" w:hAnsi="Calibri" w:cs="Calibri"/>
          <w:sz w:val="20"/>
          <w:szCs w:val="20"/>
        </w:rPr>
        <w:t xml:space="preserve"> Na falta de documentos de habilitação que consistam em mera declaração da licitante sobre fato preexistente ou em simples compromisso por ela firmado, poderá ser concedido prazo para saneamento da falha.</w:t>
      </w:r>
    </w:p>
    <w:p>
      <w:pPr>
        <w:spacing w:before="120" w:after="120" w:line="360" w:lineRule="auto"/>
        <w:jc w:val="both"/>
        <w:rPr>
          <w:rFonts w:ascii="Calibri" w:hAnsi="Calibri" w:cs="Calibri"/>
          <w:sz w:val="20"/>
          <w:szCs w:val="20"/>
        </w:rPr>
      </w:pPr>
      <w:r>
        <w:rPr>
          <w:rFonts w:ascii="Calibri" w:hAnsi="Calibri" w:cs="Calibri"/>
          <w:b/>
          <w:bCs/>
          <w:sz w:val="20"/>
          <w:szCs w:val="20"/>
        </w:rPr>
        <w:t>16.3.</w:t>
      </w:r>
      <w:r>
        <w:rPr>
          <w:rFonts w:ascii="Calibri" w:hAnsi="Calibri" w:cs="Calibri"/>
          <w:sz w:val="20"/>
          <w:szCs w:val="20"/>
        </w:rPr>
        <w:t xml:space="preserve"> A realização de diligências não confere à licitante novo prazo ou oportunidade de obter condição ou requisito que antes não detinha, nem autoriza o Pregoeiro a fazer exigências novas não previstas no edital. </w:t>
      </w:r>
    </w:p>
    <w:p>
      <w:pPr>
        <w:spacing w:before="120" w:after="120" w:line="360" w:lineRule="auto"/>
        <w:jc w:val="both"/>
        <w:rPr>
          <w:rFonts w:ascii="Calibri" w:hAnsi="Calibri" w:cs="Calibri"/>
          <w:sz w:val="20"/>
          <w:szCs w:val="20"/>
        </w:rPr>
      </w:pPr>
      <w:r>
        <w:rPr>
          <w:rFonts w:ascii="Calibri" w:hAnsi="Calibri" w:cs="Calibri"/>
          <w:b/>
          <w:bCs/>
          <w:sz w:val="20"/>
          <w:szCs w:val="20"/>
        </w:rPr>
        <w:t>16.4.</w:t>
      </w:r>
      <w:r>
        <w:rPr>
          <w:rFonts w:ascii="Calibri" w:hAnsi="Calibri" w:cs="Calibri"/>
          <w:sz w:val="20"/>
          <w:szCs w:val="20"/>
        </w:rPr>
        <w:t xml:space="preserve"> Na hipótese de necessidade de envio de documentos complementares à proposta e à habilitação, os documentos deverão ser apresentados em formato digital, via sistema PE-Integrado, no prazo de 01 (um) dia útil.</w:t>
      </w:r>
    </w:p>
    <w:p>
      <w:pPr>
        <w:spacing w:before="120" w:after="120" w:line="360" w:lineRule="auto"/>
        <w:jc w:val="both"/>
        <w:rPr>
          <w:rFonts w:ascii="Calibri" w:hAnsi="Calibri" w:cs="Calibri"/>
          <w:sz w:val="20"/>
          <w:szCs w:val="20"/>
        </w:rPr>
      </w:pPr>
      <w:r>
        <w:rPr>
          <w:rFonts w:ascii="Calibri" w:hAnsi="Calibri" w:cs="Calibri"/>
          <w:b/>
          <w:bCs/>
          <w:sz w:val="20"/>
          <w:szCs w:val="20"/>
        </w:rPr>
        <w:t>16.5.</w:t>
      </w:r>
      <w:r>
        <w:rPr>
          <w:rFonts w:ascii="Calibri" w:hAnsi="Calibri" w:cs="Calibri"/>
          <w:sz w:val="20"/>
          <w:szCs w:val="20"/>
        </w:rPr>
        <w:t xml:space="preserve"> Sendo necessária a suspensão da sessão pública para a realização de diligências, o reinício se dará mediante aviso prévio no sistema PE- Integrado, com, no mínimo, 24 (vinte e quatro) horas de antecedência, e a ocorrência será registrada em ata.</w:t>
      </w:r>
    </w:p>
    <w:p>
      <w:pPr>
        <w:spacing w:before="360" w:after="120" w:line="360" w:lineRule="auto"/>
        <w:ind w:left="-1701" w:right="-1418"/>
        <w:jc w:val="both"/>
        <w:rPr>
          <w:rFonts w:ascii="Calibri" w:hAnsi="Calibri" w:cs="Calibri"/>
          <w:b/>
          <w:bCs/>
          <w:sz w:val="20"/>
          <w:szCs w:val="20"/>
          <w:highlight w:val="yellow"/>
        </w:rPr>
      </w:pPr>
      <w:r>
        <w:rPr>
          <w:rFonts w:ascii="Calibri" w:hAnsi="Calibri" w:cs="Calibri"/>
          <w:sz w:val="20"/>
          <w:szCs w:val="20"/>
          <w:lang w:eastAsia="pt-BR"/>
        </w:rPr>
        <mc:AlternateContent>
          <mc:Choice Requires="wps">
            <w:drawing>
              <wp:inline distT="0" distB="2540" distL="0" distR="9525">
                <wp:extent cx="4203700" cy="365125"/>
                <wp:effectExtent l="0" t="0" r="6350" b="15875"/>
                <wp:docPr id="41" name="Forma17"/>
                <wp:cNvGraphicFramePr/>
                <a:graphic xmlns:a="http://schemas.openxmlformats.org/drawingml/2006/main">
                  <a:graphicData uri="http://schemas.microsoft.com/office/word/2010/wordprocessingShape">
                    <wps:wsp>
                      <wps:cNvSpPr/>
                      <wps:spPr>
                        <a:xfrm>
                          <a:off x="0" y="0"/>
                          <a:ext cx="42037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17. DOS RECURSOS ADMINISTRATIVOS</w:t>
                            </w:r>
                          </w:p>
                        </w:txbxContent>
                      </wps:txbx>
                      <wps:bodyPr anchor="ctr">
                        <a:noAutofit/>
                      </wps:bodyPr>
                    </wps:wsp>
                  </a:graphicData>
                </a:graphic>
              </wp:inline>
            </w:drawing>
          </mc:Choice>
          <mc:Fallback>
            <w:pict>
              <v:rect id="Forma17" o:spid="_x0000_s1026" o:spt="1" style="height:28.75pt;width:331pt;v-text-anchor:middle;" fillcolor="#33608E" filled="t" stroked="f" coordsize="21600,21600" o:gfxdata="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OXPZWTWAAAABAEAAA8AAAAAAAAAAQAgAAAAIgAAAGRycy9kb3ducmV2Lnht&#10;bFBLAQIUABQAAAAIAIdO4kA6Ml7BwgEAAI8DAAAOAAAAAAAAAAEAIAAAACUBAABkcnMvZTJvRG9j&#10;LnhtbFBLBQYAAAAABgAGAFkBAABZ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17. DOS RECURSOS ADMINISTRATIVOS</w:t>
                      </w:r>
                    </w:p>
                  </w:txbxContent>
                </v:textbox>
                <w10:wrap type="none"/>
                <w10:anchorlock/>
              </v:rect>
            </w:pict>
          </mc:Fallback>
        </mc:AlternateConten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17.1. </w:t>
      </w:r>
      <w:r>
        <w:rPr>
          <w:rFonts w:ascii="Calibri" w:hAnsi="Calibri" w:cs="Calibri"/>
          <w:sz w:val="20"/>
          <w:szCs w:val="20"/>
        </w:rPr>
        <w:t>Após a declaração do(s) vencedor(es), qualquer licitante inconformada com o resultado poderá manifestar</w:t>
      </w:r>
      <w:r>
        <w:rPr>
          <w:rFonts w:ascii="Calibri" w:hAnsi="Calibri" w:cs="Calibri"/>
          <w:b/>
          <w:sz w:val="20"/>
          <w:szCs w:val="20"/>
        </w:rPr>
        <w:t xml:space="preserve">, </w:t>
      </w:r>
      <w:r>
        <w:rPr>
          <w:rFonts w:ascii="Calibri" w:hAnsi="Calibri" w:cs="Calibri"/>
          <w:sz w:val="20"/>
          <w:szCs w:val="20"/>
        </w:rPr>
        <w:t>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17.1.1.</w:t>
      </w:r>
      <w:r>
        <w:rPr>
          <w:rFonts w:ascii="Calibri" w:hAnsi="Calibri" w:cs="Calibri"/>
          <w:sz w:val="20"/>
          <w:szCs w:val="20"/>
        </w:rPr>
        <w:t xml:space="preserve"> A intenção de recorrer deverá ser registrada no sistema em </w:t>
      </w:r>
      <w:r>
        <w:rPr>
          <w:rFonts w:ascii="Calibri" w:hAnsi="Calibri" w:cs="Calibri"/>
          <w:b/>
          <w:bCs/>
          <w:sz w:val="20"/>
          <w:szCs w:val="20"/>
        </w:rPr>
        <w:t xml:space="preserve">até 10 (dez) minutos </w:t>
      </w:r>
      <w:r>
        <w:rPr>
          <w:rFonts w:ascii="Calibri" w:hAnsi="Calibri" w:cs="Calibri"/>
          <w:sz w:val="20"/>
          <w:szCs w:val="20"/>
        </w:rPr>
        <w:t>após a declaração do vencedor.</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17.1.2.</w:t>
      </w:r>
      <w:r>
        <w:rPr>
          <w:rFonts w:ascii="Calibri" w:hAnsi="Calibri" w:cs="Calibri"/>
          <w:sz w:val="20"/>
          <w:szCs w:val="20"/>
        </w:rPr>
        <w:t xml:space="preserve"> A falta de manifestação imediata da intenção recursal importará preclusão e a adjudicação do objeto à licitante vencedora.</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17.2.</w:t>
      </w:r>
      <w:r>
        <w:rPr>
          <w:rFonts w:ascii="Calibri" w:hAnsi="Calibri" w:cs="Calibr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17.3.</w:t>
      </w:r>
      <w:r>
        <w:rPr>
          <w:rFonts w:ascii="Calibri" w:hAnsi="Calibri" w:cs="Calibri"/>
          <w:sz w:val="20"/>
          <w:szCs w:val="20"/>
        </w:rPr>
        <w:t xml:space="preserve"> As razões do recurso e das contrarrazões deverão ser anexadas em campo próprio do sistema eletrônico.</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17.4. </w:t>
      </w:r>
      <w:r>
        <w:rPr>
          <w:rFonts w:ascii="Calibri" w:hAnsi="Calibri" w:cs="Calibri"/>
          <w:sz w:val="20"/>
          <w:szCs w:val="20"/>
        </w:rPr>
        <w:t>O recurso terá efeito suspensivo até a decisão final da autoridade competente e o seu acolhimento importará a invalidação apenas dos atos insuscetíveis de aproveitamento.</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17.5.</w:t>
      </w:r>
      <w:r>
        <w:rPr>
          <w:rFonts w:ascii="Calibri" w:hAnsi="Calibri" w:cs="Calibri"/>
          <w:sz w:val="20"/>
          <w:szCs w:val="20"/>
        </w:rPr>
        <w:t xml:space="preserve"> As razões do recurso serão dirigidas ao Pregoeiro, que, no prazo de 03 (três) dias úteis, poderá reconsiderar sua decisão ou, nesse mesmo prazo, encaminhar o recurso à autoridade superior, devidamente motivado, para decisão final no prazo máximo de 10 (dez) dias úteis.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17.6.</w:t>
      </w:r>
      <w:r>
        <w:rPr>
          <w:rFonts w:ascii="Calibri" w:hAnsi="Calibri" w:cs="Calibri"/>
          <w:sz w:val="20"/>
          <w:szCs w:val="20"/>
        </w:rPr>
        <w:t xml:space="preserve"> A decisão dos recursos deverá ser divulgada no sistema PE-Integrado.</w:t>
      </w:r>
    </w:p>
    <w:p>
      <w:pPr>
        <w:spacing w:before="120" w:after="120" w:line="360" w:lineRule="auto"/>
        <w:ind w:left="-10" w:firstLine="10"/>
        <w:jc w:val="both"/>
        <w:rPr>
          <w:rFonts w:ascii="Calibri" w:hAnsi="Calibri" w:cs="Calibri"/>
          <w:sz w:val="20"/>
          <w:szCs w:val="20"/>
          <w:highlight w:val="yellow"/>
        </w:rPr>
      </w:pPr>
      <w:r>
        <w:rPr>
          <w:rFonts w:ascii="Calibri" w:hAnsi="Calibri" w:cs="Calibri"/>
          <w:b/>
          <w:bCs/>
          <w:sz w:val="20"/>
          <w:szCs w:val="20"/>
        </w:rPr>
        <w:t xml:space="preserve">17.7. </w:t>
      </w:r>
      <w:r>
        <w:rPr>
          <w:rFonts w:ascii="Calibri" w:hAnsi="Calibri" w:cs="Calibri"/>
          <w:sz w:val="20"/>
          <w:szCs w:val="20"/>
        </w:rPr>
        <w:t>Não serão conhecidos recursos apresentados em desacordo com as regras estabelecidas neste item ou fora do prazo e horário legal ou, ainda, subscritos por representante não habilitado legalmente ou não identificado no processo para responder pelo proponente.</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17.8.</w:t>
      </w:r>
      <w:r>
        <w:rPr>
          <w:rFonts w:ascii="Calibri" w:hAnsi="Calibri" w:cs="Calibri"/>
          <w:sz w:val="20"/>
          <w:szCs w:val="20"/>
        </w:rPr>
        <w:t xml:space="preserve"> Decididos os recursos, a autoridade competente fará a adjudicação do objeto da licitação à licitante vencedora.</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17.9. </w:t>
      </w:r>
      <w:r>
        <w:rPr>
          <w:rFonts w:ascii="Calibri" w:hAnsi="Calibri" w:cs="Calibri"/>
          <w:sz w:val="20"/>
          <w:szCs w:val="20"/>
        </w:rPr>
        <w:t>Verificada a regularidade dos procedimentos, o Pregoeiro encaminhará o processo à autoridade competente para a homologação.</w:t>
      </w:r>
    </w:p>
    <w:p>
      <w:pPr>
        <w:spacing w:before="360" w:after="120" w:line="360" w:lineRule="auto"/>
        <w:ind w:left="-1701" w:right="-1276"/>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9525">
                <wp:extent cx="3327400" cy="359410"/>
                <wp:effectExtent l="0" t="0" r="6350" b="2540"/>
                <wp:docPr id="33" name="Forma18"/>
                <wp:cNvGraphicFramePr/>
                <a:graphic xmlns:a="http://schemas.openxmlformats.org/drawingml/2006/main">
                  <a:graphicData uri="http://schemas.microsoft.com/office/word/2010/wordprocessingShape">
                    <wps:wsp>
                      <wps:cNvSpPr/>
                      <wps:spPr>
                        <a:xfrm>
                          <a:off x="0" y="0"/>
                          <a:ext cx="3327400" cy="3600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18. DO CADASTRO DE RESERVA</w:t>
                            </w:r>
                          </w:p>
                        </w:txbxContent>
                      </wps:txbx>
                      <wps:bodyPr anchor="ctr">
                        <a:noAutofit/>
                      </wps:bodyPr>
                    </wps:wsp>
                  </a:graphicData>
                </a:graphic>
              </wp:inline>
            </w:drawing>
          </mc:Choice>
          <mc:Fallback>
            <w:pict>
              <v:rect id="Forma18" o:spid="_x0000_s1026" o:spt="1" style="height:28.3pt;width:262pt;v-text-anchor:middle;" fillcolor="#33608E" filled="t" stroked="f" coordsize="21600,21600" o:gfxdata="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HraFLVAAAABAEAAA8AAAAAAAAAAQAgAAAAIgAAAGRycy9kb3ducmV2LnhtbFBLAQIU&#10;ABQAAAAIAIdO4kDG8rxyvQEAAI8DAAAOAAAAAAAAAAEAIAAAACQBAABkcnMvZTJvRG9jLnhtbFBL&#10;BQYAAAAABgAGAFkBAABT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18. DO CADASTRO DE RESERVA</w:t>
                      </w:r>
                    </w:p>
                  </w:txbxContent>
                </v:textbox>
                <w10:wrap type="none"/>
                <w10:anchorlock/>
              </v:rect>
            </w:pict>
          </mc:Fallback>
        </mc:AlternateContent>
      </w:r>
      <w:r>
        <w:rPr>
          <w:rFonts w:ascii="Calibri" w:hAnsi="Calibri" w:cs="Calibri"/>
          <w:sz w:val="20"/>
          <w:szCs w:val="20"/>
        </w:rPr>
        <w:t xml:space="preserve"> </w:t>
      </w:r>
    </w:p>
    <w:p>
      <w:pPr>
        <w:shd w:val="clear" w:color="auto" w:fill="FFFFFF"/>
        <w:spacing w:before="120" w:after="120" w:line="360" w:lineRule="auto"/>
        <w:ind w:left="-10" w:firstLine="10"/>
        <w:jc w:val="both"/>
        <w:rPr>
          <w:rFonts w:ascii="Calibri" w:hAnsi="Calibri" w:eastAsia="Times New Roman" w:cs="Calibri"/>
          <w:sz w:val="20"/>
          <w:szCs w:val="20"/>
        </w:rPr>
      </w:pPr>
      <w:r>
        <w:rPr>
          <w:rFonts w:ascii="Calibri" w:hAnsi="Calibri" w:eastAsia="Times New Roman" w:cs="Calibri"/>
          <w:b/>
          <w:sz w:val="20"/>
          <w:szCs w:val="20"/>
        </w:rPr>
        <w:t>18.1.</w:t>
      </w:r>
      <w:r>
        <w:rPr>
          <w:rFonts w:ascii="Calibri" w:hAnsi="Calibri" w:eastAsia="Times New Roman" w:cs="Calibri"/>
          <w:sz w:val="20"/>
          <w:szCs w:val="20"/>
        </w:rPr>
        <w:t xml:space="preserve"> Após a adjudicação, as demais licitantes que concordem em reduzir seus preços ao valor da proposta da licitante vencedora poderão integrar cadastro de reserva, obedecida a ordem de classificação no certame.</w:t>
      </w:r>
    </w:p>
    <w:p>
      <w:pPr>
        <w:shd w:val="clear" w:color="auto" w:fill="FFFFFF"/>
        <w:spacing w:before="120" w:after="120" w:line="360" w:lineRule="auto"/>
        <w:ind w:left="-10" w:firstLine="10"/>
        <w:jc w:val="both"/>
        <w:rPr>
          <w:rFonts w:ascii="Calibri" w:hAnsi="Calibri" w:eastAsia="Times New Roman" w:cs="Calibri"/>
          <w:sz w:val="20"/>
          <w:szCs w:val="20"/>
        </w:rPr>
      </w:pPr>
      <w:r>
        <w:rPr>
          <w:rFonts w:ascii="Calibri" w:hAnsi="Calibri" w:eastAsia="Times New Roman" w:cs="Calibri"/>
          <w:b/>
          <w:sz w:val="20"/>
          <w:szCs w:val="20"/>
        </w:rPr>
        <w:t>18.2</w:t>
      </w:r>
      <w:r>
        <w:rPr>
          <w:rFonts w:ascii="Calibri" w:hAnsi="Calibri" w:eastAsia="Times New Roman" w:cs="Calibri"/>
          <w:sz w:val="20"/>
          <w:szCs w:val="20"/>
        </w:rPr>
        <w:t>.  O cadastro de reserva será incluído como anexo da ata e poderá ser acionado quando:</w:t>
      </w:r>
    </w:p>
    <w:p>
      <w:pPr>
        <w:pStyle w:val="36"/>
        <w:shd w:val="clear" w:color="auto" w:fill="FFFFFF"/>
        <w:spacing w:before="120" w:after="120" w:line="360" w:lineRule="auto"/>
        <w:ind w:left="-10" w:firstLine="10"/>
        <w:jc w:val="both"/>
        <w:rPr>
          <w:rFonts w:ascii="Calibri" w:hAnsi="Calibri" w:eastAsia="Times New Roman" w:cs="Calibri"/>
          <w:sz w:val="20"/>
          <w:szCs w:val="20"/>
        </w:rPr>
      </w:pPr>
      <w:r>
        <w:rPr>
          <w:rFonts w:ascii="Calibri" w:hAnsi="Calibri" w:eastAsia="Times New Roman" w:cs="Calibri"/>
          <w:b/>
          <w:bCs/>
          <w:sz w:val="20"/>
          <w:szCs w:val="20"/>
        </w:rPr>
        <w:t>18.2.1.</w:t>
      </w:r>
      <w:r>
        <w:rPr>
          <w:rFonts w:ascii="Calibri" w:hAnsi="Calibri" w:eastAsia="Times New Roman" w:cs="Calibri"/>
          <w:sz w:val="20"/>
          <w:szCs w:val="20"/>
        </w:rPr>
        <w:t xml:space="preserve"> houver recusa injustificada do adjudicatário em assinar a ata;</w:t>
      </w:r>
    </w:p>
    <w:p>
      <w:pPr>
        <w:pStyle w:val="36"/>
        <w:shd w:val="clear" w:color="auto" w:fill="FFFFFF"/>
        <w:spacing w:before="120" w:after="120" w:line="360" w:lineRule="auto"/>
        <w:ind w:left="-10" w:firstLine="10"/>
        <w:jc w:val="both"/>
        <w:rPr>
          <w:rFonts w:ascii="Calibri" w:hAnsi="Calibri" w:eastAsia="Times New Roman" w:cs="Calibri"/>
          <w:sz w:val="20"/>
          <w:szCs w:val="20"/>
        </w:rPr>
      </w:pPr>
      <w:r>
        <w:rPr>
          <w:rFonts w:ascii="Calibri" w:hAnsi="Calibri" w:eastAsia="Times New Roman" w:cs="Calibri"/>
          <w:b/>
          <w:bCs/>
          <w:sz w:val="20"/>
          <w:szCs w:val="20"/>
        </w:rPr>
        <w:t>18.2.2.</w:t>
      </w:r>
      <w:r>
        <w:rPr>
          <w:rFonts w:ascii="Calibri" w:hAnsi="Calibri" w:eastAsia="Times New Roman" w:cs="Calibri"/>
          <w:sz w:val="20"/>
          <w:szCs w:val="20"/>
        </w:rPr>
        <w:t xml:space="preserve"> houver o cancelamento parcial ou integral da ata, nos termos do caput do art. 38 do Decreto Estadual nº 54.700/2023.</w:t>
      </w:r>
    </w:p>
    <w:p>
      <w:pPr>
        <w:shd w:val="clear" w:color="auto" w:fill="FFFFFF"/>
        <w:spacing w:before="120" w:after="120" w:line="360" w:lineRule="auto"/>
        <w:ind w:left="-10" w:firstLine="10"/>
        <w:jc w:val="both"/>
        <w:rPr>
          <w:rFonts w:ascii="Calibri" w:hAnsi="Calibri" w:eastAsia="Times New Roman" w:cs="Calibri"/>
          <w:sz w:val="20"/>
          <w:szCs w:val="20"/>
        </w:rPr>
      </w:pPr>
      <w:r>
        <w:rPr>
          <w:rFonts w:ascii="Calibri" w:hAnsi="Calibri" w:eastAsia="Times New Roman" w:cs="Calibri"/>
          <w:b/>
          <w:sz w:val="20"/>
          <w:szCs w:val="20"/>
        </w:rPr>
        <w:t>18.3</w:t>
      </w:r>
      <w:r>
        <w:rPr>
          <w:rFonts w:ascii="Calibri" w:hAnsi="Calibri" w:eastAsia="Times New Roman" w:cs="Calibri"/>
          <w:sz w:val="20"/>
          <w:szCs w:val="20"/>
        </w:rPr>
        <w:t>. A análise dos documentos de habilitação das licitantes que integram o cadastro de reserva será efetuada apenas na eventualidade de serem convocadas para assinatura da ata.</w:t>
      </w:r>
    </w:p>
    <w:p>
      <w:pPr>
        <w:shd w:val="clear" w:color="auto" w:fill="FFFFFF"/>
        <w:spacing w:before="120" w:after="120" w:line="360" w:lineRule="auto"/>
        <w:ind w:left="-10" w:firstLine="10"/>
        <w:jc w:val="both"/>
        <w:rPr>
          <w:rFonts w:ascii="Calibri" w:hAnsi="Calibri" w:eastAsia="Times New Roman" w:cs="Calibri"/>
          <w:sz w:val="20"/>
          <w:szCs w:val="20"/>
        </w:rPr>
      </w:pPr>
      <w:r>
        <w:rPr>
          <w:rFonts w:ascii="Calibri" w:hAnsi="Calibri" w:eastAsia="Times New Roman" w:cs="Calibri"/>
          <w:b/>
          <w:sz w:val="20"/>
          <w:szCs w:val="20"/>
        </w:rPr>
        <w:t>18.4.</w:t>
      </w:r>
      <w:r>
        <w:rPr>
          <w:rFonts w:ascii="Calibri" w:hAnsi="Calibri" w:eastAsia="Times New Roman" w:cs="Calibri"/>
          <w:sz w:val="20"/>
          <w:szCs w:val="20"/>
        </w:rPr>
        <w:t xml:space="preserve"> A aceitação de eventual convocação é facultativa e a recusa em assinar a ata não gera para os integrantes do cadastro de reserva a aplicação de qualquer sanção administrativa.</w:t>
      </w:r>
    </w:p>
    <w:p>
      <w:pPr>
        <w:spacing w:before="360" w:after="120" w:line="360" w:lineRule="auto"/>
        <w:ind w:left="-1701" w:right="-1276"/>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9525">
                <wp:extent cx="4081145" cy="363855"/>
                <wp:effectExtent l="0" t="0" r="14605" b="17145"/>
                <wp:docPr id="10" name="Forma18"/>
                <wp:cNvGraphicFramePr/>
                <a:graphic xmlns:a="http://schemas.openxmlformats.org/drawingml/2006/main">
                  <a:graphicData uri="http://schemas.microsoft.com/office/word/2010/wordprocessingShape">
                    <wps:wsp>
                      <wps:cNvSpPr/>
                      <wps:spPr>
                        <a:xfrm>
                          <a:off x="0" y="0"/>
                          <a:ext cx="408114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600" w:firstLineChars="25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19. DA ATA DE REGISTRO DE PREÇO</w:t>
                            </w:r>
                          </w:p>
                        </w:txbxContent>
                      </wps:txbx>
                      <wps:bodyPr anchor="ctr">
                        <a:noAutofit/>
                      </wps:bodyPr>
                    </wps:wsp>
                  </a:graphicData>
                </a:graphic>
              </wp:inline>
            </w:drawing>
          </mc:Choice>
          <mc:Fallback>
            <w:pict>
              <v:rect id="Forma18" o:spid="_x0000_s1026" o:spt="1" style="height:28.65pt;width:321.35pt;v-text-anchor:middle;" fillcolor="#33608E" filled="t" stroked="f" coordsize="21600,21600" o:gfxdata="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n9EJ31gAAAAQBAAAPAAAAAAAAAAEAIAAAACIAAABkcnMvZG93bnJldi54bWxQ&#10;SwECFAAUAAAACACHTuJAgalofsABAACPAwAADgAAAAAAAAABACAAAAAlAQAAZHJzL2Uyb0RvYy54&#10;bWxQSwUGAAAAAAYABgBZAQAAVwUAAAAA&#10;">
                <v:fill on="t" focussize="0,0"/>
                <v:stroke on="f" weight="1pt"/>
                <v:imagedata o:title=""/>
                <o:lock v:ext="edit" aspectratio="f"/>
                <v:textbox>
                  <w:txbxContent>
                    <w:p>
                      <w:pPr>
                        <w:pStyle w:val="39"/>
                        <w:spacing w:after="0"/>
                        <w:ind w:left="567" w:right="283" w:firstLine="600" w:firstLineChars="25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19. DA ATA DE REGISTRO DE PREÇO</w:t>
                      </w:r>
                    </w:p>
                  </w:txbxContent>
                </v:textbox>
                <w10:wrap type="none"/>
                <w10:anchorlock/>
              </v:rect>
            </w:pict>
          </mc:Fallback>
        </mc:AlternateContent>
      </w:r>
      <w:r>
        <w:rPr>
          <w:rFonts w:ascii="Calibri" w:hAnsi="Calibri" w:cs="Calibri"/>
          <w:sz w:val="20"/>
          <w:szCs w:val="20"/>
        </w:rPr>
        <w:t xml:space="preserve"> </w:t>
      </w:r>
    </w:p>
    <w:p>
      <w:pPr>
        <w:pStyle w:val="36"/>
        <w:spacing w:before="120" w:after="120" w:line="360" w:lineRule="auto"/>
        <w:ind w:left="0"/>
        <w:jc w:val="both"/>
        <w:rPr>
          <w:rFonts w:ascii="Calibri" w:hAnsi="Calibri" w:cs="Calibri"/>
          <w:sz w:val="20"/>
          <w:szCs w:val="20"/>
        </w:rPr>
      </w:pPr>
      <w:r>
        <w:rPr>
          <w:rFonts w:ascii="Calibri" w:hAnsi="Calibri" w:cs="Calibri"/>
          <w:b/>
          <w:bCs/>
          <w:sz w:val="20"/>
          <w:szCs w:val="20"/>
        </w:rPr>
        <w:t>19.1.</w:t>
      </w:r>
      <w:r>
        <w:rPr>
          <w:rFonts w:ascii="Calibri" w:hAnsi="Calibri" w:cs="Calibri"/>
          <w:sz w:val="20"/>
          <w:szCs w:val="20"/>
        </w:rPr>
        <w:t xml:space="preserve"> Após a homologação do resultado desta licitação, a adjudicatária será convocada para assinar a Ata de Registro de Preços (Anexo III), no prazo de </w:t>
      </w:r>
      <w:r>
        <w:rPr>
          <w:rFonts w:ascii="Calibri" w:hAnsi="Calibri" w:cs="Calibri"/>
          <w:b/>
          <w:bCs/>
          <w:sz w:val="20"/>
          <w:szCs w:val="20"/>
        </w:rPr>
        <w:t>5</w:t>
      </w:r>
      <w:r>
        <w:rPr>
          <w:rFonts w:ascii="Calibri" w:hAnsi="Calibri" w:cs="Calibri"/>
          <w:b/>
          <w:bCs/>
          <w:spacing w:val="1"/>
          <w:sz w:val="20"/>
          <w:szCs w:val="20"/>
        </w:rPr>
        <w:t xml:space="preserve"> </w:t>
      </w:r>
      <w:r>
        <w:rPr>
          <w:rFonts w:ascii="Calibri" w:hAnsi="Calibri" w:cs="Calibri"/>
          <w:b/>
          <w:bCs/>
          <w:sz w:val="20"/>
          <w:szCs w:val="20"/>
        </w:rPr>
        <w:t>(cinco)</w:t>
      </w:r>
      <w:r>
        <w:rPr>
          <w:rFonts w:ascii="Calibri" w:hAnsi="Calibri" w:cs="Calibri"/>
          <w:b/>
          <w:bCs/>
          <w:spacing w:val="1"/>
          <w:sz w:val="20"/>
          <w:szCs w:val="20"/>
        </w:rPr>
        <w:t xml:space="preserve"> </w:t>
      </w:r>
      <w:r>
        <w:rPr>
          <w:rFonts w:ascii="Calibri" w:hAnsi="Calibri" w:cs="Calibri"/>
          <w:b/>
          <w:bCs/>
          <w:sz w:val="20"/>
          <w:szCs w:val="20"/>
        </w:rPr>
        <w:t>dias</w:t>
      </w:r>
      <w:r>
        <w:rPr>
          <w:rFonts w:ascii="Calibri" w:hAnsi="Calibri" w:cs="Calibri"/>
          <w:b/>
          <w:bCs/>
          <w:spacing w:val="1"/>
          <w:sz w:val="20"/>
          <w:szCs w:val="20"/>
        </w:rPr>
        <w:t xml:space="preserve"> </w:t>
      </w:r>
      <w:r>
        <w:rPr>
          <w:rFonts w:ascii="Calibri" w:hAnsi="Calibri" w:cs="Calibri"/>
          <w:b/>
          <w:bCs/>
          <w:sz w:val="20"/>
          <w:szCs w:val="20"/>
        </w:rPr>
        <w:t>úteis</w:t>
      </w:r>
      <w:r>
        <w:rPr>
          <w:rFonts w:ascii="Calibri" w:hAnsi="Calibri" w:cs="Calibri"/>
          <w:sz w:val="20"/>
          <w:szCs w:val="20"/>
        </w:rPr>
        <w:t>, contados da convocação, sob pena de decair o direito à contratação.</w:t>
      </w:r>
    </w:p>
    <w:p>
      <w:pPr>
        <w:pStyle w:val="36"/>
        <w:spacing w:before="120" w:after="120" w:line="360" w:lineRule="auto"/>
        <w:ind w:left="0"/>
        <w:jc w:val="both"/>
        <w:rPr>
          <w:rFonts w:ascii="Calibri" w:hAnsi="Calibri" w:cs="Calibri"/>
          <w:sz w:val="20"/>
          <w:szCs w:val="20"/>
        </w:rPr>
      </w:pPr>
      <w:r>
        <w:rPr>
          <w:rFonts w:ascii="Calibri" w:hAnsi="Calibri" w:cs="Calibri"/>
          <w:b/>
          <w:bCs/>
          <w:sz w:val="20"/>
          <w:szCs w:val="20"/>
        </w:rPr>
        <w:t>19.2.</w:t>
      </w:r>
      <w:r>
        <w:rPr>
          <w:rFonts w:ascii="Calibri" w:hAnsi="Calibri" w:cs="Calibri"/>
          <w:sz w:val="20"/>
          <w:szCs w:val="20"/>
        </w:rPr>
        <w:t xml:space="preserve"> O prazo para assinatura da Ata poderá ser prorrogado uma única vez, por igual período, desde que haja solicitação da adjudicatária antes do decurso do prazo assinalado e ocorra motivo justo, aceito pelo Órgão Gerenciador.</w:t>
      </w:r>
    </w:p>
    <w:p>
      <w:pPr>
        <w:pStyle w:val="36"/>
        <w:spacing w:before="120" w:after="120" w:line="360" w:lineRule="auto"/>
        <w:ind w:left="0"/>
        <w:jc w:val="both"/>
        <w:rPr>
          <w:rFonts w:ascii="Calibri" w:hAnsi="Calibri" w:cs="Calibri"/>
          <w:sz w:val="20"/>
          <w:szCs w:val="20"/>
        </w:rPr>
      </w:pPr>
      <w:r>
        <w:rPr>
          <w:rFonts w:ascii="Calibri" w:hAnsi="Calibri" w:cs="Calibri"/>
          <w:b/>
          <w:bCs/>
          <w:sz w:val="20"/>
          <w:szCs w:val="20"/>
        </w:rPr>
        <w:t>19.3.</w:t>
      </w:r>
      <w:r>
        <w:rPr>
          <w:rFonts w:ascii="Calibri" w:hAnsi="Calibri" w:cs="Calibri"/>
          <w:sz w:val="20"/>
          <w:szCs w:val="20"/>
        </w:rPr>
        <w:t xml:space="preserve"> No ato da assinatura da Ata de Registro de Preços, a adjudicatária, se for o caso, deverá apresentar documento de procuração, devidamente reconhecido em cartório, que habilite o seu representante a assinar o instrumento em nome da empresa.</w:t>
      </w:r>
    </w:p>
    <w:p>
      <w:pPr>
        <w:pStyle w:val="36"/>
        <w:spacing w:before="120" w:after="120" w:line="360" w:lineRule="auto"/>
        <w:ind w:left="0"/>
        <w:jc w:val="both"/>
        <w:rPr>
          <w:rFonts w:ascii="Calibri" w:hAnsi="Calibri" w:cs="Calibri"/>
          <w:sz w:val="20"/>
          <w:szCs w:val="20"/>
        </w:rPr>
      </w:pPr>
      <w:r>
        <w:rPr>
          <w:rFonts w:ascii="Calibri" w:hAnsi="Calibri" w:cs="Calibri"/>
          <w:b/>
          <w:bCs/>
          <w:sz w:val="20"/>
          <w:szCs w:val="20"/>
        </w:rPr>
        <w:t>19.4.</w:t>
      </w:r>
      <w:r>
        <w:rPr>
          <w:rFonts w:ascii="Calibri" w:hAnsi="Calibri" w:cs="Calibri"/>
          <w:sz w:val="20"/>
          <w:szCs w:val="20"/>
        </w:rPr>
        <w:t xml:space="preserve"> A recusa injustificada em assinar a Ata dentro do prazo estabelecido enseja a aplicação das penalidades estabelecidas neste Edital, a perda da garantia de proposta, quando houver, e autoriza a Administração a acionar o cadastro de reserva, se houver.</w:t>
      </w:r>
    </w:p>
    <w:p>
      <w:pPr>
        <w:spacing w:before="120" w:after="120" w:line="360" w:lineRule="auto"/>
        <w:jc w:val="both"/>
        <w:rPr>
          <w:rFonts w:ascii="Calibri" w:hAnsi="Calibri" w:cs="Calibri"/>
          <w:b/>
          <w:sz w:val="20"/>
          <w:szCs w:val="20"/>
        </w:rPr>
      </w:pPr>
      <w:r>
        <w:rPr>
          <w:rFonts w:ascii="Calibri" w:hAnsi="Calibri" w:cs="Calibri"/>
          <w:b/>
          <w:bCs/>
          <w:sz w:val="20"/>
          <w:szCs w:val="20"/>
        </w:rPr>
        <w:t>19.5.</w:t>
      </w:r>
      <w:r>
        <w:rPr>
          <w:rFonts w:ascii="Calibri" w:hAnsi="Calibri" w:cs="Calibri"/>
          <w:sz w:val="20"/>
          <w:szCs w:val="20"/>
        </w:rPr>
        <w:t xml:space="preserve"> 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pPr>
        <w:spacing w:before="360" w:after="120" w:line="360" w:lineRule="auto"/>
        <w:ind w:left="-1701" w:right="-1276"/>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9525">
                <wp:extent cx="2435225" cy="363855"/>
                <wp:effectExtent l="0" t="0" r="3175" b="17145"/>
                <wp:docPr id="13" name="Forma18"/>
                <wp:cNvGraphicFramePr/>
                <a:graphic xmlns:a="http://schemas.openxmlformats.org/drawingml/2006/main">
                  <a:graphicData uri="http://schemas.microsoft.com/office/word/2010/wordprocessingShape">
                    <wps:wsp>
                      <wps:cNvSpPr/>
                      <wps:spPr>
                        <a:xfrm>
                          <a:off x="0" y="0"/>
                          <a:ext cx="243522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20. DO CONTRATO</w:t>
                            </w:r>
                          </w:p>
                        </w:txbxContent>
                      </wps:txbx>
                      <wps:bodyPr anchor="ctr">
                        <a:noAutofit/>
                      </wps:bodyPr>
                    </wps:wsp>
                  </a:graphicData>
                </a:graphic>
              </wp:inline>
            </w:drawing>
          </mc:Choice>
          <mc:Fallback>
            <w:pict>
              <v:rect id="Forma18" o:spid="_x0000_s1026" o:spt="1" style="height:28.65pt;width:191.75pt;v-text-anchor:middle;" fillcolor="#33608E" filled="t" stroked="f" coordsize="21600,21600" o:gfxdata="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Dj0OPXAAAABAEAAA8AAAAAAAAAAQAgAAAAIgAAAGRycy9kb3ducmV2Lnht&#10;bFBLAQIUABQAAAAIAIdO4kBoiPSFwQEAAI8DAAAOAAAAAAAAAAEAIAAAACYBAABkcnMvZTJvRG9j&#10;LnhtbFBLBQYAAAAABgAGAFkBAABZ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20. DO CONTRATO</w:t>
                      </w:r>
                    </w:p>
                  </w:txbxContent>
                </v:textbox>
                <w10:wrap type="none"/>
                <w10:anchorlock/>
              </v:rect>
            </w:pict>
          </mc:Fallback>
        </mc:AlternateContent>
      </w:r>
      <w:r>
        <w:rPr>
          <w:rFonts w:ascii="Calibri" w:hAnsi="Calibri" w:cs="Calibri"/>
          <w:sz w:val="20"/>
          <w:szCs w:val="20"/>
        </w:rPr>
        <w:t xml:space="preserve"> </w:t>
      </w:r>
    </w:p>
    <w:p>
      <w:pPr>
        <w:pStyle w:val="10"/>
        <w:jc w:val="both"/>
        <w:rPr>
          <w:rFonts w:ascii="Calibri" w:hAnsi="Calibri" w:cs="Calibri"/>
        </w:rPr>
      </w:pPr>
      <w:r>
        <w:rPr>
          <w:rFonts w:ascii="Calibri" w:hAnsi="Calibri" w:cs="Calibri"/>
          <w:b/>
          <w:bCs/>
        </w:rPr>
        <w:t>20.1.</w:t>
      </w:r>
      <w:r>
        <w:rPr>
          <w:rFonts w:ascii="Calibri" w:hAnsi="Calibri" w:cs="Calibri"/>
        </w:rPr>
        <w:t xml:space="preserve"> A contratação decorrente desta licitação será formalizada mediante a emissão de Ordem de Fornecimento, conforme modelo constante do Anexo IV, e correspondente Nota de Empenho, ficando dispensada a celebração de instrumento contratual.</w:t>
      </w:r>
    </w:p>
    <w:p>
      <w:pPr>
        <w:pStyle w:val="10"/>
        <w:jc w:val="both"/>
        <w:rPr>
          <w:rFonts w:ascii="Calibri" w:hAnsi="Calibri" w:cs="Calibri"/>
        </w:rPr>
      </w:pPr>
      <w:r>
        <w:rPr>
          <w:rFonts w:ascii="Calibri" w:hAnsi="Calibri" w:cs="Calibri"/>
          <w:b/>
          <w:bCs/>
        </w:rPr>
        <w:t>20.2.</w:t>
      </w:r>
      <w:r>
        <w:rPr>
          <w:rFonts w:ascii="Calibri" w:hAnsi="Calibri" w:cs="Calibri"/>
        </w:rPr>
        <w:t xml:space="preserve"> Após a homologação da licitação, a adjudicatária será convocada para retirada da Ordem de Fornecimento no prazo de 05 (cinco) dias úteis, contados a partir da convocação, sob pena de decair o direito à contratação.</w:t>
      </w:r>
    </w:p>
    <w:p>
      <w:pPr>
        <w:pStyle w:val="10"/>
        <w:jc w:val="both"/>
        <w:rPr>
          <w:rFonts w:ascii="Calibri" w:hAnsi="Calibri" w:cs="Calibri"/>
        </w:rPr>
      </w:pPr>
      <w:r>
        <w:rPr>
          <w:rFonts w:ascii="Calibri" w:hAnsi="Calibri" w:cs="Calibri"/>
          <w:b/>
          <w:bCs/>
        </w:rPr>
        <w:t xml:space="preserve">20.2.1. </w:t>
      </w:r>
      <w:r>
        <w:rPr>
          <w:rFonts w:ascii="Calibri" w:hAnsi="Calibri" w:cs="Calibri"/>
        </w:rPr>
        <w:t>O prazo para retirada da Ordem de Fornecimento poderá ser prorrogado uma única vez, por igual período, mediante solicitação da adjudicatária e desde que ocorra motivo justo, aceito pelo contratante, e que seja formulada antes do decurso do prazo assinalado.</w:t>
      </w:r>
    </w:p>
    <w:p>
      <w:pPr>
        <w:pStyle w:val="10"/>
        <w:jc w:val="both"/>
        <w:rPr>
          <w:rFonts w:ascii="Calibri" w:hAnsi="Calibri" w:cs="Calibri"/>
        </w:rPr>
      </w:pPr>
      <w:r>
        <w:rPr>
          <w:rFonts w:ascii="Calibri" w:hAnsi="Calibri" w:cs="Calibri"/>
          <w:b/>
          <w:bCs/>
        </w:rPr>
        <w:t>20.3.</w:t>
      </w:r>
      <w:r>
        <w:rPr>
          <w:rFonts w:ascii="Calibri" w:hAnsi="Calibri" w:cs="Calibri"/>
        </w:rPr>
        <w:t xml:space="preserve"> O não comparecimento injustificado da adjudicatária ou a não apresentação dos documentos exigidos como requisito de contratação importará na recusa à contratação, sujeita à aplicação das penalidades previstas neste Edital e à perda da garantia da proposta, quando houver, nos termos do item 7.12.4.</w:t>
      </w:r>
    </w:p>
    <w:p>
      <w:pPr>
        <w:pStyle w:val="10"/>
        <w:jc w:val="both"/>
        <w:rPr>
          <w:rFonts w:ascii="Calibri" w:hAnsi="Calibri" w:cs="Calibri"/>
        </w:rPr>
      </w:pPr>
      <w:r>
        <w:rPr>
          <w:rFonts w:ascii="Calibri" w:hAnsi="Calibri" w:cs="Calibri"/>
          <w:b/>
          <w:bCs/>
        </w:rPr>
        <w:t>20.3.1.</w:t>
      </w:r>
      <w:r>
        <w:rPr>
          <w:rFonts w:ascii="Calibri" w:hAnsi="Calibri" w:cs="Calibri"/>
        </w:rPr>
        <w:t xml:space="preserve"> Na hipótese do item 20.3, a adjudicação poderá ser anulada e retomado o procedimento licitatório, a fim de que o Agente de Contratação retorne à fase de negociação para exame das ofertas subsequentes, na ordem de classificação, até a apuração de uma proposta que atenda ao edital de licitação e seja declarada uma nova adjudicatária.</w:t>
      </w:r>
    </w:p>
    <w:p>
      <w:pPr>
        <w:keepNext w:val="0"/>
        <w:keepLines w:val="0"/>
        <w:widowControl/>
        <w:suppressLineNumbers w:val="0"/>
        <w:jc w:val="both"/>
        <w:rPr>
          <w:rFonts w:hint="default" w:eastAsia="Segoe UI Light" w:cs="Calibri" w:asciiTheme="minorAscii" w:hAnsiTheme="minorAscii"/>
          <w:b/>
          <w:bCs/>
          <w:color w:val="000000"/>
          <w:kern w:val="0"/>
          <w:sz w:val="20"/>
          <w:szCs w:val="20"/>
          <w:lang w:val="en-US" w:eastAsia="zh-CN" w:bidi="ar"/>
        </w:rPr>
      </w:pPr>
      <w:r>
        <w:rPr>
          <w:rFonts w:hint="default" w:eastAsia="Segoe UI Light" w:cs="Calibri" w:asciiTheme="minorAscii" w:hAnsiTheme="minorAscii"/>
          <w:b/>
          <w:bCs/>
          <w:color w:val="000000"/>
          <w:kern w:val="0"/>
          <w:sz w:val="20"/>
          <w:szCs w:val="20"/>
          <w:lang w:val="pt-BR" w:eastAsia="zh-CN" w:bidi="ar"/>
        </w:rPr>
        <w:t>20</w:t>
      </w:r>
      <w:r>
        <w:rPr>
          <w:rFonts w:hint="default" w:eastAsia="Segoe UI Light" w:cs="Calibri" w:asciiTheme="minorAscii" w:hAnsiTheme="minorAscii"/>
          <w:b/>
          <w:bCs/>
          <w:color w:val="000000"/>
          <w:kern w:val="0"/>
          <w:sz w:val="20"/>
          <w:szCs w:val="20"/>
          <w:lang w:val="en-US" w:eastAsia="zh-CN" w:bidi="ar"/>
        </w:rPr>
        <w:t xml:space="preserve">.4. </w:t>
      </w:r>
      <w:r>
        <w:rPr>
          <w:rFonts w:hint="default" w:eastAsia="Segoe UI Light" w:cs="Calibri" w:asciiTheme="minorAscii" w:hAnsiTheme="minorAscii"/>
          <w:color w:val="000000"/>
          <w:kern w:val="0"/>
          <w:sz w:val="20"/>
          <w:szCs w:val="20"/>
          <w:lang w:val="en-US" w:eastAsia="zh-CN" w:bidi="ar"/>
        </w:rPr>
        <w:t>Por ocasião da convocação para retirada da ordem de fornecimento, a contratante deverá consultar aregularidade da adjudicatária nos sistemas e-fisco e PE Integrado, no Cadastro Nacional de Empresas Inidôneas</w:t>
      </w:r>
      <w:r>
        <w:rPr>
          <w:rFonts w:hint="default" w:eastAsia="Segoe UI Light" w:cs="Calibri" w:asciiTheme="minorAscii" w:hAnsiTheme="minorAscii"/>
          <w:color w:val="000000"/>
          <w:kern w:val="0"/>
          <w:sz w:val="20"/>
          <w:szCs w:val="20"/>
          <w:lang w:val="pt-BR" w:eastAsia="zh-CN" w:bidi="ar"/>
        </w:rPr>
        <w:t xml:space="preserve"> </w:t>
      </w:r>
      <w:r>
        <w:rPr>
          <w:rFonts w:hint="default" w:eastAsia="Segoe UI Light" w:cs="Calibri" w:asciiTheme="minorAscii" w:hAnsiTheme="minorAscii"/>
          <w:color w:val="000000"/>
          <w:kern w:val="0"/>
          <w:sz w:val="20"/>
          <w:szCs w:val="20"/>
          <w:lang w:val="en-US" w:eastAsia="zh-CN" w:bidi="ar"/>
        </w:rPr>
        <w:t>e Suspensas (Ceis) e no Cadastro Nacional de Empresas Punidas (Cnep) e verificar a validade dos documentos</w:t>
      </w:r>
      <w:r>
        <w:rPr>
          <w:rFonts w:hint="default" w:eastAsia="Segoe UI Light" w:cs="Calibri" w:asciiTheme="minorAscii" w:hAnsiTheme="minorAscii"/>
          <w:color w:val="000000"/>
          <w:kern w:val="0"/>
          <w:sz w:val="20"/>
          <w:szCs w:val="20"/>
          <w:lang w:val="pt-BR" w:eastAsia="zh-CN" w:bidi="ar"/>
        </w:rPr>
        <w:t xml:space="preserve"> </w:t>
      </w:r>
      <w:r>
        <w:rPr>
          <w:rFonts w:hint="default" w:eastAsia="Segoe UI Light" w:cs="Calibri" w:asciiTheme="minorAscii" w:hAnsiTheme="minorAscii"/>
          <w:color w:val="000000"/>
          <w:kern w:val="0"/>
          <w:sz w:val="20"/>
          <w:szCs w:val="20"/>
          <w:lang w:val="en-US" w:eastAsia="zh-CN" w:bidi="ar"/>
        </w:rPr>
        <w:t>de habitação fiscal, social e trabalhista apresentados na licitação, por meio de consulta aos sítios eletrônicos</w:t>
      </w:r>
      <w:r>
        <w:rPr>
          <w:rFonts w:hint="default" w:eastAsia="Segoe UI Light" w:cs="Calibri" w:asciiTheme="minorAscii" w:hAnsiTheme="minorAscii"/>
          <w:color w:val="000000"/>
          <w:kern w:val="0"/>
          <w:sz w:val="20"/>
          <w:szCs w:val="20"/>
          <w:lang w:val="pt-BR" w:eastAsia="zh-CN" w:bidi="ar"/>
        </w:rPr>
        <w:t xml:space="preserve"> </w:t>
      </w:r>
      <w:r>
        <w:rPr>
          <w:rFonts w:hint="default" w:eastAsia="Segoe UI Light" w:cs="Calibri" w:asciiTheme="minorAscii" w:hAnsiTheme="minorAscii"/>
          <w:color w:val="000000"/>
          <w:kern w:val="0"/>
          <w:sz w:val="20"/>
          <w:szCs w:val="20"/>
          <w:lang w:val="en-US" w:eastAsia="zh-CN" w:bidi="ar"/>
        </w:rPr>
        <w:t>oficiais, certificando nos autos a regularidade e anexando os documentos obtidos.</w:t>
      </w:r>
    </w:p>
    <w:p>
      <w:pPr>
        <w:keepNext w:val="0"/>
        <w:keepLines w:val="0"/>
        <w:widowControl/>
        <w:suppressLineNumbers w:val="0"/>
        <w:jc w:val="both"/>
        <w:rPr>
          <w:rFonts w:hint="default" w:eastAsia="Segoe UI Light" w:cs="Calibri" w:asciiTheme="minorAscii" w:hAnsiTheme="minorAscii"/>
          <w:b/>
          <w:bCs/>
          <w:color w:val="000000"/>
          <w:kern w:val="0"/>
          <w:sz w:val="20"/>
          <w:szCs w:val="20"/>
          <w:lang w:val="en-US" w:eastAsia="zh-CN" w:bidi="ar"/>
        </w:rPr>
      </w:pPr>
      <w:r>
        <w:rPr>
          <w:rFonts w:hint="default" w:eastAsia="Segoe UI Light" w:cs="Calibri" w:asciiTheme="minorAscii" w:hAnsiTheme="minorAscii"/>
          <w:b/>
          <w:bCs/>
          <w:color w:val="000000"/>
          <w:kern w:val="0"/>
          <w:sz w:val="20"/>
          <w:szCs w:val="20"/>
          <w:lang w:val="pt-BR" w:eastAsia="zh-CN" w:bidi="ar"/>
        </w:rPr>
        <w:t>20</w:t>
      </w:r>
      <w:r>
        <w:rPr>
          <w:rFonts w:hint="default" w:eastAsia="Segoe UI Light" w:cs="Calibri" w:asciiTheme="minorAscii" w:hAnsiTheme="minorAscii"/>
          <w:b/>
          <w:bCs/>
          <w:color w:val="000000"/>
          <w:kern w:val="0"/>
          <w:sz w:val="20"/>
          <w:szCs w:val="20"/>
          <w:lang w:val="en-US" w:eastAsia="zh-CN" w:bidi="ar"/>
        </w:rPr>
        <w:t xml:space="preserve">.4.1. </w:t>
      </w:r>
      <w:r>
        <w:rPr>
          <w:rFonts w:hint="default" w:eastAsia="Segoe UI Light" w:cs="Calibri" w:asciiTheme="minorAscii" w:hAnsiTheme="minorAscii"/>
          <w:color w:val="000000"/>
          <w:kern w:val="0"/>
          <w:sz w:val="20"/>
          <w:szCs w:val="20"/>
          <w:lang w:val="en-US" w:eastAsia="zh-CN" w:bidi="ar"/>
        </w:rPr>
        <w:t>Se não for possível atualizá-los por meio eletrônico, a adjudicatária será notificada para, no prazo de 02(dois) dias úteis, comprovar a sua situação de regularidade de que trata o item 19.4, mediante a apresentação</w:t>
      </w:r>
      <w:r>
        <w:rPr>
          <w:rFonts w:hint="default" w:eastAsia="Segoe UI Light" w:cs="Calibri" w:asciiTheme="minorAscii" w:hAnsiTheme="minorAscii"/>
          <w:color w:val="000000"/>
          <w:kern w:val="0"/>
          <w:sz w:val="20"/>
          <w:szCs w:val="20"/>
          <w:lang w:val="pt-BR" w:eastAsia="zh-CN" w:bidi="ar"/>
        </w:rPr>
        <w:t xml:space="preserve"> </w:t>
      </w:r>
      <w:r>
        <w:rPr>
          <w:rFonts w:hint="default" w:eastAsia="Segoe UI Light" w:cs="Calibri" w:asciiTheme="minorAscii" w:hAnsiTheme="minorAscii"/>
          <w:color w:val="000000"/>
          <w:kern w:val="0"/>
          <w:sz w:val="20"/>
          <w:szCs w:val="20"/>
          <w:lang w:val="en-US" w:eastAsia="zh-CN" w:bidi="ar"/>
        </w:rPr>
        <w:t>das respectivas certidões vigentes, sob pena de decair do direito à contratação.</w:t>
      </w:r>
    </w:p>
    <w:p>
      <w:pPr>
        <w:keepNext w:val="0"/>
        <w:keepLines w:val="0"/>
        <w:widowControl/>
        <w:suppressLineNumbers w:val="0"/>
        <w:jc w:val="both"/>
        <w:rPr>
          <w:rFonts w:hint="default"/>
          <w:lang w:val="pt-BR"/>
        </w:rPr>
      </w:pPr>
      <w:r>
        <w:rPr>
          <w:rFonts w:hint="default" w:eastAsia="Segoe UI Light" w:cs="Calibri" w:asciiTheme="minorAscii" w:hAnsiTheme="minorAscii"/>
          <w:b/>
          <w:bCs/>
          <w:color w:val="000000"/>
          <w:kern w:val="0"/>
          <w:sz w:val="20"/>
          <w:szCs w:val="20"/>
          <w:lang w:val="pt-BR" w:eastAsia="zh-CN" w:bidi="ar"/>
        </w:rPr>
        <w:t>20</w:t>
      </w:r>
      <w:r>
        <w:rPr>
          <w:rFonts w:hint="default" w:eastAsia="Segoe UI Light" w:cs="Calibri" w:asciiTheme="minorAscii" w:hAnsiTheme="minorAscii"/>
          <w:b/>
          <w:bCs/>
          <w:color w:val="000000"/>
          <w:kern w:val="0"/>
          <w:sz w:val="20"/>
          <w:szCs w:val="20"/>
          <w:lang w:val="en-US" w:eastAsia="zh-CN" w:bidi="ar"/>
        </w:rPr>
        <w:t xml:space="preserve">.5. </w:t>
      </w:r>
      <w:r>
        <w:rPr>
          <w:rFonts w:hint="default" w:eastAsia="Segoe UI Light" w:cs="Calibri" w:asciiTheme="minorAscii" w:hAnsiTheme="minorAscii"/>
          <w:color w:val="000000"/>
          <w:kern w:val="0"/>
          <w:sz w:val="20"/>
          <w:szCs w:val="20"/>
          <w:lang w:val="en-US" w:eastAsia="zh-CN" w:bidi="ar"/>
        </w:rPr>
        <w:t>Poderá ser acrescentada à ordem de fornecimento vantagem apresentada pela licitante vencedora em</w:t>
      </w:r>
      <w:r>
        <w:rPr>
          <w:rFonts w:hint="default" w:eastAsia="Segoe UI Light" w:cs="Calibri" w:asciiTheme="minorAscii" w:hAnsiTheme="minorAscii"/>
          <w:color w:val="000000"/>
          <w:kern w:val="0"/>
          <w:sz w:val="20"/>
          <w:szCs w:val="20"/>
          <w:lang w:val="pt-BR" w:eastAsia="zh-CN" w:bidi="ar"/>
        </w:rPr>
        <w:t xml:space="preserve"> </w:t>
      </w:r>
      <w:r>
        <w:rPr>
          <w:rFonts w:hint="default" w:eastAsia="Segoe UI Light" w:cs="Calibri" w:asciiTheme="minorAscii" w:hAnsiTheme="minorAscii"/>
          <w:color w:val="000000"/>
          <w:kern w:val="0"/>
          <w:sz w:val="20"/>
          <w:szCs w:val="20"/>
          <w:lang w:val="en-US" w:eastAsia="zh-CN" w:bidi="ar"/>
        </w:rPr>
        <w:t>sua proposta, desde que seja pertinente e compatível com os termos deste Edital, não represente quaisquer</w:t>
      </w:r>
      <w:r>
        <w:rPr>
          <w:rFonts w:hint="default" w:eastAsia="Segoe UI Light" w:cs="Calibri" w:asciiTheme="minorAscii" w:hAnsiTheme="minorAscii"/>
          <w:color w:val="000000"/>
          <w:kern w:val="0"/>
          <w:sz w:val="20"/>
          <w:szCs w:val="20"/>
          <w:lang w:val="pt-BR" w:eastAsia="zh-CN" w:bidi="ar"/>
        </w:rPr>
        <w:t xml:space="preserve"> </w:t>
      </w:r>
      <w:r>
        <w:rPr>
          <w:rFonts w:hint="default" w:eastAsia="Segoe UI Light" w:cs="Calibri" w:asciiTheme="minorAscii" w:hAnsiTheme="minorAscii"/>
          <w:color w:val="000000"/>
          <w:kern w:val="0"/>
          <w:sz w:val="20"/>
          <w:szCs w:val="20"/>
          <w:lang w:val="en-US" w:eastAsia="zh-CN" w:bidi="ar"/>
        </w:rPr>
        <w:t>ônus para a Administração e a respectiva aceitação esteja devidamente fundamentada</w:t>
      </w:r>
      <w:r>
        <w:rPr>
          <w:rFonts w:hint="default" w:eastAsia="Segoe UI Light" w:cs="Calibri" w:asciiTheme="minorAscii" w:hAnsiTheme="minorAscii"/>
          <w:color w:val="000000"/>
          <w:kern w:val="0"/>
          <w:sz w:val="20"/>
          <w:szCs w:val="20"/>
          <w:lang w:val="pt-BR" w:eastAsia="zh-CN" w:bidi="ar"/>
        </w:rPr>
        <w:t>.</w:t>
      </w:r>
    </w:p>
    <w:p>
      <w:pPr>
        <w:pStyle w:val="10"/>
        <w:jc w:val="both"/>
      </w:pPr>
    </w:p>
    <w:p>
      <w:pPr>
        <w:spacing w:before="360" w:after="120" w:line="360" w:lineRule="auto"/>
        <w:ind w:left="-1701" w:right="-1418"/>
        <w:jc w:val="both"/>
        <w:rPr>
          <w:rFonts w:ascii="Calibri" w:hAnsi="Calibri" w:cs="Calibri"/>
          <w:sz w:val="20"/>
          <w:szCs w:val="20"/>
        </w:rPr>
      </w:pPr>
      <w:r>
        <w:rPr>
          <w:rFonts w:ascii="Calibri" w:hAnsi="Calibri" w:cs="Calibri"/>
          <w:sz w:val="20"/>
          <w:szCs w:val="20"/>
          <w:lang w:eastAsia="pt-BR"/>
        </w:rPr>
        <mc:AlternateContent>
          <mc:Choice Requires="wps">
            <w:drawing>
              <wp:inline distT="0" distB="2540" distL="0" distR="4445">
                <wp:extent cx="4732020" cy="363855"/>
                <wp:effectExtent l="0" t="0" r="11430" b="17145"/>
                <wp:docPr id="35" name="Forma19"/>
                <wp:cNvGraphicFramePr/>
                <a:graphic xmlns:a="http://schemas.openxmlformats.org/drawingml/2006/main">
                  <a:graphicData uri="http://schemas.microsoft.com/office/word/2010/wordprocessingShape">
                    <wps:wsp>
                      <wps:cNvSpPr/>
                      <wps:spPr>
                        <a:xfrm>
                          <a:off x="0" y="0"/>
                          <a:ext cx="473202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21. DAS INFRAÇÕES E SANÇÕES ADMINISTRATIVAS</w:t>
                            </w:r>
                          </w:p>
                        </w:txbxContent>
                      </wps:txbx>
                      <wps:bodyPr anchor="ctr">
                        <a:noAutofit/>
                      </wps:bodyPr>
                    </wps:wsp>
                  </a:graphicData>
                </a:graphic>
              </wp:inline>
            </w:drawing>
          </mc:Choice>
          <mc:Fallback>
            <w:pict>
              <v:rect id="Forma19" o:spid="_x0000_s1026" o:spt="1" style="height:28.65pt;width:372.6pt;v-text-anchor:middle;" fillcolor="#33608E" filled="t" stroked="f" coordsize="21600,21600" o:gfxdata="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jWtJDWAAAABAEAAA8AAAAAAAAAAQAgAAAAIgAAAGRycy9kb3ducmV2LnhtbFBLAQIU&#10;ABQAAAAIAIdO4kDAwAZZvAEAAI8DAAAOAAAAAAAAAAEAIAAAACUBAABkcnMvZTJvRG9jLnhtbFBL&#10;BQYAAAAABgAGAFkBAABT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21. DAS INFRAÇÕES E SANÇÕES ADMINISTRATIVAS</w:t>
                      </w:r>
                    </w:p>
                  </w:txbxContent>
                </v:textbox>
                <w10:wrap type="none"/>
                <w10:anchorlock/>
              </v:rect>
            </w:pict>
          </mc:Fallback>
        </mc:AlternateConten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21.1.</w:t>
      </w:r>
      <w:r>
        <w:rPr>
          <w:rFonts w:ascii="Calibri" w:hAnsi="Calibri" w:cs="Calibri"/>
          <w:bCs/>
          <w:sz w:val="20"/>
          <w:szCs w:val="20"/>
        </w:rPr>
        <w:t xml:space="preserve"> Comete infração administrativa, nos termos do art. 155 da Lei nº 14.133, de 2021, a licitante ou a adjudicatária que:</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21.1.1.</w:t>
      </w:r>
      <w:r>
        <w:rPr>
          <w:rFonts w:ascii="Calibri" w:hAnsi="Calibri" w:cs="Calibri"/>
          <w:bCs/>
          <w:sz w:val="20"/>
          <w:szCs w:val="20"/>
        </w:rPr>
        <w:t xml:space="preserve"> convocada dentro do prazo de validade da proposta, não comparecer para assinar a Ata de Registro de Preços ou o instrumento contratual ou para retirar a Ordem de Fornecimento e respectiva nota de empenho;</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 xml:space="preserve">21.1.2. </w:t>
      </w:r>
      <w:r>
        <w:rPr>
          <w:rFonts w:ascii="Calibri" w:hAnsi="Calibri" w:cs="Calibri"/>
          <w:bCs/>
          <w:sz w:val="20"/>
          <w:szCs w:val="20"/>
        </w:rPr>
        <w:t>deixar de entregar documentação exigida durante a licitação ou para fins de assinatura da Ata ou do contrato, inclusive a garantia da proposta ou de execução contratual;</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 xml:space="preserve">21.1.3. </w:t>
      </w:r>
      <w:r>
        <w:rPr>
          <w:rFonts w:ascii="Calibri" w:hAnsi="Calibri" w:cs="Calibri"/>
          <w:bCs/>
          <w:sz w:val="20"/>
          <w:szCs w:val="20"/>
        </w:rPr>
        <w:t>Salvo em decorrência de fato superveniente devidamente justificado, não mantiver a proposta, em especial quando:</w:t>
      </w:r>
    </w:p>
    <w:p>
      <w:pPr>
        <w:spacing w:before="120" w:after="120" w:line="360" w:lineRule="auto"/>
        <w:ind w:left="-10" w:firstLine="10"/>
        <w:jc w:val="both"/>
        <w:rPr>
          <w:rFonts w:ascii="Calibri" w:hAnsi="Calibri" w:cs="Calibri"/>
          <w:b/>
          <w:bCs/>
          <w:sz w:val="20"/>
          <w:szCs w:val="20"/>
        </w:rPr>
      </w:pPr>
      <w:r>
        <w:rPr>
          <w:rFonts w:ascii="Calibri" w:hAnsi="Calibri" w:cs="Calibri"/>
          <w:b/>
          <w:bCs/>
          <w:sz w:val="20"/>
          <w:szCs w:val="20"/>
        </w:rPr>
        <w:t xml:space="preserve">21.1.3.1. </w:t>
      </w:r>
      <w:r>
        <w:rPr>
          <w:rFonts w:ascii="Calibri" w:hAnsi="Calibri" w:cs="Calibri"/>
          <w:bCs/>
          <w:sz w:val="20"/>
          <w:szCs w:val="20"/>
        </w:rPr>
        <w:t>não enviar a proposta adequada ao último lance ofertado ou após a negociação;</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 xml:space="preserve">21.1.3.2. </w:t>
      </w:r>
      <w:r>
        <w:rPr>
          <w:rFonts w:ascii="Calibri" w:hAnsi="Calibri" w:cs="Calibri"/>
          <w:bCs/>
          <w:sz w:val="20"/>
          <w:szCs w:val="20"/>
        </w:rPr>
        <w:t>recusar-se a enviar o detalhamento da proposta quando exigível;</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21.1.3.3.</w:t>
      </w:r>
      <w:r>
        <w:rPr>
          <w:rFonts w:ascii="Calibri" w:hAnsi="Calibri" w:cs="Calibri"/>
          <w:bCs/>
          <w:sz w:val="20"/>
          <w:szCs w:val="20"/>
        </w:rPr>
        <w:t xml:space="preserve"> desistir dos lances ofertados, a menos que haja erro material reconhecido;</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21.1.3.4. </w:t>
      </w:r>
      <w:r>
        <w:rPr>
          <w:rFonts w:ascii="Calibri" w:hAnsi="Calibri" w:cs="Calibri"/>
          <w:bCs/>
          <w:sz w:val="20"/>
          <w:szCs w:val="20"/>
        </w:rPr>
        <w:t>desistir da proposta após encerrada a etapa competitiva ou der causa à sua desclassificação ao</w:t>
      </w:r>
      <w:r>
        <w:rPr>
          <w:rFonts w:ascii="Calibri" w:hAnsi="Calibri" w:cs="Calibri"/>
          <w:b/>
          <w:bCs/>
          <w:sz w:val="20"/>
          <w:szCs w:val="20"/>
        </w:rPr>
        <w:t xml:space="preserve"> </w:t>
      </w:r>
      <w:r>
        <w:rPr>
          <w:rFonts w:ascii="Calibri" w:hAnsi="Calibri" w:cs="Calibri"/>
          <w:sz w:val="20"/>
          <w:szCs w:val="20"/>
        </w:rPr>
        <w:t>não oferecer, mesmo após negociação, proposta compatível com o valor máximo do orçamento estimado;</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 xml:space="preserve">21.1.3.5. </w:t>
      </w:r>
      <w:r>
        <w:rPr>
          <w:rFonts w:ascii="Calibri" w:hAnsi="Calibri" w:cs="Calibri"/>
          <w:bCs/>
          <w:sz w:val="20"/>
          <w:szCs w:val="20"/>
        </w:rPr>
        <w:t>deixar de apresentar amostra ou apresentá-la em desacordo com as especificações do edital;</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21.1.3.6. </w:t>
      </w:r>
      <w:r>
        <w:rPr>
          <w:rFonts w:ascii="Calibri" w:hAnsi="Calibri" w:cs="Calibri"/>
          <w:bCs/>
          <w:sz w:val="20"/>
          <w:szCs w:val="20"/>
        </w:rPr>
        <w:t>apresentar proposta em desacordo com as especificações do edital.</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21.1.4.</w:t>
      </w:r>
      <w:r>
        <w:rPr>
          <w:rFonts w:ascii="Calibri" w:hAnsi="Calibri" w:cs="Calibri"/>
          <w:bCs/>
          <w:sz w:val="20"/>
          <w:szCs w:val="20"/>
        </w:rPr>
        <w:t xml:space="preserve"> apresentar declaração ou documentação falsa exigida para o certame ou prestar declaração falsa durante a licitação</w:t>
      </w:r>
      <w:r>
        <w:rPr>
          <w:rFonts w:ascii="Calibri" w:hAnsi="Calibri" w:cs="Calibri"/>
          <w:sz w:val="20"/>
          <w:szCs w:val="20"/>
        </w:rPr>
        <w:t>;</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21.1.5.</w:t>
      </w:r>
      <w:r>
        <w:rPr>
          <w:rFonts w:ascii="Calibri" w:hAnsi="Calibri" w:cs="Calibri"/>
          <w:bCs/>
          <w:sz w:val="20"/>
          <w:szCs w:val="20"/>
        </w:rPr>
        <w:t xml:space="preserve"> fraudar a licitação;</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21.1.6.</w:t>
      </w:r>
      <w:r>
        <w:rPr>
          <w:rFonts w:ascii="Calibri" w:hAnsi="Calibri" w:cs="Calibri"/>
          <w:sz w:val="20"/>
          <w:szCs w:val="20"/>
        </w:rPr>
        <w:t xml:space="preserve"> praticar atos ilícitos com vistas a frustrar os objetivos da licitação;</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21.1.7.</w:t>
      </w:r>
      <w:r>
        <w:rPr>
          <w:rFonts w:ascii="Calibri" w:hAnsi="Calibri" w:cs="Calibri"/>
          <w:bCs/>
          <w:sz w:val="20"/>
          <w:szCs w:val="20"/>
        </w:rPr>
        <w:t xml:space="preserve"> comportar-se de modo inidôneo ou cometer fraude de qualquer natureza, em especial quando:</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21.1.7.1</w:t>
      </w:r>
      <w:r>
        <w:rPr>
          <w:rFonts w:ascii="Calibri" w:hAnsi="Calibri" w:cs="Calibri"/>
          <w:bCs/>
          <w:sz w:val="20"/>
          <w:szCs w:val="20"/>
        </w:rPr>
        <w:t>. agir em conluio ou em desconformidade com a lei;</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21.1.7.2</w:t>
      </w:r>
      <w:r>
        <w:rPr>
          <w:rFonts w:ascii="Calibri" w:hAnsi="Calibri" w:cs="Calibri"/>
          <w:bCs/>
          <w:sz w:val="20"/>
          <w:szCs w:val="20"/>
        </w:rPr>
        <w:t>. induzir deliberadamente a erro no julgamento;</w:t>
      </w:r>
    </w:p>
    <w:p>
      <w:pPr>
        <w:spacing w:before="120" w:after="120" w:line="360" w:lineRule="auto"/>
        <w:ind w:left="-10" w:firstLine="10"/>
        <w:jc w:val="both"/>
        <w:rPr>
          <w:rFonts w:ascii="Calibri" w:hAnsi="Calibri" w:cs="Calibri"/>
          <w:bCs/>
          <w:sz w:val="20"/>
          <w:szCs w:val="20"/>
        </w:rPr>
      </w:pPr>
      <w:r>
        <w:rPr>
          <w:rFonts w:ascii="Calibri" w:hAnsi="Calibri" w:cs="Calibri"/>
          <w:b/>
          <w:bCs/>
          <w:sz w:val="20"/>
          <w:szCs w:val="20"/>
        </w:rPr>
        <w:t>21.1.7.3</w:t>
      </w:r>
      <w:r>
        <w:rPr>
          <w:rFonts w:ascii="Calibri" w:hAnsi="Calibri" w:cs="Calibri"/>
          <w:bCs/>
          <w:sz w:val="20"/>
          <w:szCs w:val="20"/>
        </w:rPr>
        <w:t>. apresentar amostra falsificada ou deteriorada.</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21.1.8.</w:t>
      </w:r>
      <w:r>
        <w:rPr>
          <w:rFonts w:ascii="Calibri" w:hAnsi="Calibri" w:cs="Calibri"/>
          <w:bCs/>
          <w:sz w:val="20"/>
          <w:szCs w:val="20"/>
        </w:rPr>
        <w:t xml:space="preserve"> cometer fraude de qualquer natureza;</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21.1.9.</w:t>
      </w:r>
      <w:r>
        <w:rPr>
          <w:rFonts w:ascii="Calibri" w:hAnsi="Calibri" w:cs="Calibri"/>
          <w:sz w:val="20"/>
          <w:szCs w:val="20"/>
        </w:rPr>
        <w:t xml:space="preserve"> praticar ato lesivo previsto no </w:t>
      </w:r>
      <w:r>
        <w:rPr>
          <w:rFonts w:ascii="Calibri" w:hAnsi="Calibri" w:cs="Calibri"/>
          <w:sz w:val="20"/>
          <w:szCs w:val="20"/>
          <w:u w:val="single"/>
        </w:rPr>
        <w:t>art. 5º da Lei nº 12.846, de 1º de agosto de 2013;</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21.2.</w:t>
      </w:r>
      <w:r>
        <w:rPr>
          <w:rFonts w:ascii="Calibri" w:hAnsi="Calibri" w:cs="Calibri"/>
          <w:sz w:val="20"/>
          <w:szCs w:val="20"/>
        </w:rPr>
        <w:t xml:space="preserve"> As licitantes ou adjudicatárias que incorram em infrações sujeitam-se às seguintes sanções administrativas, sem prejuízo das responsabilidades civil e criminal: </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21.2.1.</w:t>
      </w:r>
      <w:r>
        <w:rPr>
          <w:rFonts w:ascii="Calibri" w:hAnsi="Calibri" w:cs="Calibri"/>
          <w:sz w:val="20"/>
          <w:szCs w:val="20"/>
        </w:rPr>
        <w:t xml:space="preserve"> Multa;</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21.2.2.</w:t>
      </w:r>
      <w:r>
        <w:rPr>
          <w:rFonts w:ascii="Calibri" w:hAnsi="Calibri" w:cs="Calibri"/>
          <w:sz w:val="20"/>
          <w:szCs w:val="20"/>
        </w:rPr>
        <w:t xml:space="preserve"> Impedimento de Licitar e Contratar com a Administração Direta e Indireta do Estado de Pernambuco, pelo prazo de até 03 (três) anos;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21.2.3.</w:t>
      </w:r>
      <w:r>
        <w:rPr>
          <w:rFonts w:ascii="Calibri" w:hAnsi="Calibri" w:cs="Calibri"/>
          <w:sz w:val="20"/>
          <w:szCs w:val="20"/>
        </w:rPr>
        <w:t xml:space="preserve"> Declaração de inidoneidade para licitar ou contratar com a Administração Pública direta e indireta de todos os entes federativos, pelo prazo mínimo de 03 (três) e máximo de 06 (seis) anos.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21.3.</w:t>
      </w:r>
      <w:r>
        <w:rPr>
          <w:rFonts w:ascii="Calibri" w:hAnsi="Calibri" w:cs="Calibri"/>
          <w:sz w:val="20"/>
          <w:szCs w:val="20"/>
        </w:rPr>
        <w:t xml:space="preserve"> As sanções previstas nos itens 21.2.2 e 21.2.3 poderão ser aplicadas cumulativamente com a multa.</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21.4. </w:t>
      </w:r>
      <w:r>
        <w:rPr>
          <w:rFonts w:ascii="Calibri" w:hAnsi="Calibri" w:cs="Calibri"/>
          <w:bCs/>
          <w:sz w:val="20"/>
          <w:szCs w:val="20"/>
        </w:rPr>
        <w:t>A penalidade de multa será aplicada de acordo com as seguintes regras: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21.4.1.</w:t>
      </w:r>
      <w:r>
        <w:rPr>
          <w:rFonts w:ascii="Calibri" w:hAnsi="Calibri" w:cs="Calibri"/>
          <w:sz w:val="20"/>
          <w:szCs w:val="20"/>
        </w:rPr>
        <w:t xml:space="preserve"> Multa de 1% (um por cento) a 5% (cinco por cento) sobre o valor estimado para o item do qual participou, observado o valor mínimo de 10.000,00 (dez mil reais) e o máximo de R$ 100.000,00 (cem mil reais), a ser aplicada a quem cometer a infração prevista no item 21.1.1 deste edital;</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21.4.2.</w:t>
      </w:r>
      <w:r>
        <w:rPr>
          <w:rFonts w:ascii="Calibri" w:hAnsi="Calibri" w:cs="Calibri"/>
          <w:sz w:val="20"/>
          <w:szCs w:val="20"/>
        </w:rPr>
        <w:t xml:space="preserve"> Multa de 0,5% (zero vírgula cinco por cento) até 1% (um por cento) sobre o valor total do item do qual participou, observado o valor mínimo de R$ 2.000,00 (dois mil reais) e máximo de R$ 50.000,00 (cinquenta mil reais), a ser aplicada a quem cometer as infrações previstas nos itens 21.1.2 e 21.1.3. deste edital;</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21.4.3.</w:t>
      </w:r>
      <w:r>
        <w:rPr>
          <w:rFonts w:ascii="Calibri" w:hAnsi="Calibri" w:cs="Calibri"/>
          <w:sz w:val="20"/>
          <w:szCs w:val="20"/>
        </w:rPr>
        <w:t xml:space="preserve"> Multa de 10% (dez por cento) até 30% (trinta por cento) sobre o valor estimado para o item do qual participou nos casos das infrações previstas nos itens 21.1.4. 21.1.5., 21.1.6., 21.1.7, 21.1.8 e 21.1.9 deste edital.</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21.5.</w:t>
      </w:r>
      <w:r>
        <w:rPr>
          <w:rFonts w:ascii="Calibri" w:hAnsi="Calibri" w:cs="Calibri"/>
          <w:sz w:val="20"/>
          <w:szCs w:val="20"/>
        </w:rPr>
        <w:t xml:space="preserve"> Além da multa, aplicada, conforme os itens precedentes, será aplicável a penalidade de Impedimento de Licitar e Contratar com a Administração Direta e Indireta do Estado de Pernambuco, nos seguintes casos e condições: </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21.5.1.</w:t>
      </w:r>
      <w:r>
        <w:rPr>
          <w:rFonts w:ascii="Calibri" w:hAnsi="Calibri" w:cs="Calibri"/>
          <w:sz w:val="20"/>
          <w:szCs w:val="20"/>
        </w:rPr>
        <w:t xml:space="preserve"> No cometimento da infração prevista no item 21.1.1: de 6 a 12 meses;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21.5.2.</w:t>
      </w:r>
      <w:r>
        <w:rPr>
          <w:rFonts w:ascii="Calibri" w:hAnsi="Calibri" w:cs="Calibri"/>
          <w:sz w:val="20"/>
          <w:szCs w:val="20"/>
        </w:rPr>
        <w:t xml:space="preserve"> No cometimento das infrações previstas nos itens 21.1.2 e 21.1.3: até 6 meses;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21.6. </w:t>
      </w:r>
      <w:r>
        <w:rPr>
          <w:rFonts w:ascii="Calibri" w:hAnsi="Calibri" w:cs="Calibri"/>
          <w:sz w:val="20"/>
          <w:szCs w:val="20"/>
        </w:rPr>
        <w:t>Além da multa, aplicada conforme os itens precedentes, será aplicável a penalidade de declaração de inidoneidade para licitar e contratar com a Administração Pública direta e indireta de todos os entes federativos e descredenciamento no CADFOR-PE, no cometimento das infrações previstas nos itens 21.1.4, 21.1.5, 21.1.6, 21.1.7, 21.1.8 e 21.1.9: de 03 a 6 anos.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21.7. </w:t>
      </w:r>
      <w:r>
        <w:rPr>
          <w:rFonts w:ascii="Calibri" w:hAnsi="Calibri" w:cs="Calibri"/>
          <w:sz w:val="20"/>
          <w:szCs w:val="20"/>
        </w:rPr>
        <w:t>Na fixação das penalidades, dentro das faixas de multa estabelecidas neste Edital, bem como dos prazos previstos nos itens 21.5 e 21.6. deverão ser observadas:</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21.7.1. </w:t>
      </w:r>
      <w:r>
        <w:rPr>
          <w:rFonts w:ascii="Calibri" w:hAnsi="Calibri" w:cs="Calibri"/>
          <w:sz w:val="20"/>
          <w:szCs w:val="20"/>
        </w:rPr>
        <w:t>A natureza e a gravidade da infração cometida;</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21.7.2.</w:t>
      </w:r>
      <w:r>
        <w:rPr>
          <w:rFonts w:ascii="Calibri" w:hAnsi="Calibri" w:cs="Calibri"/>
          <w:sz w:val="20"/>
          <w:szCs w:val="20"/>
        </w:rPr>
        <w:t xml:space="preserve"> As peculiaridades do caso concreto;</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21.7.3. </w:t>
      </w:r>
      <w:r>
        <w:rPr>
          <w:rFonts w:ascii="Calibri" w:hAnsi="Calibri" w:cs="Calibri"/>
          <w:sz w:val="20"/>
          <w:szCs w:val="20"/>
        </w:rPr>
        <w:t xml:space="preserve">Circunstâncias gerais agravantes ou atenuantes da infração </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w:t>
      </w:r>
      <w:r>
        <w:rPr>
          <w:rFonts w:ascii="Calibri" w:hAnsi="Calibri" w:cs="Calibri"/>
          <w:b/>
          <w:sz w:val="20"/>
          <w:szCs w:val="20"/>
        </w:rPr>
        <w:t>.7.4.</w:t>
      </w:r>
      <w:r>
        <w:rPr>
          <w:rFonts w:ascii="Calibri" w:hAnsi="Calibri" w:cs="Calibri"/>
          <w:sz w:val="20"/>
          <w:szCs w:val="20"/>
        </w:rPr>
        <w:t xml:space="preserve"> Os danos para a Administração Pública resultantes da infração;</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21.7.5.</w:t>
      </w:r>
      <w:r>
        <w:rPr>
          <w:rFonts w:ascii="Calibri" w:hAnsi="Calibri" w:cs="Calibri"/>
          <w:sz w:val="20"/>
          <w:szCs w:val="20"/>
        </w:rPr>
        <w:t xml:space="preserve"> A vantagem auferida em virtude da infração;  </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21.7.6.</w:t>
      </w:r>
      <w:r>
        <w:rPr>
          <w:rFonts w:ascii="Calibri" w:hAnsi="Calibri" w:cs="Calibri"/>
          <w:sz w:val="20"/>
          <w:szCs w:val="20"/>
        </w:rPr>
        <w:t xml:space="preserve"> A implantação ou o aperfeiçoamento de programa de integridade, conforme normas e orientações dos órgãos de controle.</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21.8.</w:t>
      </w:r>
      <w:r>
        <w:rPr>
          <w:rFonts w:ascii="Calibri" w:hAnsi="Calibri" w:cs="Calibri"/>
          <w:sz w:val="20"/>
          <w:szCs w:val="20"/>
        </w:rPr>
        <w:t xml:space="preserve"> 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21.9.</w:t>
      </w:r>
      <w:r>
        <w:rPr>
          <w:rFonts w:ascii="Calibri" w:hAnsi="Calibri" w:cs="Calibri"/>
          <w:sz w:val="20"/>
          <w:szCs w:val="20"/>
        </w:rPr>
        <w:t xml:space="preserve"> </w:t>
      </w:r>
      <w:bookmarkStart w:id="43" w:name="_Hlk142409849"/>
      <w:r>
        <w:rPr>
          <w:rFonts w:ascii="Calibri" w:hAnsi="Calibri" w:eastAsia="Calibri" w:cs="Calibri"/>
          <w:sz w:val="20"/>
          <w:szCs w:val="20"/>
        </w:rPr>
        <w:t xml:space="preserve">As penalidades deverão ser registradas no sistema e-fisco, </w:t>
      </w:r>
      <w:r>
        <w:rPr>
          <w:rFonts w:ascii="Calibri" w:hAnsi="Calibri" w:cs="Calibri"/>
          <w:sz w:val="20"/>
          <w:szCs w:val="20"/>
        </w:rPr>
        <w:t>no PE-integrado, no Cadastro Nacional de Empresas Inidôneas e Suspensas (Ceis) e no Cadastro Nacional de Empresas Punidas (Cnep), no prazo máximo de 15 (quinze) dias úteis, contados da data da decisão definitiva de aplicação da sanção.</w:t>
      </w:r>
      <w:bookmarkEnd w:id="43"/>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 xml:space="preserve">21.10. </w:t>
      </w:r>
      <w:r>
        <w:rPr>
          <w:rFonts w:ascii="Calibri" w:hAnsi="Calibri" w:cs="Calibri"/>
          <w:sz w:val="20"/>
          <w:szCs w:val="20"/>
        </w:rPr>
        <w:t>Nenhuma penalidade será aplicada sem o devido Processo Administrativo de Aplicação de Penalidade - PAAP, disciplinado em Decreto Estadual.</w:t>
      </w:r>
    </w:p>
    <w:p>
      <w:pPr>
        <w:spacing w:before="120" w:after="120" w:line="360" w:lineRule="auto"/>
        <w:ind w:left="-10" w:firstLine="10"/>
        <w:jc w:val="both"/>
        <w:rPr>
          <w:rFonts w:ascii="Calibri" w:hAnsi="Calibri" w:cs="Calibri"/>
          <w:sz w:val="20"/>
          <w:szCs w:val="20"/>
        </w:rPr>
      </w:pPr>
      <w:r>
        <w:rPr>
          <w:rFonts w:ascii="Calibri" w:hAnsi="Calibri" w:cs="Calibri"/>
          <w:b/>
          <w:bCs/>
          <w:sz w:val="20"/>
          <w:szCs w:val="20"/>
        </w:rPr>
        <w:t>21.11.</w:t>
      </w:r>
      <w:r>
        <w:rPr>
          <w:rFonts w:ascii="Calibri" w:hAnsi="Calibri" w:cs="Calibri"/>
          <w:sz w:val="20"/>
          <w:szCs w:val="20"/>
        </w:rPr>
        <w:t xml:space="preserve"> Havendo indícios de cometimento das condutas previstas na Lei Federal nº 12.846/2013 (Lei Anticorrupção), a documentação pertinente será encaminhada às autoridades competentes para apuração da conduta típica em questão.</w:t>
      </w:r>
    </w:p>
    <w:p>
      <w:pPr>
        <w:spacing w:before="360" w:after="120" w:line="360" w:lineRule="auto"/>
        <w:ind w:left="-1701" w:right="-1418"/>
        <w:jc w:val="both"/>
        <w:rPr>
          <w:rFonts w:ascii="Calibri" w:hAnsi="Calibri" w:eastAsia="Segoe UI" w:cs="Calibri"/>
          <w:sz w:val="20"/>
          <w:szCs w:val="20"/>
          <w:lang w:bidi="en-US"/>
        </w:rPr>
      </w:pPr>
      <w:r>
        <w:rPr>
          <w:rFonts w:ascii="Calibri" w:hAnsi="Calibri" w:cs="Calibri"/>
          <w:sz w:val="20"/>
          <w:szCs w:val="20"/>
          <w:lang w:eastAsia="pt-BR"/>
        </w:rPr>
        <mc:AlternateContent>
          <mc:Choice Requires="wps">
            <w:drawing>
              <wp:inline distT="0" distB="2540" distL="0" distR="0">
                <wp:extent cx="3256915" cy="363855"/>
                <wp:effectExtent l="0" t="0" r="635" b="17145"/>
                <wp:docPr id="16" name="Forma21"/>
                <wp:cNvGraphicFramePr/>
                <a:graphic xmlns:a="http://schemas.openxmlformats.org/drawingml/2006/main">
                  <a:graphicData uri="http://schemas.microsoft.com/office/word/2010/wordprocessingShape">
                    <wps:wsp>
                      <wps:cNvSpPr/>
                      <wps:spPr>
                        <a:xfrm>
                          <a:off x="0" y="0"/>
                          <a:ext cx="325691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22. DAS DISPOSIÇÕES FINAIS</w:t>
                            </w:r>
                          </w:p>
                        </w:txbxContent>
                      </wps:txbx>
                      <wps:bodyPr anchor="ctr">
                        <a:noAutofit/>
                      </wps:bodyPr>
                    </wps:wsp>
                  </a:graphicData>
                </a:graphic>
              </wp:inline>
            </w:drawing>
          </mc:Choice>
          <mc:Fallback>
            <w:pict>
              <v:rect id="Forma21" o:spid="_x0000_s1026" o:spt="1" style="height:28.65pt;width:256.45pt;v-text-anchor:middle;" fillcolor="#33608E" filled="t" stroked="f" coordsize="21600,21600" o:gfxdata="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BT1PwXXAAAABAEAAA8AAAAAAAAAAQAgAAAAIgAAAGRycy9kb3ducmV2Lnht&#10;bFBLAQIUABQAAAAIAIdO4kDVgHrWwQEAAI8DAAAOAAAAAAAAAAEAIAAAACYBAABkcnMvZTJvRG9j&#10;LnhtbFBLBQYAAAAABgAGAFkBAABZBQAAAAA=&#10;">
                <v:fill on="t" focussize="0,0"/>
                <v:stroke on="f" weight="1pt"/>
                <v:imagedata o:title=""/>
                <o:lock v:ext="edit" aspectratio="f"/>
                <v:textbox>
                  <w:txbxContent>
                    <w:p>
                      <w:pPr>
                        <w:pStyle w:val="39"/>
                        <w:spacing w:after="0"/>
                        <w:ind w:left="567"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22. DAS DISPOSIÇÕES FINAIS</w:t>
                      </w:r>
                    </w:p>
                  </w:txbxContent>
                </v:textbox>
                <w10:wrap type="none"/>
                <w10:anchorlock/>
              </v:rect>
            </w:pict>
          </mc:Fallback>
        </mc:AlternateConten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22.1.</w:t>
      </w:r>
      <w:r>
        <w:rPr>
          <w:rFonts w:ascii="Calibri" w:hAnsi="Calibri" w:cs="Calibri"/>
          <w:sz w:val="20"/>
          <w:szCs w:val="20"/>
        </w:rPr>
        <w:t xml:space="preserve"> A indicação do lance vencedor, a classificação dos lances apresentados e demais informações relativas à sessão pública do pregão  constarão de ata, sem prejuízo das demais formas de publicidade.</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22.2.</w:t>
      </w:r>
      <w:r>
        <w:rPr>
          <w:rFonts w:ascii="Calibri" w:hAnsi="Calibri" w:cs="Calibri"/>
          <w:sz w:val="20"/>
          <w:szCs w:val="20"/>
        </w:rPr>
        <w:t xml:space="preserve"> </w:t>
      </w:r>
      <w:r>
        <w:rPr>
          <w:rFonts w:ascii="Calibri" w:hAnsi="Calibri" w:eastAsia="Calibri" w:cs="Calibri"/>
          <w:sz w:val="20"/>
          <w:szCs w:val="20"/>
        </w:rPr>
        <w:t>As decisões referentes a este processo licitatório poderão ser comunicadas às licitantes por qualquer meio de comunicação que comprove o seu recebimento ou, ainda, mediante publicação no sistema PE-Integrado ou no Diário Oficial do Estado de Pernambuco.</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 xml:space="preserve">22.3. </w:t>
      </w:r>
      <w:r>
        <w:rPr>
          <w:rFonts w:ascii="Calibri" w:hAnsi="Calibri" w:cs="Calibri"/>
          <w:sz w:val="20"/>
          <w:szCs w:val="20"/>
        </w:rPr>
        <w:t>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22.4.</w:t>
      </w:r>
      <w:r>
        <w:rPr>
          <w:rFonts w:ascii="Calibri" w:hAnsi="Calibri" w:eastAsia="Calibri" w:cs="Calibri"/>
          <w:sz w:val="20"/>
          <w:szCs w:val="20"/>
        </w:rPr>
        <w:t xml:space="preserve"> Constatado vício insanável na licitação, </w:t>
      </w:r>
      <w:r>
        <w:rPr>
          <w:rFonts w:ascii="Calibri" w:hAnsi="Calibri" w:cs="Calibri"/>
          <w:sz w:val="20"/>
          <w:szCs w:val="20"/>
        </w:rPr>
        <w:t>a decisão sobre a suspensão da execução ou sobre a declaração de nulidade do contrato somente será adotada na hipótese em que se revelar medida de interesse público, nos termos do art. 147 da Lei nº 14.133/2021</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22.5.</w:t>
      </w:r>
      <w:r>
        <w:rPr>
          <w:rFonts w:ascii="Calibri" w:hAnsi="Calibri" w:cs="Calibri"/>
          <w:sz w:val="20"/>
          <w:szCs w:val="20"/>
        </w:rPr>
        <w:t xml:space="preserve"> Após a adjudicação do objeto, a revogação ou a anulação da licitação somente será efetivada depois de concedido à adjudicatária do prazo de 3 (três) dias úteis para exercício do direito ao contraditório e à ampla defesa. </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 xml:space="preserve">22.5.1. </w:t>
      </w:r>
      <w:r>
        <w:rPr>
          <w:rFonts w:ascii="Calibri" w:hAnsi="Calibri" w:cs="Calibri"/>
          <w:sz w:val="20"/>
          <w:szCs w:val="20"/>
        </w:rPr>
        <w:t>Da decisão da autoridade de anular ou revogar o certame caberá recurso, no prazo de 03 (três) dias úteis para a autoridade máxima do órgão ou entidade responsável.</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22.6</w:t>
      </w:r>
      <w:r>
        <w:rPr>
          <w:rFonts w:ascii="Calibri" w:hAnsi="Calibri" w:eastAsia="Calibri" w:cs="Calibri"/>
          <w:b/>
          <w:sz w:val="20"/>
          <w:szCs w:val="20"/>
        </w:rPr>
        <w:t>.</w:t>
      </w:r>
      <w:r>
        <w:rPr>
          <w:rFonts w:ascii="Calibri" w:hAnsi="Calibri" w:eastAsia="Calibri" w:cs="Calibri"/>
          <w:sz w:val="20"/>
          <w:szCs w:val="20"/>
        </w:rPr>
        <w:t xml:space="preserve"> As licitantes não terão direito à indenização em decorrência da revogação, cabendo, em caso de anulação, o dever </w:t>
      </w:r>
      <w:r>
        <w:rPr>
          <w:rFonts w:ascii="Calibri" w:hAnsi="Calibri" w:cs="Calibri"/>
          <w:sz w:val="20"/>
          <w:szCs w:val="20"/>
        </w:rPr>
        <w:t>de indenizar o contratado pelo que houver executado até a data em que for declarada ou tornada eficaz, bem como por outros prejuízos regularmente comprovados, desde que não lhe seja imputável.</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 xml:space="preserve">22.7. </w:t>
      </w:r>
      <w:r>
        <w:rPr>
          <w:rFonts w:ascii="Calibri" w:hAnsi="Calibri" w:cs="Calibri"/>
          <w:sz w:val="20"/>
          <w:szCs w:val="20"/>
        </w:rPr>
        <w:t>A participação das licitantes nesta licitação implica a aceitação de todos os termos deste Edital.</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22.8.</w:t>
      </w:r>
      <w:r>
        <w:rPr>
          <w:rFonts w:ascii="Calibri" w:hAnsi="Calibri" w:cs="Calibri"/>
          <w:sz w:val="20"/>
          <w:szCs w:val="20"/>
        </w:rPr>
        <w:t xml:space="preserve"> Em caso de divergência entre o Termo de Referência e o Edital de Licitação, prevalece o Edital.</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 xml:space="preserve">22.9. </w:t>
      </w:r>
      <w:r>
        <w:rPr>
          <w:rFonts w:ascii="Calibri" w:hAnsi="Calibri" w:cs="Calibri"/>
          <w:sz w:val="20"/>
          <w:szCs w:val="20"/>
        </w:rPr>
        <w:t>Em caso de discordância existente entre as especificações do objeto a ser licitado descritas no PE-INTEGRADO e as especificações constantes deste Edital, prevalecerão as últimas.</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 xml:space="preserve">22.10. </w:t>
      </w:r>
      <w:r>
        <w:rPr>
          <w:rFonts w:ascii="Calibri" w:hAnsi="Calibri" w:cs="Calibri"/>
          <w:sz w:val="20"/>
          <w:szCs w:val="20"/>
        </w:rPr>
        <w:t>Constituem anexos deste instrumento convocatório, dele fazendo parte integrante:</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a) Anexo I -</w:t>
      </w:r>
      <w:r>
        <w:rPr>
          <w:rFonts w:ascii="Calibri" w:hAnsi="Calibri" w:cs="Calibri"/>
          <w:sz w:val="20"/>
          <w:szCs w:val="20"/>
        </w:rPr>
        <w:t xml:space="preserve"> Termo de Referência (com seus respectivos anexos, inclusive Modelo de Proposta);</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b) Anexo II –</w:t>
      </w:r>
      <w:r>
        <w:rPr>
          <w:rFonts w:ascii="Calibri" w:hAnsi="Calibri" w:cs="Calibri"/>
          <w:sz w:val="20"/>
          <w:szCs w:val="20"/>
        </w:rPr>
        <w:t xml:space="preserve"> Declarações complementares;</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c) Anexo III –</w:t>
      </w:r>
      <w:r>
        <w:rPr>
          <w:rFonts w:ascii="Calibri" w:hAnsi="Calibri" w:cs="Calibri"/>
          <w:sz w:val="20"/>
          <w:szCs w:val="20"/>
        </w:rPr>
        <w:t xml:space="preserve"> Minuta da Ata de Registro de Preços;</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d) Anexo IV –</w:t>
      </w:r>
      <w:r>
        <w:rPr>
          <w:rFonts w:ascii="Calibri" w:hAnsi="Calibri" w:cs="Calibri"/>
          <w:sz w:val="20"/>
          <w:szCs w:val="20"/>
        </w:rPr>
        <w:t xml:space="preserve"> Minuta da Ordem de Fornecimento.</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 xml:space="preserve">22.11. </w:t>
      </w:r>
      <w:r>
        <w:rPr>
          <w:rFonts w:ascii="Calibri" w:hAnsi="Calibri" w:cs="Calibri"/>
          <w:sz w:val="20"/>
          <w:szCs w:val="20"/>
        </w:rPr>
        <w:t>Os casos omissos neste Edital serão decididos com base na Lei nº 14.133, de 2021, e demais normas que regem a matéria.</w:t>
      </w:r>
    </w:p>
    <w:p>
      <w:pPr>
        <w:spacing w:before="120" w:after="120" w:line="360" w:lineRule="auto"/>
        <w:ind w:left="-11" w:leftChars="-5" w:firstLine="10" w:firstLineChars="5"/>
        <w:jc w:val="both"/>
        <w:rPr>
          <w:rFonts w:ascii="Calibri" w:hAnsi="Calibri" w:cs="Calibri"/>
          <w:b/>
          <w:sz w:val="20"/>
          <w:szCs w:val="20"/>
        </w:rPr>
      </w:pPr>
      <w:r>
        <w:rPr>
          <w:rFonts w:ascii="Calibri" w:hAnsi="Calibri" w:cs="Calibri"/>
          <w:b/>
          <w:bCs/>
          <w:sz w:val="20"/>
          <w:szCs w:val="20"/>
        </w:rPr>
        <w:t xml:space="preserve">22.12. </w:t>
      </w:r>
      <w:r>
        <w:rPr>
          <w:rFonts w:ascii="Calibri" w:hAnsi="Calibri" w:cs="Calibri"/>
          <w:sz w:val="20"/>
          <w:szCs w:val="20"/>
        </w:rPr>
        <w:t>A data de abertura da sessão pública poderá ser adiada por conveniência do órgão licitante, sem prejuízo do disposto no art. 55, I, “a”, da Lei n.º 14.133, de 2021.</w:t>
      </w:r>
    </w:p>
    <w:p>
      <w:pPr>
        <w:tabs>
          <w:tab w:val="left" w:pos="426"/>
          <w:tab w:val="left" w:pos="1191"/>
        </w:tabs>
        <w:spacing w:before="120" w:after="120" w:line="360" w:lineRule="auto"/>
        <w:ind w:left="-11" w:leftChars="-5" w:firstLine="10" w:firstLineChars="5"/>
        <w:jc w:val="center"/>
        <w:rPr>
          <w:rFonts w:ascii="Calibri" w:hAnsi="Calibri" w:cs="Calibri"/>
          <w:bCs/>
          <w:sz w:val="20"/>
          <w:szCs w:val="20"/>
        </w:rPr>
      </w:pPr>
    </w:p>
    <w:p>
      <w:pPr>
        <w:tabs>
          <w:tab w:val="left" w:pos="426"/>
          <w:tab w:val="left" w:pos="1191"/>
        </w:tabs>
        <w:spacing w:before="120" w:after="120" w:line="360" w:lineRule="auto"/>
        <w:ind w:left="-11" w:leftChars="-5" w:firstLine="10" w:firstLineChars="5"/>
        <w:jc w:val="center"/>
        <w:rPr>
          <w:rFonts w:ascii="Calibri" w:hAnsi="Calibri" w:cs="Calibri"/>
          <w:sz w:val="20"/>
          <w:szCs w:val="20"/>
        </w:rPr>
      </w:pPr>
      <w:bookmarkStart w:id="44" w:name="_Hlk130982980"/>
      <w:r>
        <w:rPr>
          <w:rFonts w:ascii="Calibri" w:hAnsi="Calibri" w:cs="Calibri"/>
          <w:bCs/>
          <w:sz w:val="20"/>
          <w:szCs w:val="20"/>
        </w:rPr>
        <w:t xml:space="preserve">Recife, </w:t>
      </w:r>
      <w:r>
        <w:rPr>
          <w:rFonts w:hint="default" w:ascii="Calibri" w:hAnsi="Calibri" w:cs="Calibri"/>
          <w:bCs/>
          <w:sz w:val="20"/>
          <w:szCs w:val="20"/>
          <w:lang w:val="pt-BR"/>
        </w:rPr>
        <w:t>31</w:t>
      </w:r>
      <w:r>
        <w:rPr>
          <w:rFonts w:ascii="Calibri" w:hAnsi="Calibri" w:cs="Calibri"/>
          <w:bCs/>
          <w:sz w:val="20"/>
          <w:szCs w:val="20"/>
        </w:rPr>
        <w:t xml:space="preserve">de </w:t>
      </w:r>
      <w:r>
        <w:rPr>
          <w:rFonts w:hint="default" w:ascii="Calibri" w:hAnsi="Calibri" w:cs="Calibri"/>
          <w:bCs/>
          <w:sz w:val="20"/>
          <w:szCs w:val="20"/>
          <w:lang w:val="pt-BR"/>
        </w:rPr>
        <w:t>maio</w:t>
      </w:r>
      <w:r>
        <w:rPr>
          <w:rFonts w:ascii="Calibri" w:hAnsi="Calibri" w:cs="Calibri"/>
          <w:bCs/>
          <w:sz w:val="20"/>
          <w:szCs w:val="20"/>
        </w:rPr>
        <w:t xml:space="preserve"> de 2024.</w:t>
      </w:r>
      <w:bookmarkEnd w:id="44"/>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pStyle w:val="39"/>
        <w:spacing w:before="240" w:after="0" w:line="240" w:lineRule="auto"/>
        <w:jc w:val="center"/>
        <w:rPr>
          <w:rFonts w:ascii="Calibri" w:hAnsi="Calibri" w:cs="Calibri"/>
          <w:b/>
          <w:bCs/>
          <w:sz w:val="20"/>
          <w:szCs w:val="20"/>
        </w:rPr>
      </w:pPr>
      <w:r>
        <w:rPr>
          <w:rFonts w:ascii="Calibri" w:hAnsi="Calibri" w:cs="Calibri"/>
          <w:b/>
          <w:bCs/>
          <w:sz w:val="20"/>
          <w:szCs w:val="20"/>
        </w:rPr>
        <w:t xml:space="preserve">PROCESSO LICITATÓRIO Nº </w:t>
      </w:r>
      <w:r>
        <w:rPr>
          <w:rFonts w:hint="default" w:ascii="Calibri" w:hAnsi="Calibri"/>
          <w:b/>
          <w:bCs/>
          <w:sz w:val="20"/>
          <w:szCs w:val="20"/>
        </w:rPr>
        <w:t>0542.2024.AC 74.PE.0240.SAD.DASIS</w:t>
      </w:r>
    </w:p>
    <w:p>
      <w:pPr>
        <w:pStyle w:val="39"/>
        <w:spacing w:after="240" w:line="240" w:lineRule="auto"/>
        <w:jc w:val="center"/>
        <w:rPr>
          <w:rFonts w:ascii="Calibri" w:hAnsi="Calibri" w:cs="Calibri"/>
          <w:b/>
          <w:bCs/>
          <w:sz w:val="20"/>
          <w:szCs w:val="20"/>
        </w:rPr>
      </w:pPr>
      <w:r>
        <w:rPr>
          <w:rFonts w:ascii="Calibri" w:hAnsi="Calibri" w:cs="Calibri"/>
          <w:b/>
          <w:bCs/>
          <w:sz w:val="20"/>
          <w:szCs w:val="20"/>
        </w:rPr>
        <w:t xml:space="preserve">PREGÃO ELETRÔNICO PARA REGISTRO DE PREÇOS Nº </w:t>
      </w:r>
      <w:r>
        <w:rPr>
          <w:rFonts w:hint="default" w:ascii="Calibri" w:hAnsi="Calibri"/>
          <w:b/>
          <w:bCs/>
          <w:sz w:val="20"/>
          <w:szCs w:val="20"/>
        </w:rPr>
        <w:t>PE.0240.SAD.DASIS</w:t>
      </w:r>
    </w:p>
    <w:p>
      <w:pPr>
        <w:tabs>
          <w:tab w:val="left" w:pos="426"/>
          <w:tab w:val="left" w:pos="1191"/>
        </w:tabs>
        <w:spacing w:before="120" w:after="120" w:line="360" w:lineRule="auto"/>
        <w:jc w:val="center"/>
        <w:rPr>
          <w:rFonts w:ascii="Calibri" w:hAnsi="Calibri" w:cs="Calibri"/>
          <w:sz w:val="20"/>
          <w:szCs w:val="20"/>
        </w:rPr>
      </w:pPr>
    </w:p>
    <w:p>
      <w:pPr>
        <w:tabs>
          <w:tab w:val="left" w:pos="426"/>
          <w:tab w:val="left" w:pos="1191"/>
        </w:tabs>
        <w:spacing w:before="120" w:after="120" w:line="360" w:lineRule="auto"/>
        <w:rPr>
          <w:rFonts w:ascii="Calibri" w:hAnsi="Calibri" w:cs="Calibri"/>
          <w:sz w:val="20"/>
          <w:szCs w:val="20"/>
        </w:rPr>
      </w:pPr>
      <w:r>
        <w:rPr>
          <w:rFonts w:ascii="Calibri" w:hAnsi="Calibri" w:cs="Calibri"/>
          <w:sz w:val="20"/>
          <w:szCs w:val="20"/>
          <w:lang w:eastAsia="pt-BR"/>
        </w:rPr>
        <mc:AlternateContent>
          <mc:Choice Requires="wps">
            <w:drawing>
              <wp:inline distT="0" distB="0" distL="0" distR="0">
                <wp:extent cx="5945505" cy="583565"/>
                <wp:effectExtent l="0" t="0" r="17145" b="6985"/>
                <wp:docPr id="7" name="Retângulo 7"/>
                <wp:cNvGraphicFramePr/>
                <a:graphic xmlns:a="http://schemas.openxmlformats.org/drawingml/2006/main">
                  <a:graphicData uri="http://schemas.microsoft.com/office/word/2010/wordprocessingShape">
                    <wps:wsp>
                      <wps:cNvSpPr>
                        <a:spLocks noChangeArrowheads="1"/>
                      </wps:cNvSpPr>
                      <wps:spPr bwMode="auto">
                        <a:xfrm>
                          <a:off x="0" y="0"/>
                          <a:ext cx="5945505" cy="583565"/>
                        </a:xfrm>
                        <a:prstGeom prst="rect">
                          <a:avLst/>
                        </a:prstGeom>
                        <a:solidFill>
                          <a:srgbClr val="33608E"/>
                        </a:solidFill>
                        <a:ln w="12700" cap="flat" cmpd="sng" algn="ctr">
                          <a:noFill/>
                          <a:prstDash val="solid"/>
                          <a:miter lim="800000"/>
                        </a:ln>
                      </wps:spPr>
                      <wps:txbx>
                        <w:txbxContent>
                          <w:p>
                            <w:pPr>
                              <w:spacing w:after="0" w:line="276" w:lineRule="auto"/>
                              <w:jc w:val="center"/>
                              <w:rPr>
                                <w:rFonts w:ascii="Calibri" w:hAnsi="Calibri" w:cs="Calibri"/>
                                <w:b/>
                                <w:color w:val="FFFFFF" w:themeColor="background1"/>
                                <w:sz w:val="28"/>
                                <w:szCs w:val="28"/>
                                <w14:textFill>
                                  <w14:solidFill>
                                    <w14:schemeClr w14:val="bg1"/>
                                  </w14:solidFill>
                                </w14:textFill>
                              </w:rPr>
                            </w:pPr>
                            <w:r>
                              <w:rPr>
                                <w:rFonts w:ascii="Calibri" w:hAnsi="Calibri" w:cs="Calibri"/>
                                <w:b/>
                                <w:color w:val="FFFFFF" w:themeColor="background1"/>
                                <w:sz w:val="28"/>
                                <w:szCs w:val="28"/>
                                <w14:textFill>
                                  <w14:solidFill>
                                    <w14:schemeClr w14:val="bg1"/>
                                  </w14:solidFill>
                                </w14:textFill>
                              </w:rPr>
                              <w:t>ANEXO I</w:t>
                            </w:r>
                          </w:p>
                          <w:p>
                            <w:pPr>
                              <w:spacing w:after="0" w:line="276" w:lineRule="auto"/>
                              <w:jc w:val="center"/>
                              <w:rPr>
                                <w:rFonts w:ascii="Calibri" w:hAnsi="Calibri" w:cs="Calibri"/>
                                <w:b/>
                                <w:bCs/>
                                <w:color w:val="FFFFFF" w:themeColor="background1"/>
                                <w:sz w:val="28"/>
                                <w:szCs w:val="28"/>
                                <w14:textFill>
                                  <w14:solidFill>
                                    <w14:schemeClr w14:val="bg1"/>
                                  </w14:solidFill>
                                </w14:textFill>
                              </w:rPr>
                            </w:pPr>
                            <w:r>
                              <w:rPr>
                                <w:rFonts w:ascii="Calibri" w:hAnsi="Calibri" w:cs="Calibri"/>
                                <w:b/>
                                <w:color w:val="FFFFFF" w:themeColor="background1"/>
                                <w:sz w:val="28"/>
                                <w:szCs w:val="28"/>
                                <w14:textFill>
                                  <w14:solidFill>
                                    <w14:schemeClr w14:val="bg1"/>
                                  </w14:solidFill>
                                </w14:textFill>
                              </w:rPr>
                              <w:t>TERMO DE REFERÊNCIA</w:t>
                            </w:r>
                          </w:p>
                        </w:txbxContent>
                      </wps:txbx>
                      <wps:bodyPr rot="0" vert="horz" wrap="square" lIns="91440" tIns="45720" rIns="91440" bIns="45720" anchor="ctr" anchorCtr="0" upright="1">
                        <a:noAutofit/>
                      </wps:bodyPr>
                    </wps:wsp>
                  </a:graphicData>
                </a:graphic>
              </wp:inline>
            </w:drawing>
          </mc:Choice>
          <mc:Fallback>
            <w:pict>
              <v:rect id="_x0000_s1026" o:spid="_x0000_s1026" o:spt="1" style="height:45.95pt;width:468.15pt;v-text-anchor:middle;" fillcolor="#33608E" filled="t" stroked="f" coordsize="21600,21600" o:gfxdata="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bUq13dYAAAAEAQAA&#10;DwAAAAAAAAABACAAAAAiAAAAZHJzL2Rvd25yZXYueG1sUEsBAhQAFAAAAAgAh07iQIyOA75UAgAA&#10;kgQAAA4AAAAAAAAAAQAgAAAAJQEAAGRycy9lMm9Eb2MueG1sUEsFBgAAAAAGAAYAWQEAAOsFAAAA&#10;AA==&#10;">
                <v:fill on="t" focussize="0,0"/>
                <v:stroke on="f" weight="1pt" miterlimit="8" joinstyle="miter"/>
                <v:imagedata o:title=""/>
                <o:lock v:ext="edit" aspectratio="f"/>
                <v:textbox>
                  <w:txbxContent>
                    <w:p>
                      <w:pPr>
                        <w:spacing w:after="0" w:line="276" w:lineRule="auto"/>
                        <w:jc w:val="center"/>
                        <w:rPr>
                          <w:rFonts w:ascii="Calibri" w:hAnsi="Calibri" w:cs="Calibri"/>
                          <w:b/>
                          <w:color w:val="FFFFFF" w:themeColor="background1"/>
                          <w:sz w:val="28"/>
                          <w:szCs w:val="28"/>
                          <w14:textFill>
                            <w14:solidFill>
                              <w14:schemeClr w14:val="bg1"/>
                            </w14:solidFill>
                          </w14:textFill>
                        </w:rPr>
                      </w:pPr>
                      <w:r>
                        <w:rPr>
                          <w:rFonts w:ascii="Calibri" w:hAnsi="Calibri" w:cs="Calibri"/>
                          <w:b/>
                          <w:color w:val="FFFFFF" w:themeColor="background1"/>
                          <w:sz w:val="28"/>
                          <w:szCs w:val="28"/>
                          <w14:textFill>
                            <w14:solidFill>
                              <w14:schemeClr w14:val="bg1"/>
                            </w14:solidFill>
                          </w14:textFill>
                        </w:rPr>
                        <w:t>ANEXO I</w:t>
                      </w:r>
                    </w:p>
                    <w:p>
                      <w:pPr>
                        <w:spacing w:after="0" w:line="276" w:lineRule="auto"/>
                        <w:jc w:val="center"/>
                        <w:rPr>
                          <w:rFonts w:ascii="Calibri" w:hAnsi="Calibri" w:cs="Calibri"/>
                          <w:b/>
                          <w:bCs/>
                          <w:color w:val="FFFFFF" w:themeColor="background1"/>
                          <w:sz w:val="28"/>
                          <w:szCs w:val="28"/>
                          <w14:textFill>
                            <w14:solidFill>
                              <w14:schemeClr w14:val="bg1"/>
                            </w14:solidFill>
                          </w14:textFill>
                        </w:rPr>
                      </w:pPr>
                      <w:r>
                        <w:rPr>
                          <w:rFonts w:ascii="Calibri" w:hAnsi="Calibri" w:cs="Calibri"/>
                          <w:b/>
                          <w:color w:val="FFFFFF" w:themeColor="background1"/>
                          <w:sz w:val="28"/>
                          <w:szCs w:val="28"/>
                          <w14:textFill>
                            <w14:solidFill>
                              <w14:schemeClr w14:val="bg1"/>
                            </w14:solidFill>
                          </w14:textFill>
                        </w:rPr>
                        <w:t>TERMO DE REFERÊNCIA</w:t>
                      </w:r>
                    </w:p>
                  </w:txbxContent>
                </v:textbox>
                <w10:wrap type="none"/>
                <w10:anchorlock/>
              </v:rect>
            </w:pict>
          </mc:Fallback>
        </mc:AlternateContent>
      </w:r>
    </w:p>
    <w:p>
      <w:pPr>
        <w:rPr>
          <w:sz w:val="20"/>
          <w:szCs w:val="20"/>
        </w:rPr>
      </w:pPr>
    </w:p>
    <w:p>
      <w:pPr>
        <w:pStyle w:val="14"/>
        <w:spacing w:before="120" w:beforeAutospacing="0" w:after="120"/>
        <w:ind w:left="60" w:right="6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u w:val="single"/>
        </w:rPr>
        <w:t>TERMO DE REFERÊNCIA</w:t>
      </w:r>
    </w:p>
    <w:p>
      <w:pPr>
        <w:pStyle w:val="14"/>
        <w:spacing w:before="120" w:beforeAutospacing="0" w:after="120"/>
        <w:ind w:left="120" w:right="12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u w:val="single"/>
        </w:rPr>
        <w:t>1. DO OBJETO DA LICITAÇÃO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1.1.</w:t>
      </w:r>
      <w:r>
        <w:rPr>
          <w:rFonts w:asciiTheme="minorHAnsi" w:hAnsiTheme="minorHAnsi" w:eastAsiaTheme="minorEastAsia" w:cstheme="minorEastAsia"/>
          <w:color w:val="auto"/>
          <w:sz w:val="20"/>
          <w:szCs w:val="20"/>
        </w:rPr>
        <w:t> Formação de Registro de Preços para o fornecimento eventual de</w:t>
      </w:r>
      <w:r>
        <w:rPr>
          <w:rFonts w:asciiTheme="minorHAnsi" w:hAnsiTheme="minorHAnsi" w:eastAsiaTheme="minorEastAsia" w:cstheme="minorEastAsia"/>
          <w:b/>
          <w:bCs/>
          <w:color w:val="auto"/>
          <w:sz w:val="20"/>
          <w:szCs w:val="20"/>
        </w:rPr>
        <w:t> </w:t>
      </w:r>
      <w:r>
        <w:rPr>
          <w:rStyle w:val="4"/>
          <w:rFonts w:asciiTheme="minorHAnsi" w:hAnsiTheme="minorHAnsi" w:eastAsiaTheme="minorEastAsia" w:cstheme="minorEastAsia"/>
          <w:color w:val="auto"/>
          <w:sz w:val="20"/>
          <w:szCs w:val="20"/>
        </w:rPr>
        <w:t>MEDICAMENTOS ANTIMICROBIANOS INJETÁVEIS</w:t>
      </w:r>
      <w:r>
        <w:rPr>
          <w:rFonts w:asciiTheme="minorHAnsi" w:hAnsiTheme="minorHAnsi" w:eastAsiaTheme="minorEastAsia" w:cstheme="minorEastAsia"/>
          <w:b/>
          <w:bCs/>
          <w:color w:val="auto"/>
          <w:sz w:val="20"/>
          <w:szCs w:val="20"/>
        </w:rPr>
        <w:t>,</w:t>
      </w:r>
      <w:r>
        <w:rPr>
          <w:rFonts w:asciiTheme="minorHAnsi" w:hAnsiTheme="minorHAnsi" w:eastAsiaTheme="minorEastAsia" w:cstheme="minorEastAsia"/>
          <w:color w:val="auto"/>
          <w:sz w:val="20"/>
          <w:szCs w:val="20"/>
        </w:rPr>
        <w:t> visando atender as necessidades do</w:t>
      </w:r>
      <w:r>
        <w:rPr>
          <w:rFonts w:asciiTheme="minorHAnsi" w:hAnsiTheme="minorHAnsi" w:eastAsiaTheme="minorEastAsia" w:cstheme="minorEastAsia"/>
          <w:b/>
          <w:bCs/>
          <w:color w:val="auto"/>
          <w:sz w:val="20"/>
          <w:szCs w:val="20"/>
        </w:rPr>
        <w:t> CENTRO MEDICO HOSPITALAR DA PMPE/CBMPE</w:t>
      </w:r>
      <w:r>
        <w:rPr>
          <w:rFonts w:asciiTheme="minorHAnsi" w:hAnsiTheme="minorHAnsi" w:eastAsiaTheme="minorEastAsia" w:cstheme="minorEastAsia"/>
          <w:color w:val="auto"/>
          <w:sz w:val="20"/>
          <w:szCs w:val="20"/>
        </w:rPr>
        <w:t>, conforme as condições, especificações, quantidades e exigências contidas neste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1.2.</w:t>
      </w:r>
      <w:r>
        <w:rPr>
          <w:rFonts w:asciiTheme="minorHAnsi" w:hAnsiTheme="minorHAnsi" w:eastAsiaTheme="minorEastAsia" w:cstheme="minorEastAsia"/>
          <w:color w:val="auto"/>
          <w:sz w:val="20"/>
          <w:szCs w:val="20"/>
        </w:rPr>
        <w:t> O objeto desta contratação não se enquadra como sendo bem de luxo, conforme definição do art. 8º do Decreto nº 51.652/ 2021.</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1.3.</w:t>
      </w:r>
      <w:r>
        <w:rPr>
          <w:rFonts w:asciiTheme="minorHAnsi" w:hAnsiTheme="minorHAnsi" w:eastAsiaTheme="minorEastAsia" w:cstheme="minorEastAsia"/>
          <w:color w:val="auto"/>
          <w:sz w:val="20"/>
          <w:szCs w:val="20"/>
        </w:rPr>
        <w:t> As especificações e os quantitativos do objeto desta licitação estão divididos por itens e descritos conforme quadro abaixo: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bl>
      <w:tblPr>
        <w:tblStyle w:val="3"/>
        <w:tblW w:w="0" w:type="auto"/>
        <w:tblInd w:w="0" w:type="dxa"/>
        <w:tblLayout w:type="fixed"/>
        <w:tblCellMar>
          <w:top w:w="15" w:type="dxa"/>
          <w:left w:w="15" w:type="dxa"/>
          <w:bottom w:w="15" w:type="dxa"/>
          <w:right w:w="15" w:type="dxa"/>
        </w:tblCellMar>
      </w:tblPr>
      <w:tblGrid>
        <w:gridCol w:w="352"/>
        <w:gridCol w:w="930"/>
        <w:gridCol w:w="1800"/>
        <w:gridCol w:w="1080"/>
        <w:gridCol w:w="975"/>
        <w:gridCol w:w="735"/>
        <w:gridCol w:w="1035"/>
        <w:gridCol w:w="1489"/>
      </w:tblGrid>
      <w:tr>
        <w:tblPrEx>
          <w:tblCellMar>
            <w:top w:w="15" w:type="dxa"/>
            <w:left w:w="15" w:type="dxa"/>
            <w:bottom w:w="15" w:type="dxa"/>
            <w:right w:w="15" w:type="dxa"/>
          </w:tblCellMar>
        </w:tblPrEx>
        <w:trPr>
          <w:trHeight w:val="280" w:hRule="atLeast"/>
        </w:trPr>
        <w:tc>
          <w:tcPr>
            <w:tcW w:w="352" w:type="dxa"/>
            <w:tcBorders>
              <w:top w:val="single" w:color="D3D3D3" w:sz="6" w:space="0"/>
              <w:left w:val="single" w:color="D3D3D3" w:sz="6" w:space="0"/>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N°</w:t>
            </w:r>
          </w:p>
        </w:tc>
        <w:tc>
          <w:tcPr>
            <w:tcW w:w="930"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Código</w:t>
            </w:r>
          </w:p>
        </w:tc>
        <w:tc>
          <w:tcPr>
            <w:tcW w:w="1800"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Descrição</w:t>
            </w:r>
          </w:p>
        </w:tc>
        <w:tc>
          <w:tcPr>
            <w:tcW w:w="1080"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Natureza de despesa</w:t>
            </w:r>
          </w:p>
        </w:tc>
        <w:tc>
          <w:tcPr>
            <w:tcW w:w="975"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Quantidade</w:t>
            </w:r>
          </w:p>
        </w:tc>
        <w:tc>
          <w:tcPr>
            <w:tcW w:w="735"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Unidade de medida</w:t>
            </w:r>
          </w:p>
        </w:tc>
        <w:tc>
          <w:tcPr>
            <w:tcW w:w="1035"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Valor de referência unitário</w:t>
            </w:r>
          </w:p>
        </w:tc>
        <w:tc>
          <w:tcPr>
            <w:tcW w:w="1489"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Valor estimado</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3086160</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TEICOPLANINA - CONCENTRACAO/DOSAGEM 400 MG,FORMA FARMACEUTICA PO LIOFILIZADO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R$ 39,1000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R$ 78.200,0000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3069680</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CIPROFLOXACINO - CONCENTRACAO/DOSAGEM 2 MG/ML,FORMA FARMACEUTICA SOLUCAO INJETAVEL,FORMA DE APRESENTACAO BOLSA OU FRASCO,VIA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1.500,00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200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R$ 26,3967</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R$ 39.595,0500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3069214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CEFTRIAXONA DISSODICA - CONCENTRACAO/DOSAGEM 1 G,FORMA FARMACEUTICA PO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11.000,00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R$ 3,8700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R$ 42.570,0000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4</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3069184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CEFTAZIDIMA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R$ 12,4233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R$ 12.423,3000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5</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3069079</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CEFALOTINA SODICA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3.500,00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R$ 3,8600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R$ 13.510,0000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6</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3065146</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ACICLOVIR - CONCENTRACAO/DOSAGEM 250 MG,FORMA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750,00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R$ 6,1633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R$ 4.622,4750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7</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3065995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AMICACINA, SULFATO - CONCENTRACAO/DOSAGEM 250 MG/ML,FORMA FARMACEUTICA SOLUCAO INJETAVEL,FORMA DE APRESENTACAO 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 2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R$ 8,5163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R$ 1.703,2600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8</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3097633</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AMOXICILINA + CLAVULANATO DE POTASSIO - CONCENTRACAO/DOSAGEM 1 G + 200 MG RESPECTIVAMENTE,FORMA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650,00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R$ 15,1800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R$ 9.867,0000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9</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3067394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AMPICILINA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R$ 3,5867</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R$ 896,6750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3088316</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AMPICILINA SODICA + SULBACTAM SODICO - CONCENTRACAO/DOSAGEM 2 G + 1 G RESPECTIVAMENTE,FORMA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500,00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R$ 12,3900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R$ 6.195,0000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11</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3099059</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ANFOTERICINA B - CONCENTRACAO/DOSAGEM 50 MG,FORMA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R$ 31,9641</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R$ 3.196,4100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12</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3068145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AZITROMICINA - CONCENTRACAO/DOSAGEM 500 MG,FORMA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R$ 16,0300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R$ 5.610,5000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13</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3081923</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BENZILPENICILINA BENZATINA - CONCENTRACAO/DOSAGEM 1.200.000 UI,FORMA FARMACEUTICA PO PARA SUSPENSAO INJETAVEL,FORMA DE APRESENTACAO FRASCO-AMPOLA,VIA DE ADMINISTRACAO INTRAMUSCULAR</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1.200,00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R$ 6,8660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R$ 8.239,2000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14</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3085880</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BENZILPENICILINA POTASSICA - CONCENTRACAO/DOSAGEM 5.000.000 UI,FORMA FARMACEUTICA PO LIOFILIZADO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R$ 7,9700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R$ 1.992,5000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15</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3069095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CEFAZOLINA SODICA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1.600,00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R$ 3,6433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R$ 5.829,2800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16</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3069150</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CEFEPIMA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570,00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R$ 7,7600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R$ 4.423,2000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17</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3069176</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CEFEPIMA - CONCENTRACAO/DOSAGEM 2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R$ 12,4630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R$ 1.246,3000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18</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3069869</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CLINDAMICINA - CONCENTRACAO/DOSAGEM 150 MG/ML,FORMA FARMACEUTICA SOLUCAO INJETAVEL,FORMA DE APRESENTACAO 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1.500,00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 4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R$ 2,9963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R$ 4.494,4500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19</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3116816</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FLUCONAZOL - CONCENTRACAO/DOSAGEM 2 MG/ML,FORMA FARMACEUTICA SOLUCAO INJETAVEL,FORMA DE APRESENTACAO BOLSA OU FRASCO,VIA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100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R$ 8,9433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R$ 3.130,1550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3080994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GANCICLOVIR - CONCENTRACAO/DOSAGEM 500 MG,FORMA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R$ 27,8330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R$ 2.783,3000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21</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3168182</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GENTAMICINA, SULFATO - CONCENTRACAO/DOSAGEM 40 MG/ML,FORMA FARMACEUTICA SOLUCAO INJETAVEL,FORMA DE APRESENTACAO 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750,00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 2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R$ 1,7766</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R$ 1.332,4500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22</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3089045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IMIPENEM + CILASTATINA SODICA - CONCENTRACAO/DOSAGEM 500 MG + 500 MG RESPECTIVAMENTE,FORMA FARMACEUTICA PO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R$ 24,5733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R$ 2.457,3300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23</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3117057</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LEVOFLOXACINO - CONCENTRACAO/DOSAGEM 5 MG/ML,FORMA FARMACEUTICA SOLUCAO INJETAVEL,FORMA DE APRESENTACAO BOLSA OU FRASCO,VIA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100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R$ 12,4067</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R$ 3.722,0100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24</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3083993</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LINEZOLIDA - COCENTRACAO/DOSAGEM 2 MG/ML,FORMA FARMACEUTICA SOLUCAO INJETAVEL,FORMA DE APRESENTACAO BOLSA,VIA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300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R$ 14,0033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R$ 1.400,3300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25</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3084027</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METRONIDAZOL - CONCENTRACAO/DOSAGEM 5 MG/ML,FORMA FARMACEUTICA SOLUCAO INJETAVEL,FORMA DE APRESENTACAO BOLSA OU FRASCO,VIA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FS 100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R$ 5,1400</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R$ 10.280,0000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26</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3085414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MOXIFLOXACINO - CONCENTRACAO/DOSAGEM 1,6 MG/ML,FORMA FARMACEUTICA SOLUCAO INJETAVEL,FORMA DE APRESENTACAO BOLSA,VIA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200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R$ 28,6667</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R$ 2.866,6700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27</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3088731</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OXACILINA SODICA - CONCENTRACAO/DOSAGEM 500 MG,FORMA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1.200,00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R$ 3,0774</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R$ 3.692,8800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28</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3085775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POLIMIXINA B, SULFATO - CONCENTRACAO/DOSAGEM 500.000 UI,FORMA FARMACEUTICA PO LIOFILIZADO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R$ 16,5333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R$ 33.066,6000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29</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3079465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SULFAMETOXAZOL + TRIMETOPRIMA - CONCENTRACAO/DOSAGEM 80 MG/ML + 16 MG/ML RESPECTIVAMENTE,FORMA FARMACEUTICA SOLUCAO INJETAVEL,FORMA DE APRESENTACAO 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 5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R$ 4,2073</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R$ 420,7300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3086283</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VANCOMICINA, CLORIDRATO - CONCENTRACAO/DOSAGEM 500 MG,FORMA FARMACEUTICA PO LIOFILIZADO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5.300,00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R$ 4,0967</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R$ 21.712,5100</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VALOR TOTAL:</w:t>
            </w:r>
          </w:p>
        </w:tc>
        <w:tc>
          <w:tcPr>
            <w:tcW w:w="2524" w:type="dxa"/>
            <w:gridSpan w:val="2"/>
            <w:tcBorders>
              <w:top w:val="nil"/>
              <w:left w:val="nil"/>
              <w:bottom w:val="single" w:color="D3D3D3" w:sz="6" w:space="0"/>
              <w:right w:val="single" w:color="D3D3D3" w:sz="6" w:space="0"/>
            </w:tcBorders>
            <w:shd w:val="clear" w:color="auto" w:fill="auto"/>
            <w:tcMar>
              <w:top w:w="45" w:type="dxa"/>
              <w:left w:w="45" w:type="dxa"/>
              <w:bottom w:w="45" w:type="dxa"/>
              <w:right w:w="45" w:type="dxa"/>
            </w:tcMar>
          </w:tcPr>
          <w:p>
            <w:pPr>
              <w:pStyle w:val="14"/>
              <w:spacing w:before="0" w:beforeAutospacing="0" w:after="0"/>
              <w:jc w:val="right"/>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R$ 331.479,5650</w:t>
            </w:r>
          </w:p>
        </w:tc>
      </w:tr>
    </w:tbl>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2. DA JUSTIFICATIVA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2.1. DA JUSTIFICATIVA DA NECESSIDADE DA CONTRATAÇÃO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2.1.1.</w:t>
      </w:r>
      <w:r>
        <w:rPr>
          <w:rFonts w:asciiTheme="minorHAnsi" w:hAnsiTheme="minorHAnsi" w:eastAsiaTheme="minorEastAsia" w:cstheme="minorEastAsia"/>
          <w:color w:val="auto"/>
          <w:sz w:val="20"/>
          <w:szCs w:val="20"/>
        </w:rPr>
        <w:t> A presente contratação se dará em função da necessidade de aquisição de </w:t>
      </w:r>
      <w:r>
        <w:rPr>
          <w:rStyle w:val="4"/>
          <w:rFonts w:asciiTheme="minorHAnsi" w:hAnsiTheme="minorHAnsi" w:eastAsiaTheme="minorEastAsia" w:cstheme="minorEastAsia"/>
          <w:color w:val="auto"/>
          <w:sz w:val="20"/>
          <w:szCs w:val="20"/>
        </w:rPr>
        <w:t>MEDICAMENTOS ANTIMICROBIANOS INJETÁVEIS</w:t>
      </w:r>
      <w:r>
        <w:rPr>
          <w:rFonts w:asciiTheme="minorHAnsi" w:hAnsiTheme="minorHAnsi" w:eastAsiaTheme="minorEastAsia" w:cstheme="minorEastAsia"/>
          <w:color w:val="auto"/>
          <w:sz w:val="20"/>
          <w:szCs w:val="20"/>
        </w:rPr>
        <w:t>, a fim de atender a demanda existente dos pacientes do Centro Médico Hospitalar da PMPE/CBMPE – CMH, uma vez que trará como resultado ganhos na gestão, melhoria no gerenciamento, permanente abastecimento e redução nas compras emergenciais; Levará também a padronização da metodologia preços referenciais e a manutenção de um cadastro dos produtos, de acordo com as especificações e quantidades constantes neste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2.2. DA JUSTIFICATIVA DO QUANTITATIVO ESTIMADO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2.2.1.</w:t>
      </w:r>
      <w:r>
        <w:rPr>
          <w:rFonts w:asciiTheme="minorHAnsi" w:hAnsiTheme="minorHAnsi" w:eastAsiaTheme="minorEastAsia" w:cstheme="minorEastAsia"/>
          <w:color w:val="auto"/>
          <w:sz w:val="20"/>
          <w:szCs w:val="20"/>
        </w:rPr>
        <w:t> Os quantitativos previstos no presente Termo de Referência foram definidos através da SOLICITAÇÃO DE COMPRA Nº </w:t>
      </w:r>
      <w:r>
        <w:rPr>
          <w:rStyle w:val="4"/>
          <w:rFonts w:asciiTheme="minorHAnsi" w:hAnsiTheme="minorHAnsi" w:eastAsiaTheme="minorEastAsia" w:cstheme="minorEastAsia"/>
          <w:color w:val="auto"/>
          <w:sz w:val="20"/>
          <w:szCs w:val="20"/>
        </w:rPr>
        <w:t>3390701000012023000224 </w:t>
      </w:r>
      <w:r>
        <w:rPr>
          <w:rFonts w:asciiTheme="minorHAnsi" w:hAnsiTheme="minorHAnsi" w:eastAsiaTheme="minorEastAsia" w:cstheme="minorEastAsia"/>
          <w:color w:val="auto"/>
          <w:sz w:val="20"/>
          <w:szCs w:val="20"/>
        </w:rPr>
        <w:t>teve como base referencial a avaliação técnica a partir do histórico dos últimos consumos anuais junto com aos dados de movimentações de saídas e entradas dos itens em sistema informatizado de estoque apresentados pelo SISTEMA DE SAÚDE DOS MILITARES DO ESTADO DE PERNAMBUCO, o SISMEPE.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2.2.2.</w:t>
      </w:r>
      <w:r>
        <w:rPr>
          <w:rFonts w:asciiTheme="minorHAnsi" w:hAnsiTheme="minorHAnsi" w:eastAsiaTheme="minorEastAsia" w:cstheme="minorEastAsia"/>
          <w:color w:val="auto"/>
          <w:sz w:val="20"/>
          <w:szCs w:val="20"/>
        </w:rPr>
        <w:t> A análise das informações obtidas do SISMEPE pelas áreas técnicas médica e farmacêutica entendem que, o consumo mensal/anual varia de acordo com a demanda de pacientes atendidos por unidade de tempo, considera também a demanda reprimida durante os períodos anteriores analisados, a sazonalidade da assistência e a possibilidade de ampliação e/ou abertura de novos serviços. Dessa forma, para deﬁnição do quantitativo ﬁnal, uma margem de segurança é acrescida a ﬁm de garantir, para o período de 12 meses, o estoque adequado a prestação do serviço de saúde do Centro Médico Hospitalar da PMPE/CBMPE – CMH, conforme está demostrado em planilha específica anexada ao processo SEI de nº </w:t>
      </w:r>
      <w:r>
        <w:fldChar w:fldCharType="begin"/>
      </w:r>
      <w:r>
        <w:instrText xml:space="preserve"> HYPERLINK "https://sei.pe.gov.br/sei/controlador.php?acao=protocolo_visualizar&amp;id_protocolo=56278594&amp;id_procedimento_atual=49510292&amp;infra_sistema=100000100&amp;infra_unidade_atual=110018563&amp;infra_hash=717f28aea2106c0c67ba02faff432078c9300ed4d7f283ae738be9b8cccae8e39f5c3513fdc8b781a850481194daa287878ac20664e7a7d263e7401c627a3fa0fb15a7ad68c909813d48daffeceec51e88c812999897fd4cd7840e93101d7756" \t "https://sei.pe.gov.br/sei/_blank" </w:instrText>
      </w:r>
      <w:r>
        <w:fldChar w:fldCharType="separate"/>
      </w:r>
      <w:r>
        <w:rPr>
          <w:rStyle w:val="7"/>
          <w:rFonts w:asciiTheme="minorHAnsi" w:hAnsiTheme="minorHAnsi" w:eastAsiaTheme="minorEastAsia" w:cstheme="minorEastAsia"/>
          <w:color w:val="auto"/>
          <w:sz w:val="20"/>
          <w:szCs w:val="20"/>
        </w:rPr>
        <w:t>48642202</w:t>
      </w:r>
      <w:r>
        <w:rPr>
          <w:rStyle w:val="7"/>
          <w:rFonts w:asciiTheme="minorHAnsi" w:hAnsiTheme="minorHAnsi" w:eastAsiaTheme="minorEastAsia" w:cstheme="minorEastAsia"/>
          <w:color w:val="auto"/>
          <w:sz w:val="20"/>
          <w:szCs w:val="20"/>
        </w:rPr>
        <w:fldChar w:fldCharType="end"/>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2.3 JUSTIFICATIVADA ESCOLHA DA SOLUÇÃO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2.3.1.</w:t>
      </w:r>
      <w:r>
        <w:rPr>
          <w:rFonts w:asciiTheme="minorHAnsi" w:hAnsiTheme="minorHAnsi" w:eastAsiaTheme="minorEastAsia" w:cstheme="minorEastAsia"/>
          <w:color w:val="auto"/>
          <w:sz w:val="20"/>
          <w:szCs w:val="20"/>
        </w:rPr>
        <w:t> Visando atender à necessidade pública do órgão demandante já exposta no item acima, uma vez que se mostra como essencial para o desenvolvimento de suas atividades, a Administração Pública optou por contratar o fornecimento do objeto em tela, uma vez que não existe a opção de locação já que os itens são de uso único/descartáveis.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2.4 DA JUSTIFICATIVA PARA O PARCELAMENTO OU NÃO DA CONTRATAÇÃO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2.4.1.</w:t>
      </w:r>
      <w:r>
        <w:rPr>
          <w:rFonts w:asciiTheme="minorHAnsi" w:hAnsiTheme="minorHAnsi" w:eastAsiaTheme="minorEastAsia" w:cstheme="minorEastAsia"/>
          <w:color w:val="auto"/>
          <w:sz w:val="20"/>
          <w:szCs w:val="20"/>
        </w:rPr>
        <w:t> 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14.133/2021).</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2.4.2.</w:t>
      </w:r>
      <w:r>
        <w:rPr>
          <w:rFonts w:asciiTheme="minorHAnsi" w:hAnsiTheme="minorHAnsi" w:eastAsiaTheme="minorEastAsia" w:cstheme="minorEastAsia"/>
          <w:color w:val="auto"/>
          <w:sz w:val="20"/>
          <w:szCs w:val="20"/>
        </w:rPr>
        <w:t> Na presente contratação, resta demonstrado que o parcelamento por item(ns) buscou permitir a participação de maior número de interessados, fomentando, assim, o princípio da ampla concorrência.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2.4.3.</w:t>
      </w:r>
      <w:r>
        <w:rPr>
          <w:rFonts w:asciiTheme="minorHAnsi" w:hAnsiTheme="minorHAnsi" w:eastAsiaTheme="minorEastAsia" w:cstheme="minorEastAsia"/>
          <w:color w:val="auto"/>
          <w:sz w:val="20"/>
          <w:szCs w:val="20"/>
        </w:rPr>
        <w:t> As razões técnicas e econômicas para a preservação do objeto parcelado por itens foram:</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 </w:t>
      </w:r>
      <w:r>
        <w:rPr>
          <w:rFonts w:asciiTheme="minorHAnsi" w:hAnsiTheme="minorHAnsi" w:eastAsiaTheme="minorEastAsia" w:cstheme="minorEastAsia"/>
          <w:color w:val="auto"/>
          <w:sz w:val="20"/>
          <w:szCs w:val="20"/>
        </w:rPr>
        <w:t>- Na licitação por itens, o objeto é dividido em partes especíﬁcas, nas quais cada item corresponde um bem e o representa de forma autônoma;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b </w:t>
      </w:r>
      <w:r>
        <w:rPr>
          <w:rFonts w:asciiTheme="minorHAnsi" w:hAnsiTheme="minorHAnsi" w:eastAsiaTheme="minorEastAsia" w:cstheme="minorEastAsia"/>
          <w:color w:val="auto"/>
          <w:sz w:val="20"/>
          <w:szCs w:val="20"/>
        </w:rPr>
        <w:t>- A licitação por Item, contendo materiais variados, permite que um número maior de interessado participe da disputa, o que em sua decorrência aumenta a competitividade, viabiliza a obtenção de melhores propostas sem perda da economia de escala e possibilita a participação de vários fornecedores;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c </w:t>
      </w:r>
      <w:r>
        <w:rPr>
          <w:rFonts w:asciiTheme="minorHAnsi" w:hAnsiTheme="minorHAnsi" w:eastAsiaTheme="minorEastAsia" w:cstheme="minorEastAsia"/>
          <w:color w:val="auto"/>
          <w:sz w:val="20"/>
          <w:szCs w:val="20"/>
        </w:rPr>
        <w:t>- A opção de não realizar o agrupamento em lotes levou em consideração o fato de que na licitação por item há a concentração de diferentes objetos num único procedimento licitatório; realizando, dessa forma, “diversas licitações” em um só processo;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 </w:t>
      </w:r>
      <w:r>
        <w:rPr>
          <w:rFonts w:asciiTheme="minorHAnsi" w:hAnsiTheme="minorHAnsi" w:eastAsiaTheme="minorEastAsia" w:cstheme="minorEastAsia"/>
          <w:color w:val="auto"/>
          <w:sz w:val="20"/>
          <w:szCs w:val="20"/>
        </w:rPr>
        <w:t>Na licitação por item, com vários objetos e cada um com suas características próprias, ocorreu julgamento individual e autônomo. Cada item do procedimento licitatório é julgado como se fosse uma licitação em separado, de forma independente; dessa forma; ﬁca assegurada a economia processual da Administração, uma vez que há uma concentração de diversas contratações em um único processo licitatório.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2.4.4.</w:t>
      </w:r>
      <w:r>
        <w:rPr>
          <w:rFonts w:asciiTheme="minorHAnsi" w:hAnsiTheme="minorHAnsi" w:eastAsiaTheme="minorEastAsia" w:cstheme="minorEastAsia"/>
          <w:color w:val="auto"/>
          <w:sz w:val="20"/>
          <w:szCs w:val="20"/>
        </w:rPr>
        <w:t> Conclui-se, portanto, que o modelo deﬁnido para esta contratação é o mais adequado tanto técnica quanto economicamente, sem restringir ou prejudicar a competitividade do certame e, consequentemente, o mais adequado para promover a maior vantajosidade para o Estado.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2.5. DA PREVISÃO DA VEDAÇÃO DE EMPRESAS SOB A FORMA DE CONSÓRCIO.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2.5.1.</w:t>
      </w:r>
      <w:r>
        <w:rPr>
          <w:rFonts w:asciiTheme="minorHAnsi" w:hAnsiTheme="minorHAnsi" w:eastAsiaTheme="minorEastAsia" w:cstheme="minorEastAsia"/>
          <w:color w:val="auto"/>
          <w:sz w:val="20"/>
          <w:szCs w:val="20"/>
        </w:rPr>
        <w:t> De acordo com o art. 15 da Lei nº 14.133/2021, a participação de empresas reunidas em consórcio poderá ser vedada, segundo discricionariedade da Administração, com base em justificativa técnica que leve em consideração as peculiaridades do caso concreto.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2.5.2</w:t>
      </w:r>
      <w:r>
        <w:rPr>
          <w:rFonts w:asciiTheme="minorHAnsi" w:hAnsiTheme="minorHAnsi" w:eastAsiaTheme="minorEastAsia" w:cstheme="minorEastAsia"/>
          <w:color w:val="auto"/>
          <w:sz w:val="20"/>
          <w:szCs w:val="20"/>
        </w:rPr>
        <w:t>. Assim, não poderá participar desta licitação consórcio de empresa, qualquer que seja sua forma de constituição, visto que não se faz necessária a conjugação de esforços para a prestação do(s) presente(s) fornecimento(s).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2.5.3.</w:t>
      </w:r>
      <w:r>
        <w:rPr>
          <w:rFonts w:asciiTheme="minorHAnsi" w:hAnsiTheme="minorHAnsi" w:eastAsiaTheme="minorEastAsia" w:cstheme="minorEastAsia"/>
          <w:color w:val="auto"/>
          <w:sz w:val="20"/>
          <w:szCs w:val="20"/>
        </w:rPr>
        <w:t> Além disso, no caso vertente, não se faz presente a premissa da complexidade do objeto. Em regra, o fornecimento de</w:t>
      </w:r>
      <w:r>
        <w:rPr>
          <w:rStyle w:val="4"/>
          <w:rFonts w:asciiTheme="minorHAnsi" w:hAnsiTheme="minorHAnsi" w:eastAsiaTheme="minorEastAsia" w:cstheme="minorEastAsia"/>
          <w:color w:val="auto"/>
          <w:sz w:val="20"/>
          <w:szCs w:val="20"/>
        </w:rPr>
        <w:t> MEDICAMENTOS ANTIMICROBIANOS INJETÁVEIS</w:t>
      </w:r>
      <w:r>
        <w:rPr>
          <w:rFonts w:asciiTheme="minorHAnsi" w:hAnsiTheme="minorHAnsi" w:eastAsiaTheme="minorEastAsia" w:cstheme="minorEastAsia"/>
          <w:b/>
          <w:bCs/>
          <w:color w:val="auto"/>
          <w:sz w:val="20"/>
          <w:szCs w:val="20"/>
        </w:rPr>
        <w:t> </w:t>
      </w:r>
      <w:r>
        <w:rPr>
          <w:rFonts w:asciiTheme="minorHAnsi" w:hAnsiTheme="minorHAnsi" w:eastAsiaTheme="minorEastAsia" w:cstheme="minorEastAsia"/>
          <w:color w:val="auto"/>
          <w:sz w:val="20"/>
          <w:szCs w:val="20"/>
        </w:rPr>
        <w:t>não requer a conjugação de esforços de empresas para viabilizar a participação no certame. Ademais, sendo a licitação por itens, as licitantes poderão, se assim for de seu interesse, apresentar proposta para os itens, buscando, dessa forma, ampliar ao máximo a disputa e a competitividade do certame.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2.5.4.</w:t>
      </w:r>
      <w:r>
        <w:rPr>
          <w:rFonts w:asciiTheme="minorHAnsi" w:hAnsiTheme="minorHAnsi" w:eastAsiaTheme="minorEastAsia" w:cstheme="minorEastAsia"/>
          <w:color w:val="auto"/>
          <w:sz w:val="20"/>
          <w:szCs w:val="20"/>
        </w:rPr>
        <w:t> Por todo o exposto, conclui-se que a vedação da participação de empresas sob a forma de consórcio é a medida que melhor atende o interesse público, por prestigiar os princípios da competitividade, economicidade e moralidade.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2.6. DA VEDAÇÃO DE PROFISSIONAIS ORGANIZADOS EM COOPERATIVA NA LICITAÇÃO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2.6.1</w:t>
      </w:r>
      <w:r>
        <w:rPr>
          <w:rFonts w:asciiTheme="minorHAnsi" w:hAnsiTheme="minorHAnsi" w:eastAsiaTheme="minorEastAsia" w:cstheme="minorEastAsia"/>
          <w:color w:val="auto"/>
          <w:sz w:val="20"/>
          <w:szCs w:val="20"/>
        </w:rPr>
        <w:t>. É vedada a participação de profissionais organizados em cooperativas na presente licitação, uma vez que condições técnicas e físicas necessárias ao fornecimento do objeto pretendido será avaliada objetivamente por meio de certidões técnicas e licenças que não são compatívies com a capacidade jurídica desses.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2.7. DA VEDAÇÃO DE PESSOAS FÍSICAS NA LICITAÇÃO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2.7.1.</w:t>
      </w:r>
      <w:r>
        <w:rPr>
          <w:rFonts w:asciiTheme="minorHAnsi" w:hAnsiTheme="minorHAnsi" w:eastAsiaTheme="minorEastAsia" w:cstheme="minorEastAsia"/>
          <w:color w:val="auto"/>
          <w:sz w:val="20"/>
          <w:szCs w:val="20"/>
        </w:rPr>
        <w:t> É vedada a participação de pessoa física na presente licitação, uma vez que se faz necessária a estrutura mínima com condições técnicas e físicas necessárias ao fornecimento do objeto pretendido, os quais serão avaliados objetivamente por meio de certidões técnicas e licenças que não são compatívies com a capacidade jurídica desse.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2.8. DA VEDAÇÃO DE AGRICULTOR FAMILIAR / PRODUTOR RURAL NA LICITAÇÃO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2.8.1.</w:t>
      </w:r>
      <w:r>
        <w:rPr>
          <w:rFonts w:asciiTheme="minorHAnsi" w:hAnsiTheme="minorHAnsi" w:eastAsiaTheme="minorEastAsia" w:cstheme="minorEastAsia"/>
          <w:color w:val="auto"/>
          <w:sz w:val="20"/>
          <w:szCs w:val="20"/>
        </w:rPr>
        <w:t> É vedada a participação de agricultor familiar/produtor rural na presente licitação, considerando a natureza do objeto e uma vez que as condições técnicas e físicas necessárias ao fornecimento será avaliada objetivamente por meio de certidões técnicas e licenças, que não são compatíveis com a capacidade jurídica desses.</w:t>
      </w:r>
    </w:p>
    <w:p>
      <w:pPr>
        <w:pStyle w:val="14"/>
        <w:spacing w:before="0" w:beforeAutospacing="0" w:after="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 DAS ESPECIFICAÇÕES DO OBJETO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3.1. DESCRIÇÃO DO FORNECIMENTO/ DETALHAMENTO DO OBJETO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3.1.1.</w:t>
      </w:r>
      <w:r>
        <w:rPr>
          <w:rFonts w:asciiTheme="minorHAnsi" w:hAnsiTheme="minorHAnsi" w:eastAsiaTheme="minorEastAsia" w:cstheme="minorEastAsia"/>
          <w:color w:val="auto"/>
          <w:sz w:val="20"/>
          <w:szCs w:val="20"/>
        </w:rPr>
        <w:t> Além da descrição apresentada na tabela do item 1 deste termo de referência, para a aquisição do objeto deve-se observar as seguintes características: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a)</w:t>
      </w:r>
      <w:r>
        <w:rPr>
          <w:rFonts w:asciiTheme="minorHAnsi" w:hAnsiTheme="minorHAnsi" w:eastAsiaTheme="minorEastAsia" w:cstheme="minorEastAsia"/>
          <w:color w:val="auto"/>
          <w:sz w:val="20"/>
          <w:szCs w:val="20"/>
        </w:rPr>
        <w:t> Os medicamentos deverão ser entregues em embalagem própria do fabricante, acondicionadas de forma a permitir o manuseio e estocagem, sem comprometer a qualidade e durabilidade dos produtos;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b) </w:t>
      </w:r>
      <w:r>
        <w:rPr>
          <w:rFonts w:asciiTheme="minorHAnsi" w:hAnsiTheme="minorHAnsi" w:eastAsiaTheme="minorEastAsia" w:cstheme="minorEastAsia"/>
          <w:color w:val="auto"/>
          <w:sz w:val="20"/>
          <w:szCs w:val="20"/>
        </w:rPr>
        <w:t>Medicamentos termolábeis devem ser entregues bem acondicionas e a temperatura no ato do recebimento deve estar dentro da faixa estabelecida pelo fabricante.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c)</w:t>
      </w:r>
      <w:r>
        <w:rPr>
          <w:rFonts w:asciiTheme="minorHAnsi" w:hAnsiTheme="minorHAnsi" w:eastAsiaTheme="minorEastAsia" w:cstheme="minorEastAsia"/>
          <w:color w:val="auto"/>
          <w:sz w:val="20"/>
          <w:szCs w:val="20"/>
        </w:rPr>
        <w:t> Serão aceitas propostas de medicamentos genéricos e referência, os medicamentos similares serão aceitos desde que apresentem estudos clínicos para comprovação da biodisponibilidade e equivalência terapêutica desses medicamentos, acompanhado da proposta comercial;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d) </w:t>
      </w:r>
      <w:r>
        <w:rPr>
          <w:rFonts w:asciiTheme="minorHAnsi" w:hAnsiTheme="minorHAnsi" w:eastAsiaTheme="minorEastAsia" w:cstheme="minorEastAsia"/>
          <w:color w:val="auto"/>
          <w:sz w:val="20"/>
          <w:szCs w:val="20"/>
        </w:rPr>
        <w:t>Cada fornecimento deverá ser efetuado de forma integral, mediante ordem escrita da unidade requisitante do ANUENTE, a qual conterá: data, valor unitário do produto, quantidade pretendida, local para entrega, carimbo e assinatura do responsável;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w:t>
      </w:r>
      <w:r>
        <w:rPr>
          <w:rFonts w:asciiTheme="minorHAnsi" w:hAnsiTheme="minorHAnsi" w:eastAsiaTheme="minorEastAsia" w:cstheme="minorEastAsia"/>
          <w:color w:val="auto"/>
          <w:sz w:val="20"/>
          <w:szCs w:val="20"/>
        </w:rPr>
        <w:t> Os medicamentos deverão estar conforme legislação da ANVISA/Ministério da Saúde e quando do recebimento pelo setor competente, deverão constar na nota fiscal e apresentar:</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Número do empenho descriminado no rodapé da nota fiscal.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f)</w:t>
      </w:r>
      <w:r>
        <w:rPr>
          <w:rFonts w:asciiTheme="minorHAnsi" w:hAnsiTheme="minorHAnsi" w:eastAsiaTheme="minorEastAsia" w:cstheme="minorEastAsia"/>
          <w:color w:val="auto"/>
          <w:sz w:val="20"/>
          <w:szCs w:val="20"/>
        </w:rPr>
        <w:t> Nas aquisições de medicamentos a que se refere O PRESENTE Termo de Referência, o medicamento genérico, quando houver, terá preferência sobre os demais em condições de igualdade de preço.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g)</w:t>
      </w:r>
      <w:r>
        <w:rPr>
          <w:rFonts w:asciiTheme="minorHAnsi" w:hAnsiTheme="minorHAnsi" w:eastAsiaTheme="minorEastAsia" w:cstheme="minorEastAsia"/>
          <w:color w:val="auto"/>
          <w:sz w:val="20"/>
          <w:szCs w:val="20"/>
        </w:rPr>
        <w:t> A proposta da Licitante Vencedora deverá conter a especificação do objeto por ela proposto, que deverá atender fielmente ao solicitado neste Termo de Referência, devendo ser registrado a marca ou o fabricante do(s) produto(s) ofertado(s).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h)</w:t>
      </w:r>
      <w:r>
        <w:rPr>
          <w:rFonts w:asciiTheme="minorHAnsi" w:hAnsiTheme="minorHAnsi" w:eastAsiaTheme="minorEastAsia" w:cstheme="minorEastAsia"/>
          <w:color w:val="auto"/>
          <w:sz w:val="20"/>
          <w:szCs w:val="20"/>
        </w:rPr>
        <w:t> É obrigatório o envio das bulas dos medicamentos junto com a proposta, pela Licitante Vencedora.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i) </w:t>
      </w:r>
      <w:r>
        <w:rPr>
          <w:rFonts w:asciiTheme="minorHAnsi" w:hAnsiTheme="minorHAnsi" w:eastAsiaTheme="minorEastAsia" w:cstheme="minorEastAsia"/>
          <w:color w:val="auto"/>
          <w:sz w:val="20"/>
          <w:szCs w:val="20"/>
        </w:rPr>
        <w:t>De acordo com o art. 3º, § 1º, da Lei nº 11.903/2009, as embalagens de todos os medicamentos registrados receberão identificação específica baseada em sistema de captura, armazenamento e transmissão eletrônica de dados, contendo minimamente as seguintes informações: número de registro do medicamento na Anvisa, número de série único do medicamento, número do lote ou da partida do medicamento e data de validade do medicamento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3.1.2. </w:t>
      </w:r>
      <w:r>
        <w:rPr>
          <w:rFonts w:asciiTheme="minorHAnsi" w:hAnsiTheme="minorHAnsi" w:eastAsiaTheme="minorEastAsia" w:cstheme="minorEastAsia"/>
          <w:color w:val="auto"/>
          <w:sz w:val="20"/>
          <w:szCs w:val="20"/>
        </w:rPr>
        <w:t>O licitante deve levar em consideração as normas técnicas eventualmente existentes sobre o objeto e demais requisitos mínimos de qualidade, utilidade, resistência e segurança, conforme legislação vigente.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 Os medicamentos deverão ser entregues em embalagens adequadas contendo de forma visível os seguintes dizeres: “PROIBIDA A VENDA PELO COMÉRCIO” (vide art. 7º da Portaria nº. 2.814/1998 do Ministério da Saúde). Esta informação deverá constar da embalagem de forma que não possa ser removida sem danificá-la. Em caso de latas ou frascos, deve estar no corpo da embalagem e não na tampa.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3.2. DA EXECUÇÃO DO OBJETO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3.2.1.</w:t>
      </w:r>
      <w:r>
        <w:rPr>
          <w:rFonts w:asciiTheme="minorHAnsi" w:hAnsiTheme="minorHAnsi" w:eastAsiaTheme="minorEastAsia" w:cstheme="minorEastAsia"/>
          <w:color w:val="auto"/>
          <w:sz w:val="20"/>
          <w:szCs w:val="20"/>
        </w:rPr>
        <w:t> A entregado(s) bem(ns) será realizada de </w:t>
      </w:r>
      <w:r>
        <w:rPr>
          <w:rFonts w:asciiTheme="minorHAnsi" w:hAnsiTheme="minorHAnsi" w:eastAsiaTheme="minorEastAsia" w:cstheme="minorEastAsia"/>
          <w:b/>
          <w:bCs/>
          <w:color w:val="auto"/>
          <w:sz w:val="20"/>
          <w:szCs w:val="20"/>
        </w:rPr>
        <w:t>forma imediata e integral</w:t>
      </w:r>
      <w:r>
        <w:rPr>
          <w:rFonts w:asciiTheme="minorHAnsi" w:hAnsiTheme="minorHAnsi" w:eastAsiaTheme="minorEastAsia" w:cstheme="minorEastAsia"/>
          <w:color w:val="auto"/>
          <w:sz w:val="20"/>
          <w:szCs w:val="20"/>
        </w:rPr>
        <w:t>, em remessa única, no prazo de até 15 (quinze) dias corridos, contados da notificação da emissão da Ordem de Fornecimento ou Nota de Empenho.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3.2.2.</w:t>
      </w:r>
      <w:r>
        <w:rPr>
          <w:rFonts w:asciiTheme="minorHAnsi" w:hAnsiTheme="minorHAnsi" w:eastAsiaTheme="minorEastAsia" w:cstheme="minorEastAsia"/>
          <w:color w:val="auto"/>
          <w:sz w:val="20"/>
          <w:szCs w:val="20"/>
        </w:rPr>
        <w:t> No caso de medicamentos com prazo de validade superior a 01 (um) ano, por ocasião da entrega, somente serão aceitos aqueles cujos prazos de validade a transcorrer seja igual ou superior a 80% (oitenta por cento) do prazo previsto, ou seja,que ainda não tenha decorrido 20% (vinte por cento) do prazo de validade.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3.2.3. </w:t>
      </w:r>
      <w:r>
        <w:rPr>
          <w:rFonts w:asciiTheme="minorHAnsi" w:hAnsiTheme="minorHAnsi" w:eastAsiaTheme="minorEastAsia" w:cstheme="minorEastAsia"/>
          <w:color w:val="auto"/>
          <w:sz w:val="20"/>
          <w:szCs w:val="20"/>
        </w:rPr>
        <w:t>No caso demedicamentos com prazo de validade inferior a 01 (um) ano, por ocasião da entrega, somente serão aceitos aqueles cujos prazos de validade a transcorrer seja igual ou superior a 90% (noventa por cento )do prazo previsto, ou seja,que ainda não tenha decorrido 10% (dez por cento)do prazo de validade.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3.2.4.</w:t>
      </w:r>
      <w:r>
        <w:rPr>
          <w:rFonts w:asciiTheme="minorHAnsi" w:hAnsiTheme="minorHAnsi" w:eastAsiaTheme="minorEastAsia" w:cstheme="minorEastAsia"/>
          <w:color w:val="auto"/>
          <w:sz w:val="20"/>
          <w:szCs w:val="20"/>
        </w:rPr>
        <w:t> É de responsabilidade das indústrias Farmacêuticas e das empresas de distribuição, a substituição dos medicamentos e produtos cujos prazos de validade expirem em poder das farmácias, drogarias e postos de medicamentos no Estado de Pernambuco, nos termos da </w:t>
      </w:r>
      <w:r>
        <w:rPr>
          <w:rFonts w:asciiTheme="minorHAnsi" w:hAnsiTheme="minorHAnsi" w:eastAsiaTheme="minorEastAsia" w:cstheme="minorEastAsia"/>
          <w:b/>
          <w:bCs/>
          <w:color w:val="auto"/>
          <w:sz w:val="20"/>
          <w:szCs w:val="20"/>
        </w:rPr>
        <w:t>Lei Estadual nº 13.065</w:t>
      </w:r>
      <w:r>
        <w:rPr>
          <w:rFonts w:asciiTheme="minorHAnsi" w:hAnsiTheme="minorHAnsi" w:eastAsiaTheme="minorEastAsia" w:cstheme="minorEastAsia"/>
          <w:color w:val="auto"/>
          <w:sz w:val="20"/>
          <w:szCs w:val="20"/>
        </w:rPr>
        <w:t>, de 05 de julho de 2006;</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3.2.5.</w:t>
      </w:r>
      <w:r>
        <w:rPr>
          <w:rFonts w:asciiTheme="minorHAnsi" w:hAnsiTheme="minorHAnsi" w:eastAsiaTheme="minorEastAsia" w:cstheme="minorEastAsia"/>
          <w:color w:val="auto"/>
          <w:sz w:val="20"/>
          <w:szCs w:val="20"/>
        </w:rPr>
        <w:t> A Carta de Comprometimento de Troca deverá acompanhar a nota fiscal no ato da entrega;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3.2.6.</w:t>
      </w:r>
      <w:r>
        <w:rPr>
          <w:rFonts w:asciiTheme="minorHAnsi" w:hAnsiTheme="minorHAnsi" w:eastAsiaTheme="minorEastAsia" w:cstheme="minorEastAsia"/>
          <w:color w:val="auto"/>
          <w:sz w:val="20"/>
          <w:szCs w:val="20"/>
        </w:rPr>
        <w:t> A solicitação de troca e coleta do quantitativo não utilizado será realizada pelo Contratante em até 20 (trinta) dias antes do vencimento do produto;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3.2.7.</w:t>
      </w:r>
      <w:r>
        <w:rPr>
          <w:rFonts w:asciiTheme="minorHAnsi" w:hAnsiTheme="minorHAnsi" w:eastAsiaTheme="minorEastAsia" w:cstheme="minorEastAsia"/>
          <w:color w:val="auto"/>
          <w:sz w:val="20"/>
          <w:szCs w:val="20"/>
        </w:rPr>
        <w:t> Caso o Contratante não faça a solicitação descrita no item 3.2.6 , dentro do prazo devido, deverá assumir as responsabilidades pelo seu não recolhimento;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3.2.8.</w:t>
      </w:r>
      <w:r>
        <w:rPr>
          <w:rFonts w:asciiTheme="minorHAnsi" w:hAnsiTheme="minorHAnsi" w:eastAsiaTheme="minorEastAsia" w:cstheme="minorEastAsia"/>
          <w:color w:val="auto"/>
          <w:sz w:val="20"/>
          <w:szCs w:val="20"/>
        </w:rPr>
        <w:t> A troca deverá ser realizada em até 15 (quinze) dias após a solicitação do Contratante;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3.2.9.</w:t>
      </w:r>
      <w:r>
        <w:rPr>
          <w:rFonts w:asciiTheme="minorHAnsi" w:hAnsiTheme="minorHAnsi" w:eastAsiaTheme="minorEastAsia" w:cstheme="minorEastAsia"/>
          <w:color w:val="auto"/>
          <w:sz w:val="20"/>
          <w:szCs w:val="20"/>
        </w:rPr>
        <w:t> No ato da entrega dos insumos garantidos pela Carta de Comprometimento de Troca, a nota fiscal apresentada deve informar que o produto é referente a uma reposição por troca, especificando a nota fiscal e empenho de origem. Caso o insumo referente à troca possuir prazo de validade inferior aos especificados nos itens 3.2.2 e 3.2.3, é necessário o envio de nova Carta de Comprometimento de Troca;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3.2.10.</w:t>
      </w:r>
      <w:r>
        <w:rPr>
          <w:rFonts w:asciiTheme="minorHAnsi" w:hAnsiTheme="minorHAnsi" w:eastAsiaTheme="minorEastAsia" w:cstheme="minorEastAsia"/>
          <w:b/>
          <w:bCs/>
          <w:color w:val="auto"/>
          <w:sz w:val="20"/>
          <w:szCs w:val="20"/>
        </w:rPr>
        <w:t> </w:t>
      </w:r>
      <w:r>
        <w:rPr>
          <w:rFonts w:asciiTheme="minorHAnsi" w:hAnsiTheme="minorHAnsi" w:eastAsiaTheme="minorEastAsia" w:cstheme="minorEastAsia"/>
          <w:color w:val="auto"/>
          <w:sz w:val="20"/>
          <w:szCs w:val="20"/>
        </w:rPr>
        <w:t>O(s) medicamento(s) será (ão) entregues no </w:t>
      </w:r>
      <w:r>
        <w:rPr>
          <w:rStyle w:val="4"/>
          <w:rFonts w:asciiTheme="minorHAnsi" w:hAnsiTheme="minorHAnsi" w:eastAsiaTheme="minorEastAsia" w:cstheme="minorEastAsia"/>
          <w:color w:val="auto"/>
          <w:sz w:val="20"/>
          <w:szCs w:val="20"/>
        </w:rPr>
        <w:t>Centro de Abastecimento Farmacêutico de Medicamentos </w:t>
      </w:r>
      <w:r>
        <w:rPr>
          <w:rFonts w:asciiTheme="minorHAnsi" w:hAnsiTheme="minorHAnsi" w:eastAsiaTheme="minorEastAsia" w:cstheme="minorEastAsia"/>
          <w:color w:val="auto"/>
          <w:sz w:val="20"/>
          <w:szCs w:val="20"/>
        </w:rPr>
        <w:t>- </w:t>
      </w:r>
      <w:r>
        <w:rPr>
          <w:rStyle w:val="4"/>
          <w:rFonts w:asciiTheme="minorHAnsi" w:hAnsiTheme="minorHAnsi" w:eastAsiaTheme="minorEastAsia" w:cstheme="minorEastAsia"/>
          <w:color w:val="auto"/>
          <w:sz w:val="20"/>
          <w:szCs w:val="20"/>
        </w:rPr>
        <w:t>CAF- MED do Setor de Farmácia </w:t>
      </w:r>
      <w:r>
        <w:rPr>
          <w:rFonts w:asciiTheme="minorHAnsi" w:hAnsiTheme="minorHAnsi" w:eastAsiaTheme="minorEastAsia" w:cstheme="minorEastAsia"/>
          <w:color w:val="auto"/>
          <w:sz w:val="20"/>
          <w:szCs w:val="20"/>
        </w:rPr>
        <w:t>-</w:t>
      </w:r>
      <w:r>
        <w:rPr>
          <w:rStyle w:val="4"/>
          <w:rFonts w:asciiTheme="minorHAnsi" w:hAnsiTheme="minorHAnsi" w:eastAsiaTheme="minorEastAsia" w:cstheme="minorEastAsia"/>
          <w:color w:val="auto"/>
          <w:sz w:val="20"/>
          <w:szCs w:val="20"/>
        </w:rPr>
        <w:t> SEFAR, DA DIRETORIA DE APOIO AO SISTEMA DE SAÚDE DA PMPE –</w:t>
      </w:r>
      <w:r>
        <w:rPr>
          <w:rStyle w:val="4"/>
          <w:rFonts w:asciiTheme="minorHAnsi" w:hAnsiTheme="minorHAnsi" w:eastAsiaTheme="minorEastAsia" w:cstheme="minorEastAsia"/>
          <w:i/>
          <w:iCs/>
          <w:color w:val="auto"/>
          <w:sz w:val="20"/>
          <w:szCs w:val="20"/>
        </w:rPr>
        <w:t>DASIS, </w:t>
      </w:r>
      <w:r>
        <w:rPr>
          <w:rStyle w:val="4"/>
          <w:rFonts w:asciiTheme="minorHAnsi" w:hAnsiTheme="minorHAnsi" w:eastAsiaTheme="minorEastAsia" w:cstheme="minorEastAsia"/>
          <w:color w:val="auto"/>
          <w:sz w:val="20"/>
          <w:szCs w:val="20"/>
        </w:rPr>
        <w:t>localizado na R. Betânia, S/N, térreo, Derby, Recife-PE. CEP: 52.010-170, no horário de 7h às 13h, em dias úteis, mediante prévio agendamento</w:t>
      </w:r>
      <w:r>
        <w:rPr>
          <w:rStyle w:val="4"/>
          <w:rFonts w:asciiTheme="minorHAnsi" w:hAnsiTheme="minorHAnsi" w:eastAsiaTheme="minorEastAsia" w:cstheme="minorEastAsia"/>
          <w:i/>
          <w:iCs/>
          <w:color w:val="auto"/>
          <w:sz w:val="20"/>
          <w:szCs w:val="20"/>
        </w:rPr>
        <w:t> </w:t>
      </w:r>
      <w:r>
        <w:rPr>
          <w:rStyle w:val="4"/>
          <w:rFonts w:asciiTheme="minorHAnsi" w:hAnsiTheme="minorHAnsi" w:eastAsiaTheme="minorEastAsia" w:cstheme="minorEastAsia"/>
          <w:color w:val="auto"/>
          <w:sz w:val="20"/>
          <w:szCs w:val="20"/>
        </w:rPr>
        <w:t>através do</w:t>
      </w:r>
      <w:r>
        <w:rPr>
          <w:rStyle w:val="4"/>
          <w:rFonts w:asciiTheme="minorHAnsi" w:hAnsiTheme="minorHAnsi" w:eastAsiaTheme="minorEastAsia" w:cstheme="minorEastAsia"/>
          <w:i/>
          <w:iCs/>
          <w:color w:val="auto"/>
          <w:sz w:val="20"/>
          <w:szCs w:val="20"/>
        </w:rPr>
        <w:t> </w:t>
      </w:r>
      <w:r>
        <w:rPr>
          <w:rStyle w:val="4"/>
          <w:rFonts w:asciiTheme="minorHAnsi" w:hAnsiTheme="minorHAnsi" w:eastAsiaTheme="minorEastAsia" w:cstheme="minorEastAsia"/>
          <w:color w:val="auto"/>
          <w:sz w:val="20"/>
          <w:szCs w:val="20"/>
        </w:rPr>
        <w:t>telefone (81) 3181-1489, onde os materiais serão conferidos e recebidos;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3.2.11.</w:t>
      </w:r>
      <w:r>
        <w:rPr>
          <w:rFonts w:asciiTheme="minorHAnsi" w:hAnsiTheme="minorHAnsi" w:eastAsiaTheme="minorEastAsia" w:cstheme="minorEastAsia"/>
          <w:color w:val="auto"/>
          <w:sz w:val="20"/>
          <w:szCs w:val="20"/>
        </w:rPr>
        <w:t> Para a entrega do objeto, é imprescindível anexar DANFE a Nota Fiscal Eletrônica e a cópia da nota de empenho. Para ser aceita pela Administração, a nota fiscal deve conter, minimamente, o número do lote do medicamento e o prazo de validade do produto. Ademais, deverá ser demonstrada expressamente na nota fiscal a dedução correspondente à isenção do ICMS do preço do medicamento, quando houver, elencado no Anexo Único do Convênio ICMS CONFAZ 87/2002 ou de outras normas que impliquem desoneração tributária.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3.2.12</w:t>
      </w:r>
      <w:r>
        <w:rPr>
          <w:rFonts w:asciiTheme="minorHAnsi" w:hAnsiTheme="minorHAnsi" w:eastAsiaTheme="minorEastAsia" w:cstheme="minorEastAsia"/>
          <w:color w:val="auto"/>
          <w:sz w:val="20"/>
          <w:szCs w:val="20"/>
        </w:rPr>
        <w:t>. O objeto será recebido: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 Provisoriamente, de forma sumária, mediante recibo, para efeito de posterior verificação da conformidade dos bens recebidos com as especificações exigidas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 Definitivamente, </w:t>
      </w:r>
      <w:bookmarkStart w:id="45" w:name="_Hlk97146573"/>
      <w:r>
        <w:rPr>
          <w:rFonts w:asciiTheme="minorHAnsi" w:hAnsiTheme="minorHAnsi" w:eastAsiaTheme="minorEastAsia" w:cstheme="minorEastAsia"/>
          <w:color w:val="auto"/>
          <w:sz w:val="20"/>
          <w:szCs w:val="20"/>
        </w:rPr>
        <w:t>após a verificação da compatibilidade dos bens com as especificações técnicas e exigências de qualidade e quantidade fixadas neste Termo de Referência e seus anexos, com a consequente aceitação, mediante termo circunstanciado, no prazo de 10 (dez) </w:t>
      </w:r>
      <w:bookmarkEnd w:id="45"/>
      <w:r>
        <w:rPr>
          <w:rFonts w:asciiTheme="minorHAnsi" w:hAnsiTheme="minorHAnsi" w:eastAsiaTheme="minorEastAsia" w:cstheme="minorEastAsia"/>
          <w:color w:val="auto"/>
          <w:sz w:val="20"/>
          <w:szCs w:val="20"/>
        </w:rPr>
        <w:t>dias corridos, a contar do recebimento da nota fiscal ou do instrumento de cobrança equivalente;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3.2.13.</w:t>
      </w:r>
      <w:r>
        <w:rPr>
          <w:rFonts w:asciiTheme="minorHAnsi" w:hAnsiTheme="minorHAnsi" w:eastAsiaTheme="minorEastAsia" w:cstheme="minorEastAsia"/>
          <w:color w:val="auto"/>
          <w:sz w:val="20"/>
          <w:szCs w:val="20"/>
        </w:rPr>
        <w:t> Na hipótese de a verificação a que se refere o subitem anterior não ser procedida dentro do prazo fixado, reputar-se-á como realizada, consumando-se o recebimento definitivo no dia do esgotamento do prazo;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3.2.14.</w:t>
      </w:r>
      <w:r>
        <w:rPr>
          <w:rFonts w:asciiTheme="minorHAnsi" w:hAnsiTheme="minorHAnsi" w:eastAsiaTheme="minorEastAsia" w:cstheme="minorEastAsia"/>
          <w:color w:val="auto"/>
          <w:sz w:val="20"/>
          <w:szCs w:val="20"/>
        </w:rPr>
        <w:t> O recebimento provisório ou definitivo do objeto não exclui a responsabilidade ético-profissional da contratada pela perfeita execução da contratação, nem a responsabilidade pelos prejuízos resultantes da sua incorreta execução;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3.2.15.</w:t>
      </w:r>
      <w:r>
        <w:rPr>
          <w:rFonts w:asciiTheme="minorHAnsi" w:hAnsiTheme="minorHAnsi" w:eastAsiaTheme="minorEastAsia" w:cstheme="minorEastAsia"/>
          <w:color w:val="auto"/>
          <w:sz w:val="20"/>
          <w:szCs w:val="20"/>
        </w:rPr>
        <w:t> A contratada deve comunicar à contratante, no prazo máximo de 10 (dez) dias corridos, que antecede a data da entrega, os motivos que impossibilitem o cumprimento do prazo previsto, com a devida comprovação;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3.2.16.</w:t>
      </w:r>
      <w:r>
        <w:rPr>
          <w:rFonts w:asciiTheme="minorHAnsi" w:hAnsiTheme="minorHAnsi" w:eastAsiaTheme="minorEastAsia" w:cstheme="minorEastAsia"/>
          <w:color w:val="auto"/>
          <w:sz w:val="20"/>
          <w:szCs w:val="20"/>
        </w:rPr>
        <w:t> O objeto poderá ser rejeitado, no todo ou em parte, quando estiver em desacordo com os termos e condições desta contratação. A contratada deve substituir, reparar ou complementar, às suas expensas, no todo ou em parte, conforme o caso, no prazo de até 05 ( cinco) dias corridos, contados da notificação feita pelo fiscal, os bens que apresentarem vícios, defeitos ou qualquer irregularidade.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3.2.17.</w:t>
      </w:r>
      <w:r>
        <w:rPr>
          <w:rFonts w:asciiTheme="minorHAnsi" w:hAnsiTheme="minorHAnsi" w:eastAsiaTheme="minorEastAsia" w:cstheme="minorEastAsia"/>
          <w:b/>
          <w:bCs/>
          <w:color w:val="auto"/>
          <w:sz w:val="20"/>
          <w:szCs w:val="20"/>
        </w:rPr>
        <w:t> </w:t>
      </w:r>
      <w:r>
        <w:rPr>
          <w:rFonts w:asciiTheme="minorHAnsi" w:hAnsiTheme="minorHAnsi" w:eastAsiaTheme="minorEastAsia" w:cstheme="minorEastAsia"/>
          <w:color w:val="auto"/>
          <w:sz w:val="20"/>
          <w:szCs w:val="20"/>
        </w:rPr>
        <w:t>As despesas com frete, serão de inteira responsabilidade da contratada;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4. DO VALOR ESTIMADO DA CONTRATAÇÃO, CLASSIFICAÇÃO ORÇAMENTÁRIA DA DESPESA E DO BENEFÍCIO PREVISTO NA LEI COMPLEMENTAR Nº 123/2006</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4.1. DO VALOR ESTIMADO DA CONTRATAÇÃO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4.1.1.</w:t>
      </w:r>
      <w:r>
        <w:rPr>
          <w:rFonts w:asciiTheme="minorHAnsi" w:hAnsiTheme="minorHAnsi" w:eastAsiaTheme="minorEastAsia" w:cstheme="minorEastAsia"/>
          <w:color w:val="auto"/>
          <w:sz w:val="20"/>
          <w:szCs w:val="20"/>
        </w:rPr>
        <w:t> O valor estimado global da contratação é de </w:t>
      </w:r>
      <w:r>
        <w:rPr>
          <w:rFonts w:asciiTheme="minorHAnsi" w:hAnsiTheme="minorHAnsi" w:eastAsiaTheme="minorEastAsia" w:cstheme="minorEastAsia"/>
          <w:b/>
          <w:bCs/>
          <w:color w:val="auto"/>
          <w:sz w:val="20"/>
          <w:szCs w:val="20"/>
        </w:rPr>
        <w:t>R$</w:t>
      </w:r>
      <w:r>
        <w:rPr>
          <w:rFonts w:asciiTheme="minorHAnsi" w:hAnsiTheme="minorHAnsi" w:eastAsiaTheme="minorEastAsia" w:cstheme="minorEastAsia"/>
          <w:color w:val="auto"/>
          <w:sz w:val="20"/>
          <w:szCs w:val="20"/>
        </w:rPr>
        <w:t> </w:t>
      </w:r>
      <w:r>
        <w:rPr>
          <w:rStyle w:val="4"/>
          <w:rFonts w:asciiTheme="minorHAnsi" w:hAnsiTheme="minorHAnsi" w:eastAsiaTheme="minorEastAsia" w:cstheme="minorEastAsia"/>
          <w:color w:val="auto"/>
          <w:sz w:val="20"/>
          <w:szCs w:val="20"/>
        </w:rPr>
        <w:t>331.479,5650</w:t>
      </w:r>
      <w:r>
        <w:rPr>
          <w:rFonts w:asciiTheme="minorHAnsi" w:hAnsiTheme="minorHAnsi" w:eastAsiaTheme="minorEastAsia" w:cstheme="minorEastAsia"/>
          <w:color w:val="auto"/>
          <w:sz w:val="20"/>
          <w:szCs w:val="20"/>
        </w:rPr>
        <w:t> (Trezentos e trinta e um mil, quatrocentos e setenta e nove reais e cinco mil seiscentos e cinquenta milésimos de centavos) , </w:t>
      </w:r>
      <w:r>
        <w:rPr>
          <w:rFonts w:asciiTheme="minorHAnsi" w:hAnsiTheme="minorHAnsi" w:eastAsiaTheme="minorEastAsia" w:cstheme="minorEastAsia"/>
          <w:b/>
          <w:bCs/>
          <w:color w:val="auto"/>
          <w:sz w:val="20"/>
          <w:szCs w:val="20"/>
        </w:rPr>
        <w:t>distribuído nos seguintes itens.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 Itens de 1 a 30 (Cota exclusiva)– Valor estimado total - </w:t>
      </w:r>
      <w:r>
        <w:rPr>
          <w:rFonts w:asciiTheme="minorHAnsi" w:hAnsiTheme="minorHAnsi" w:eastAsiaTheme="minorEastAsia" w:cstheme="minorEastAsia"/>
          <w:b/>
          <w:bCs/>
          <w:color w:val="auto"/>
          <w:sz w:val="20"/>
          <w:szCs w:val="20"/>
        </w:rPr>
        <w:t>R$</w:t>
      </w:r>
      <w:r>
        <w:rPr>
          <w:rFonts w:asciiTheme="minorHAnsi" w:hAnsiTheme="minorHAnsi" w:eastAsiaTheme="minorEastAsia" w:cstheme="minorEastAsia"/>
          <w:color w:val="auto"/>
          <w:sz w:val="20"/>
          <w:szCs w:val="20"/>
        </w:rPr>
        <w:t> </w:t>
      </w:r>
      <w:r>
        <w:rPr>
          <w:rStyle w:val="4"/>
          <w:rFonts w:asciiTheme="minorHAnsi" w:hAnsiTheme="minorHAnsi" w:eastAsiaTheme="minorEastAsia" w:cstheme="minorEastAsia"/>
          <w:color w:val="auto"/>
          <w:sz w:val="20"/>
          <w:szCs w:val="20"/>
        </w:rPr>
        <w:t>331.479,5650</w:t>
      </w:r>
      <w:r>
        <w:rPr>
          <w:rFonts w:asciiTheme="minorHAnsi" w:hAnsiTheme="minorHAnsi" w:eastAsiaTheme="minorEastAsia" w:cstheme="minorEastAsia"/>
          <w:color w:val="auto"/>
          <w:sz w:val="20"/>
          <w:szCs w:val="20"/>
        </w:rPr>
        <w:t> (Trezentos e trinta e um mil, quatrocentos e setenta e nove reais e cinco mil seiscentos e cinquenta milésimos de centavos).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4.1.2. </w:t>
      </w:r>
      <w:r>
        <w:rPr>
          <w:rFonts w:asciiTheme="minorHAnsi" w:hAnsiTheme="minorHAnsi" w:eastAsiaTheme="minorEastAsia" w:cstheme="minorEastAsia"/>
          <w:color w:val="auto"/>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4.1.3.</w:t>
      </w:r>
      <w:r>
        <w:rPr>
          <w:rFonts w:asciiTheme="minorHAnsi" w:hAnsiTheme="minorHAnsi" w:eastAsiaTheme="minorEastAsia" w:cstheme="minorEastAsia"/>
          <w:color w:val="auto"/>
          <w:sz w:val="20"/>
          <w:szCs w:val="20"/>
        </w:rPr>
        <w:t> Os preços ﬁnais unitários e totais propostos pelos licitantes não poderão ultrapassar o preço unitário e total estimado pela Administração, sob pena de desclassiﬁcação da proposta.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4.2. CLASSIFICAÇÃO ORÇAMENTÁRIA DA DESPENSA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4.2.1.</w:t>
      </w:r>
      <w:r>
        <w:rPr>
          <w:rFonts w:asciiTheme="minorHAnsi" w:hAnsiTheme="minorHAnsi" w:eastAsiaTheme="minorEastAsia" w:cstheme="minorEastAsia"/>
          <w:color w:val="auto"/>
          <w:sz w:val="20"/>
          <w:szCs w:val="20"/>
        </w:rPr>
        <w:t> As despesas decorrentes desta licitação serão incluídas no orçamento do Estado de Pernambuco, para o presente exercício, na classificação abaixo: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Elemento da despesa: 3.3.90.30.</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4.3 JUSTIFICATIVA PARA APLICAÇÃO OU NÃO DO BENEFÍCIO PREVISTO NA LEI COMPLEMENTAR Nº 123/2006</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4.3.1. </w:t>
      </w:r>
      <w:r>
        <w:rPr>
          <w:rFonts w:asciiTheme="minorHAnsi" w:hAnsiTheme="minorHAnsi" w:eastAsiaTheme="minorEastAsia" w:cstheme="minorEastAsia"/>
          <w:color w:val="auto"/>
          <w:sz w:val="20"/>
          <w:szCs w:val="20"/>
        </w:rPr>
        <w:t>No caso de aquisições de bens, em regra, deve ser objeto de licitações </w:t>
      </w:r>
      <w:r>
        <w:rPr>
          <w:rStyle w:val="4"/>
          <w:rFonts w:asciiTheme="minorHAnsi" w:hAnsiTheme="minorHAnsi" w:eastAsiaTheme="minorEastAsia" w:cstheme="minorEastAsia"/>
          <w:color w:val="auto"/>
          <w:sz w:val="20"/>
          <w:szCs w:val="20"/>
        </w:rPr>
        <w:t>EXCLUSIVAS</w:t>
      </w:r>
      <w:r>
        <w:rPr>
          <w:rFonts w:asciiTheme="minorHAnsi" w:hAnsiTheme="minorHAnsi" w:eastAsiaTheme="minorEastAsia" w:cstheme="minorEastAsia"/>
          <w:color w:val="auto"/>
          <w:sz w:val="20"/>
          <w:szCs w:val="20"/>
        </w:rPr>
        <w:t> para micro empresas (</w:t>
      </w:r>
      <w:r>
        <w:rPr>
          <w:rStyle w:val="4"/>
          <w:rFonts w:asciiTheme="minorHAnsi" w:hAnsiTheme="minorHAnsi" w:eastAsiaTheme="minorEastAsia" w:cstheme="minorEastAsia"/>
          <w:color w:val="auto"/>
          <w:sz w:val="20"/>
          <w:szCs w:val="20"/>
        </w:rPr>
        <w:t> ME </w:t>
      </w:r>
      <w:r>
        <w:rPr>
          <w:rFonts w:asciiTheme="minorHAnsi" w:hAnsiTheme="minorHAnsi" w:eastAsiaTheme="minorEastAsia" w:cstheme="minorEastAsia"/>
          <w:color w:val="auto"/>
          <w:sz w:val="20"/>
          <w:szCs w:val="20"/>
        </w:rPr>
        <w:t>) e empresas de pequeno porte ( </w:t>
      </w:r>
      <w:r>
        <w:rPr>
          <w:rStyle w:val="4"/>
          <w:rFonts w:asciiTheme="minorHAnsi" w:hAnsiTheme="minorHAnsi" w:eastAsiaTheme="minorEastAsia" w:cstheme="minorEastAsia"/>
          <w:color w:val="auto"/>
          <w:sz w:val="20"/>
          <w:szCs w:val="20"/>
        </w:rPr>
        <w:t>EPP</w:t>
      </w:r>
      <w:r>
        <w:rPr>
          <w:rFonts w:asciiTheme="minorHAnsi" w:hAnsiTheme="minorHAnsi" w:eastAsiaTheme="minorEastAsia" w:cstheme="minorEastAsia"/>
          <w:color w:val="auto"/>
          <w:sz w:val="20"/>
          <w:szCs w:val="20"/>
        </w:rPr>
        <w:t> ) quando os itens de contratação possuírem valor estimado de até R$ 80.000,00 ( oitenta mil ) reais ou devem ser reservadas cotas de até 25% do quantitativo para essas empresas caso os valores estimados dos itens forem superiores a R$ 80.000,00 ( oitenta mil ) reais e a natureza dos bens a serem adquiridos seja divisível, nos termos do art. 48, I e III da Lei Complementar nº 123/2006.</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u w:val="single"/>
        </w:rPr>
        <w:t>COTA EXCLUSIVA: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4.3.2.</w:t>
      </w:r>
      <w:r>
        <w:rPr>
          <w:rFonts w:asciiTheme="minorHAnsi" w:hAnsiTheme="minorHAnsi" w:eastAsiaTheme="minorEastAsia" w:cstheme="minorEastAsia"/>
          <w:color w:val="auto"/>
          <w:sz w:val="20"/>
          <w:szCs w:val="20"/>
        </w:rPr>
        <w:t> Considerando que os itens de 1 até 30 desta licitação possuem valor igual ou inferior a R$ 80.000,00 (oitenta mil) reais, serão estes considerados de participação exclusiva de microempresa ou empresa de pequeno porte.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5. DA LICITAÇÃO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5.1.</w:t>
      </w:r>
      <w:r>
        <w:rPr>
          <w:rFonts w:asciiTheme="minorHAnsi" w:hAnsiTheme="minorHAnsi" w:eastAsiaTheme="minorEastAsia" w:cstheme="minorEastAsia"/>
          <w:b/>
          <w:bCs/>
          <w:color w:val="auto"/>
          <w:sz w:val="20"/>
          <w:szCs w:val="20"/>
        </w:rPr>
        <w:t> MODALIDADE DE LICITAÇÃO, CRITÉRIO DE JULGAMENTO, FORMA DE FORNECIMENTO E MODOS DE DISPUTA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5.1.1.</w:t>
      </w:r>
      <w:r>
        <w:rPr>
          <w:rFonts w:asciiTheme="minorHAnsi" w:hAnsiTheme="minorHAnsi" w:eastAsiaTheme="minorEastAsia" w:cstheme="minorEastAsia"/>
          <w:color w:val="auto"/>
          <w:sz w:val="20"/>
          <w:szCs w:val="20"/>
        </w:rPr>
        <w:t> O objeto será executado por meio da forma de FORNECIMENTO INTEGRAL com entrega IMEDIATA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5.1.2.</w:t>
      </w:r>
      <w:r>
        <w:rPr>
          <w:rFonts w:asciiTheme="minorHAnsi" w:hAnsiTheme="minorHAnsi" w:eastAsiaTheme="minorEastAsia" w:cstheme="minorEastAsia"/>
          <w:color w:val="auto"/>
          <w:sz w:val="20"/>
          <w:szCs w:val="20"/>
        </w:rPr>
        <w:t> A licitação será processada na modalidade PREGÃOELETRÔNICO, tendo como critério de julgamento o MENOR PREÇO UNITÁRIO / POR ITEM.</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5.1.3.</w:t>
      </w:r>
      <w:r>
        <w:rPr>
          <w:rFonts w:asciiTheme="minorHAnsi" w:hAnsiTheme="minorHAnsi" w:eastAsiaTheme="minorEastAsia" w:cstheme="minorEastAsia"/>
          <w:color w:val="auto"/>
          <w:sz w:val="20"/>
          <w:szCs w:val="20"/>
        </w:rPr>
        <w:t> O modo de disputa a ser utilizado no certame é o aberto.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5.1.4</w:t>
      </w:r>
      <w:r>
        <w:rPr>
          <w:rFonts w:asciiTheme="minorHAnsi" w:hAnsiTheme="minorHAnsi" w:eastAsiaTheme="minorEastAsia" w:cstheme="minorEastAsia"/>
          <w:color w:val="auto"/>
          <w:sz w:val="20"/>
          <w:szCs w:val="20"/>
        </w:rPr>
        <w:t>. 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assegura tratamento isonômico entre os licitantes, bem como a justa competição; evitando contratações com sobrepreço ou com preços manifestamente inexequíveis e superfaturamento na execução dos contratos e incentiva a inovação e o desenvolvimento nacional sustentável.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5.2.</w:t>
      </w:r>
      <w:r>
        <w:rPr>
          <w:rFonts w:asciiTheme="minorHAnsi" w:hAnsiTheme="minorHAnsi" w:eastAsiaTheme="minorEastAsia" w:cstheme="minorEastAsia"/>
          <w:b/>
          <w:bCs/>
          <w:color w:val="auto"/>
          <w:sz w:val="20"/>
          <w:szCs w:val="20"/>
        </w:rPr>
        <w:t> PROPOSTA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5.2.1.</w:t>
      </w:r>
      <w:r>
        <w:rPr>
          <w:rFonts w:asciiTheme="minorHAnsi" w:hAnsiTheme="minorHAnsi" w:eastAsiaTheme="minorEastAsia" w:cstheme="minorEastAsia"/>
          <w:color w:val="auto"/>
          <w:sz w:val="20"/>
          <w:szCs w:val="20"/>
        </w:rPr>
        <w:t> </w:t>
      </w:r>
      <w:r>
        <w:rPr>
          <w:rStyle w:val="4"/>
          <w:rFonts w:asciiTheme="minorHAnsi" w:hAnsiTheme="minorHAnsi" w:eastAsiaTheme="minorEastAsia" w:cstheme="minorEastAsia"/>
          <w:color w:val="auto"/>
          <w:sz w:val="20"/>
          <w:szCs w:val="20"/>
        </w:rPr>
        <w:t>PRAZO DE VALIDADE DA PROPOSTA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5.2.1.1.</w:t>
      </w:r>
      <w:r>
        <w:rPr>
          <w:rFonts w:asciiTheme="minorHAnsi" w:hAnsiTheme="minorHAnsi" w:eastAsiaTheme="minorEastAsia" w:cstheme="minorEastAsia"/>
          <w:color w:val="auto"/>
          <w:sz w:val="20"/>
          <w:szCs w:val="20"/>
        </w:rPr>
        <w:t> As propostas deverão ter validade de, no mínimo, no mínimo, 120 (cento e vinte) dias, contados da data de abertura da sessão pública a ser estabelecida no preâmbulo do Edital, independente de declaração da licitante.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5.2.2.</w:t>
      </w:r>
      <w:r>
        <w:rPr>
          <w:rFonts w:asciiTheme="minorHAnsi" w:hAnsiTheme="minorHAnsi" w:eastAsiaTheme="minorEastAsia" w:cstheme="minorEastAsia"/>
          <w:b/>
          <w:bCs/>
          <w:color w:val="auto"/>
          <w:sz w:val="20"/>
          <w:szCs w:val="20"/>
        </w:rPr>
        <w:t> CONDIÇÕES DA PROPOSTA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5.2.2.1. </w:t>
      </w:r>
      <w:r>
        <w:rPr>
          <w:rFonts w:asciiTheme="minorHAnsi" w:hAnsiTheme="minorHAnsi" w:eastAsiaTheme="minorEastAsia" w:cstheme="minorEastAsia"/>
          <w:color w:val="auto"/>
          <w:sz w:val="20"/>
          <w:szCs w:val="20"/>
        </w:rPr>
        <w:t>As propostas enviadas deverão ser acompanhadas dos seguintes documentos: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 A proposta da Licitante Vencedora deverá conter a especificação do objeto por ela proposto, que deverá atender fielmente ao solicitado neste Termo deReferência, devendo serregistrado amarca ou ofabricante do(s)produto(s) ofertado(s).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 Comprovação de registro, cadastramento ou isenção de registro do(s) medicamentos(s) ofertado(s) na Agência Nacional de Vigilância Sanitária – ANVISA, conforme estabelece as Leis nº 6.360/1976 e 13.097/2015 ou sua publicação no Diário Oficial da União;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 No caso de medicamentos de notificação simplificada constantes na RDC/ANVISA nº 199/2006 e suas atualizações, o licitante deverá apresentar a notificação de registro válido junto à ANVISA e a cópia do rótulo a fim de permitir a verificação das características técnicas do produto;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d) Em se tratando de medicamento importado, cuja importação seja realizada por terceiro não detentor do registro do medicamento na Anvisa, Declaração do Detentor de Registro – DDR.</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e) Certificado de Registro do Produto expedido pela ANVISA ou sua publicação no Diário Oficial da União.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5.3. REQUISITOS ESPECÍFICOS DE HABILITAÇÃO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5.3.1. HABILITAÇÃO JURÍDICA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5.3.1.1.</w:t>
      </w:r>
      <w:r>
        <w:rPr>
          <w:rFonts w:asciiTheme="minorHAnsi" w:hAnsiTheme="minorHAnsi" w:eastAsiaTheme="minorEastAsia" w:cstheme="minorEastAsia"/>
          <w:color w:val="auto"/>
          <w:sz w:val="20"/>
          <w:szCs w:val="20"/>
        </w:rPr>
        <w:t> Autorização de Funcionamento da Empresa (AFE) expedida pela Agência Nacional de Vigilância Sanitária (ANVISA);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5.3.1.2. </w:t>
      </w:r>
      <w:r>
        <w:rPr>
          <w:rFonts w:asciiTheme="minorHAnsi" w:hAnsiTheme="minorHAnsi" w:eastAsiaTheme="minorEastAsia" w:cstheme="minorEastAsia"/>
          <w:color w:val="auto"/>
          <w:sz w:val="20"/>
          <w:szCs w:val="20"/>
        </w:rPr>
        <w:t>Licença de funcionamento do estabelecimento emitida pelo órgão sanitário competente da unidade federativa em que se localize.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5.3.1.3. </w:t>
      </w:r>
      <w:r>
        <w:rPr>
          <w:rFonts w:asciiTheme="minorHAnsi" w:hAnsiTheme="minorHAnsi" w:eastAsiaTheme="minorEastAsia" w:cstheme="minorEastAsia"/>
          <w:color w:val="auto"/>
          <w:sz w:val="20"/>
          <w:szCs w:val="20"/>
        </w:rPr>
        <w:t>Em caso de medicamentos sujeitos a controle especial, relacionados na Portaria SVS/MS nº 344/98, Autorização Especial (AE) expedida pela Agência Nacional de Vigilância Sanitária (ANVISA).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5.3.2. REQUISITOS DE QUALIFICAÇÃO TÉCNICA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5.3.2.1</w:t>
      </w:r>
      <w:r>
        <w:rPr>
          <w:rFonts w:asciiTheme="minorHAnsi" w:hAnsiTheme="minorHAnsi" w:eastAsiaTheme="minorEastAsia" w:cstheme="minorEastAsia"/>
          <w:color w:val="auto"/>
          <w:sz w:val="20"/>
          <w:szCs w:val="20"/>
        </w:rPr>
        <w:t> Registro ou inscrição da licitante no Conselho Regional de Farmácia ( CRF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5.3.3. DAS EXIGÊNCIAS DE QUALIFICAÇÃO ECONÔMICO-FINANCEIRA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5.3.3.1.</w:t>
      </w:r>
      <w:r>
        <w:rPr>
          <w:rFonts w:asciiTheme="minorHAnsi" w:hAnsiTheme="minorHAnsi" w:eastAsiaTheme="minorEastAsia" w:cstheme="minorEastAsia"/>
          <w:color w:val="auto"/>
          <w:sz w:val="20"/>
          <w:szCs w:val="20"/>
        </w:rPr>
        <w:t> Os requisitos de qualificação econômico-financeira serão descritos no Edital da presente contratação.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w:t>
      </w:r>
      <w:r>
        <w:rPr>
          <w:rFonts w:asciiTheme="minorHAnsi" w:hAnsiTheme="minorHAnsi" w:eastAsiaTheme="minorEastAsia" w:cstheme="minorEastAsia"/>
          <w:b/>
          <w:bCs/>
          <w:color w:val="auto"/>
          <w:sz w:val="20"/>
          <w:szCs w:val="20"/>
        </w:rPr>
        <w:t>. DO REGISTRO DE PREÇOS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6.1. JUSTIFICATIVA PARA UTILIZAÇÃO DO SISTEMA DE REGISTRO DE PREÇOS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6.1.1.</w:t>
      </w:r>
      <w:r>
        <w:rPr>
          <w:rFonts w:asciiTheme="minorHAnsi" w:hAnsiTheme="minorHAnsi" w:eastAsiaTheme="minorEastAsia" w:cstheme="minorEastAsia"/>
          <w:color w:val="auto"/>
          <w:sz w:val="20"/>
          <w:szCs w:val="20"/>
        </w:rPr>
        <w:t> A opção pelo sistema de registro de preços para a contratação do objeto constante deste termo de referência tem fundamentação no Art. 3º do inciso I do decreto nº 54.700/2023, visto que a contratação de </w:t>
      </w:r>
      <w:r>
        <w:rPr>
          <w:rStyle w:val="4"/>
          <w:rFonts w:asciiTheme="minorHAnsi" w:hAnsiTheme="minorHAnsi" w:eastAsiaTheme="minorEastAsia" w:cstheme="minorEastAsia"/>
          <w:color w:val="auto"/>
          <w:sz w:val="20"/>
          <w:szCs w:val="20"/>
        </w:rPr>
        <w:t>MEDICAMENTOS ANTIMICROBIANOS INJETÁVEIS</w:t>
      </w:r>
      <w:r>
        <w:rPr>
          <w:rFonts w:asciiTheme="minorHAnsi" w:hAnsiTheme="minorHAnsi" w:eastAsiaTheme="minorEastAsia" w:cstheme="minorEastAsia"/>
          <w:color w:val="auto"/>
          <w:sz w:val="20"/>
          <w:szCs w:val="20"/>
        </w:rPr>
        <w:t> , requer a realização de contratações frequentes, com entrega sob a forma de contratos pontuais, formalizados conforme a demanda do </w:t>
      </w:r>
      <w:r>
        <w:rPr>
          <w:rStyle w:val="4"/>
          <w:rFonts w:asciiTheme="minorHAnsi" w:hAnsiTheme="minorHAnsi" w:eastAsiaTheme="minorEastAsia" w:cstheme="minorEastAsia"/>
          <w:color w:val="auto"/>
          <w:sz w:val="20"/>
          <w:szCs w:val="20"/>
        </w:rPr>
        <w:t>SISMEPE</w:t>
      </w:r>
      <w:r>
        <w:rPr>
          <w:rFonts w:asciiTheme="minorHAnsi" w:hAnsiTheme="minorHAnsi" w:eastAsiaTheme="minorEastAsia" w:cstheme="minorEastAsia"/>
          <w:color w:val="auto"/>
          <w:sz w:val="20"/>
          <w:szCs w:val="20"/>
        </w:rPr>
        <w:t> – Sistema de Saúde dos Militares do Estado de Pernambuco, naturalmente variável.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6.2. ORGÃO GERENCIADOR (A)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6.2.1.</w:t>
      </w:r>
      <w:r>
        <w:rPr>
          <w:rFonts w:asciiTheme="minorHAnsi" w:hAnsiTheme="minorHAnsi" w:eastAsiaTheme="minorEastAsia" w:cstheme="minorEastAsia"/>
          <w:color w:val="auto"/>
          <w:sz w:val="20"/>
          <w:szCs w:val="20"/>
        </w:rPr>
        <w:t> A DIRETORIA DE APOIO ADMINISTRATIVO AO SISTEMA DE SAÚDE DA PMPE - DASIS, é Órgão Gerenciador deste Registro de Preços.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6.3. ÓRGÃOS PARTICIPANTES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6.3.1. </w:t>
      </w:r>
      <w:r>
        <w:rPr>
          <w:rFonts w:asciiTheme="minorHAnsi" w:hAnsiTheme="minorHAnsi" w:eastAsiaTheme="minorEastAsia" w:cstheme="minorEastAsia"/>
          <w:color w:val="auto"/>
          <w:sz w:val="20"/>
          <w:szCs w:val="20"/>
        </w:rPr>
        <w:t>A DIRETORIA DE APOIO ADMINISTRATIVO AO SISTEMA DE SAÚDE DA PMPE - DASIS, é o único órgão participante deste registro de preços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6.4</w:t>
      </w:r>
      <w:r>
        <w:rPr>
          <w:rFonts w:asciiTheme="minorHAnsi" w:hAnsiTheme="minorHAnsi" w:eastAsiaTheme="minorEastAsia" w:cstheme="minorEastAsia"/>
          <w:color w:val="auto"/>
          <w:sz w:val="20"/>
          <w:szCs w:val="20"/>
        </w:rPr>
        <w:t>. </w:t>
      </w:r>
      <w:r>
        <w:rPr>
          <w:rFonts w:asciiTheme="minorHAnsi" w:hAnsiTheme="minorHAnsi" w:eastAsiaTheme="minorEastAsia" w:cstheme="minorEastAsia"/>
          <w:b/>
          <w:bCs/>
          <w:color w:val="auto"/>
          <w:sz w:val="20"/>
          <w:szCs w:val="20"/>
        </w:rPr>
        <w:t>PRAZO PARA ASSINATURA DA ATA DE REGISTRO DE PREÇOS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6.4.1</w:t>
      </w:r>
      <w:r>
        <w:rPr>
          <w:rFonts w:asciiTheme="minorHAnsi" w:hAnsiTheme="minorHAnsi" w:eastAsiaTheme="minorEastAsia" w:cstheme="minorEastAsia"/>
          <w:color w:val="auto"/>
          <w:sz w:val="20"/>
          <w:szCs w:val="20"/>
        </w:rPr>
        <w:t>. Após a homologação do resultado desta licitação, a adjudicatária será convocada para assinar a Ata de Registro de Preços, no prazo de 05 (cinco) dias úteis, contados da convocação, sob pena de decair o direito à contratação.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6.5. PRAZO DE VIGÊNCIA DA ATA DE REGISTRO DE PREÇOS E SUA POSSIBILIDADE DE PRORROGAÇÃO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6.5.1.</w:t>
      </w:r>
      <w:r>
        <w:rPr>
          <w:rFonts w:asciiTheme="minorHAnsi" w:hAnsiTheme="minorHAnsi" w:eastAsiaTheme="minorEastAsia" w:cstheme="minorEastAsia"/>
          <w:color w:val="auto"/>
          <w:sz w:val="20"/>
          <w:szCs w:val="20"/>
        </w:rPr>
        <w:t> O prazo de vigência da ata será de 12 (doze)meses, contado da data de sua assinatura.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6.5.2.</w:t>
      </w:r>
      <w:r>
        <w:rPr>
          <w:rFonts w:asciiTheme="minorHAnsi" w:hAnsiTheme="minorHAnsi" w:eastAsiaTheme="minorEastAsia" w:cstheme="minorEastAsia"/>
          <w:color w:val="auto"/>
          <w:sz w:val="20"/>
          <w:szCs w:val="20"/>
        </w:rPr>
        <w:t> O prazo de vigência mencionado acima poderá ser prorrogado, por igual período, desde que tenha saldo disponível em ata e seja comprovada a vantajosidade dos preços registrados.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6.6. PREVISÃO E JUSTIFICATIVA DA POSSIBILIDADE DE ADESÃO POR ÓRGÃOS E ENTIDADES NÃO PARTICIPANTES E CONDIÇÕES DE ADESÃO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6.6.1.</w:t>
      </w:r>
      <w:r>
        <w:rPr>
          <w:rFonts w:asciiTheme="minorHAnsi" w:hAnsiTheme="minorHAnsi" w:eastAsiaTheme="minorEastAsia" w:cstheme="minorEastAsia"/>
          <w:color w:val="auto"/>
          <w:sz w:val="20"/>
          <w:szCs w:val="20"/>
        </w:rPr>
        <w:t> Será permitida a adesão por órgãos não participantes à Ata de registro de preços oriunda deste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6.6.2.</w:t>
      </w:r>
      <w:r>
        <w:rPr>
          <w:rFonts w:asciiTheme="minorHAnsi" w:hAnsiTheme="minorHAnsi" w:eastAsiaTheme="minorEastAsia" w:cstheme="minorEastAsia"/>
          <w:color w:val="auto"/>
          <w:sz w:val="20"/>
          <w:szCs w:val="20"/>
        </w:rPr>
        <w:t> As possíveis solicitações de adesão deverão ser encaminhadas à gerenciadora da ata de registro de preços, por meio do </w:t>
      </w:r>
      <w:r>
        <w:rPr>
          <w:rStyle w:val="4"/>
          <w:rFonts w:asciiTheme="minorHAnsi" w:hAnsiTheme="minorHAnsi" w:eastAsiaTheme="minorEastAsia" w:cstheme="minorEastAsia"/>
          <w:color w:val="auto"/>
          <w:sz w:val="20"/>
          <w:szCs w:val="20"/>
        </w:rPr>
        <w:t>telefone (81) 3181-1457 e e-mail: contratos.dasis@pm.pe.gov.br, </w:t>
      </w:r>
      <w:r>
        <w:rPr>
          <w:rFonts w:asciiTheme="minorHAnsi" w:hAnsiTheme="minorHAnsi" w:eastAsiaTheme="minorEastAsia" w:cstheme="minorEastAsia"/>
          <w:color w:val="auto"/>
          <w:sz w:val="20"/>
          <w:szCs w:val="20"/>
        </w:rPr>
        <w:t>para autorização.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6.7. OBRIGAÇÕES E RESPONSABILIDADES DA GERENCIADORA DA ATA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6.7.1.</w:t>
      </w:r>
      <w:r>
        <w:rPr>
          <w:rFonts w:asciiTheme="minorHAnsi" w:hAnsiTheme="minorHAnsi" w:eastAsiaTheme="minorEastAsia" w:cstheme="minorEastAsia"/>
          <w:color w:val="auto"/>
          <w:sz w:val="20"/>
          <w:szCs w:val="20"/>
        </w:rPr>
        <w:t> As obrigações do órgão gerenciador da ata de registro de preços serão dispostas em item específico da minuta da ata de registro de preços do presente processo.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6.8. OBRIGAÇÕES E RESPONSABILIDADES DA DETENTORA DA ATA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6.8.1.</w:t>
      </w:r>
      <w:r>
        <w:rPr>
          <w:rFonts w:asciiTheme="minorHAnsi" w:hAnsiTheme="minorHAnsi" w:eastAsiaTheme="minorEastAsia" w:cstheme="minorEastAsia"/>
          <w:color w:val="auto"/>
          <w:sz w:val="20"/>
          <w:szCs w:val="20"/>
        </w:rPr>
        <w:t> As obrigações da detentora da ata de registro de preços serão dispostas em item específico da minuta da ata de registro de preços do presente processo.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 DO CONTRATO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Uma vez que o presente termo de referência objetiva a compra com entrega imediata e integral de bens dos quais não resultam em obrigações futuras, inclusive quanto a assistência técnica, a contratação decorrente desta licitação será formalizada por meio da nota de empenho de despesa, por se caracterizar como instrumento hábil a substituir o contrato formal, em conformidade com o art. 95 da Lei nº 14.133/2021.</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7.1. PRAZO DE VIGÊNCIA CONTRATUAL E PRORROGAÇÃO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7.1.1. A contratação terá vigência de 12 (doze) meses, a partir da data da retirada da Ordem de Fornecimento.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7.2. PRAZO PARA ASSINATURA DO CONTRATO OU RETIRADA DO INSTRUMENTO EQUIVALENTE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7.2.1.</w:t>
      </w:r>
      <w:r>
        <w:rPr>
          <w:rFonts w:asciiTheme="minorHAnsi" w:hAnsiTheme="minorHAnsi" w:eastAsiaTheme="minorEastAsia" w:cstheme="minorEastAsia"/>
          <w:color w:val="auto"/>
          <w:sz w:val="20"/>
          <w:szCs w:val="20"/>
        </w:rPr>
        <w:t> O Detentor da Ata será convocada para a retirada da ordem de fornecimento, no prazo de 05 (cinco) dias úteis,contados a partir da convocação, sob pena de decair o direito à contratação.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7.2.2. </w:t>
      </w:r>
      <w:r>
        <w:rPr>
          <w:rFonts w:asciiTheme="minorHAnsi" w:hAnsiTheme="minorHAnsi" w:eastAsiaTheme="minorEastAsia" w:cstheme="minorEastAsia"/>
          <w:color w:val="auto"/>
          <w:sz w:val="20"/>
          <w:szCs w:val="20"/>
        </w:rPr>
        <w:t>O prazo de convocação poderá ser prorrogado 1 (uma) vez, por igual período, mediante solicitação da parte durante seu transcurso, devidamente justificada, e desde que o motivo apresentado seja aceito pela Administração.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7.3. OBRIGAÇÕES E RESPONSABILIDADES DA CONTRATANTE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É dever da </w:t>
      </w:r>
      <w:r>
        <w:rPr>
          <w:rFonts w:asciiTheme="minorHAnsi" w:hAnsiTheme="minorHAnsi" w:eastAsiaTheme="minorEastAsia" w:cstheme="minorEastAsia"/>
          <w:b/>
          <w:bCs/>
          <w:color w:val="auto"/>
          <w:sz w:val="20"/>
          <w:szCs w:val="20"/>
        </w:rPr>
        <w:t>CONTRATANTE </w:t>
      </w:r>
      <w:r>
        <w:rPr>
          <w:rFonts w:asciiTheme="minorHAnsi" w:hAnsiTheme="minorHAnsi" w:eastAsiaTheme="minorEastAsia" w:cstheme="minorEastAsia"/>
          <w:color w:val="auto"/>
          <w:sz w:val="20"/>
          <w:szCs w:val="20"/>
        </w:rPr>
        <w:t>exigir o cumprimento de todas as obrigações assumidas pela </w:t>
      </w:r>
      <w:r>
        <w:rPr>
          <w:rFonts w:asciiTheme="minorHAnsi" w:hAnsiTheme="minorHAnsi" w:eastAsiaTheme="minorEastAsia" w:cstheme="minorEastAsia"/>
          <w:b/>
          <w:bCs/>
          <w:color w:val="auto"/>
          <w:sz w:val="20"/>
          <w:szCs w:val="20"/>
        </w:rPr>
        <w:t>CONTRATADA, </w:t>
      </w:r>
      <w:r>
        <w:rPr>
          <w:rFonts w:asciiTheme="minorHAnsi" w:hAnsiTheme="minorHAnsi" w:eastAsiaTheme="minorEastAsia" w:cstheme="minorEastAsia"/>
          <w:color w:val="auto"/>
          <w:sz w:val="20"/>
          <w:szCs w:val="20"/>
        </w:rPr>
        <w:t>em especial: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7.3.1. </w:t>
      </w:r>
      <w:r>
        <w:rPr>
          <w:rFonts w:asciiTheme="minorHAnsi" w:hAnsiTheme="minorHAnsi" w:eastAsiaTheme="minorEastAsia" w:cstheme="minorEastAsia"/>
          <w:color w:val="auto"/>
          <w:sz w:val="20"/>
          <w:szCs w:val="20"/>
        </w:rPr>
        <w:t>Receber o objeto no prazo e condições estabelecidas no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7.3.2</w:t>
      </w:r>
      <w:r>
        <w:rPr>
          <w:rFonts w:asciiTheme="minorHAnsi" w:hAnsiTheme="minorHAnsi" w:eastAsiaTheme="minorEastAsia" w:cstheme="minorEastAsia"/>
          <w:color w:val="auto"/>
          <w:sz w:val="20"/>
          <w:szCs w:val="20"/>
        </w:rPr>
        <w:t>. Acompanhar e fiscalizar a execução do objeto contratado, através de servidor designado para este fim.</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7.3.3.</w:t>
      </w:r>
      <w:r>
        <w:rPr>
          <w:rFonts w:asciiTheme="minorHAnsi" w:hAnsiTheme="minorHAnsi" w:eastAsiaTheme="minorEastAsia" w:cstheme="minorEastAsia"/>
          <w:color w:val="auto"/>
          <w:sz w:val="20"/>
          <w:szCs w:val="20"/>
        </w:rPr>
        <w:t> Informar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as normas e procedimentos de acesso às suas instalações para entrega dos bens;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7.3.4.</w:t>
      </w:r>
      <w:r>
        <w:rPr>
          <w:rFonts w:asciiTheme="minorHAnsi" w:hAnsiTheme="minorHAnsi" w:eastAsiaTheme="minorEastAsia" w:cstheme="minorEastAsia"/>
          <w:color w:val="auto"/>
          <w:sz w:val="20"/>
          <w:szCs w:val="20"/>
        </w:rPr>
        <w:t> Verificar a conformidade dos bens entregues com as especificações e quantidades exigidas, inclusive quanto à marca indicada na proposta;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7.3.5.</w:t>
      </w:r>
      <w:r>
        <w:rPr>
          <w:rFonts w:asciiTheme="minorHAnsi" w:hAnsiTheme="minorHAnsi" w:eastAsiaTheme="minorEastAsia" w:cstheme="minorEastAsia"/>
          <w:color w:val="auto"/>
          <w:sz w:val="20"/>
          <w:szCs w:val="20"/>
        </w:rPr>
        <w:t> Promover o recebimento provisório e definitivo do objeto, cumpridas as condições estabelecidas no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7.3.6.</w:t>
      </w:r>
      <w:r>
        <w:rPr>
          <w:rFonts w:asciiTheme="minorHAnsi" w:hAnsiTheme="minorHAnsi" w:eastAsiaTheme="minorEastAsia" w:cstheme="minorEastAsia"/>
          <w:color w:val="auto"/>
          <w:sz w:val="20"/>
          <w:szCs w:val="20"/>
        </w:rPr>
        <w:t> Comunicar por escrito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qualquer vício, defeito ou irregularidade no objeto fornecido, solicitando a substituição, o reparo ou complementação do bem entregue, às suas expensas, no prazo fixado para o cumprimento da determinação.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7.3.7.</w:t>
      </w:r>
      <w:r>
        <w:rPr>
          <w:rFonts w:asciiTheme="minorHAnsi" w:hAnsiTheme="minorHAnsi" w:eastAsiaTheme="minorEastAsia" w:cstheme="minorEastAsia"/>
          <w:color w:val="auto"/>
          <w:sz w:val="20"/>
          <w:szCs w:val="20"/>
        </w:rPr>
        <w:t> Recusar o recebimento do bem que não atenda aos requisitos elencados nas especificações indicadas se, após o prazo fixado para substituição, reparo ou complementação, não for sanada a irregularidade verificada, comunicando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o fato por escrito;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7.3.8.</w:t>
      </w:r>
      <w:r>
        <w:rPr>
          <w:rFonts w:asciiTheme="minorHAnsi" w:hAnsiTheme="minorHAnsi" w:eastAsiaTheme="minorEastAsia" w:cstheme="minorEastAsia"/>
          <w:color w:val="auto"/>
          <w:sz w:val="20"/>
          <w:szCs w:val="20"/>
        </w:rPr>
        <w:t> Analisar e atestar as Faturas e Notas Fiscais emitidas e efetuar os respectivos pagamentos nas condições e nos prazos estabelecidos;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7.3.9.</w:t>
      </w:r>
      <w:r>
        <w:rPr>
          <w:rFonts w:asciiTheme="minorHAnsi" w:hAnsiTheme="minorHAnsi" w:eastAsiaTheme="minorEastAsia" w:cstheme="minorEastAsia"/>
          <w:color w:val="auto"/>
          <w:sz w:val="20"/>
          <w:szCs w:val="20"/>
        </w:rPr>
        <w:t> Liberar o pagamento da parcela incontroversa da execução do objeto contratado, quando houver controvérsia sobre a dimensão, qualidade e quantidade do objeto executado.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7.3.10.</w:t>
      </w:r>
      <w:r>
        <w:rPr>
          <w:rFonts w:asciiTheme="minorHAnsi" w:hAnsiTheme="minorHAnsi" w:eastAsiaTheme="minorEastAsia" w:cstheme="minorEastAsia"/>
          <w:color w:val="auto"/>
          <w:sz w:val="20"/>
          <w:szCs w:val="20"/>
        </w:rPr>
        <w:t> Comunicar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as ocorrências de quaisquer fatos que, a seu critério, exijam medidas corretivas;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7.3.11. </w:t>
      </w:r>
      <w:r>
        <w:rPr>
          <w:rFonts w:asciiTheme="minorHAnsi" w:hAnsiTheme="minorHAnsi" w:eastAsiaTheme="minorEastAsia" w:cstheme="minorEastAsia"/>
          <w:color w:val="auto"/>
          <w:sz w:val="20"/>
          <w:szCs w:val="20"/>
        </w:rPr>
        <w:t>Prestar as informações e esclarecimentos que venham a ser solicitados pela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relacionados à execução contratual;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7.3.12</w:t>
      </w:r>
      <w:r>
        <w:rPr>
          <w:rFonts w:asciiTheme="minorHAnsi" w:hAnsiTheme="minorHAnsi" w:eastAsiaTheme="minorEastAsia" w:cstheme="minorEastAsia"/>
          <w:color w:val="auto"/>
          <w:sz w:val="20"/>
          <w:szCs w:val="20"/>
        </w:rPr>
        <w:t>. Aplicar as penalidades previstas na lei e na Ordem de Fornecimento;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7.3.13</w:t>
      </w:r>
      <w:r>
        <w:rPr>
          <w:rFonts w:asciiTheme="minorHAnsi" w:hAnsiTheme="minorHAnsi" w:eastAsiaTheme="minorEastAsia" w:cstheme="minorEastAsia"/>
          <w:color w:val="auto"/>
          <w:sz w:val="20"/>
          <w:szCs w:val="20"/>
        </w:rPr>
        <w:t>. Notificar, nos termos do §4º do art. 137 da Lei nº 14.133, de 2021, os emitentes das garantias quanto ao início de processo administrativo para apuração de descumprimento de cláusulas contratuais.;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7.3.14.</w:t>
      </w:r>
      <w:r>
        <w:rPr>
          <w:rFonts w:asciiTheme="minorHAnsi" w:hAnsiTheme="minorHAnsi" w:eastAsiaTheme="minorEastAsia" w:cstheme="minorEastAsia"/>
          <w:color w:val="auto"/>
          <w:sz w:val="20"/>
          <w:szCs w:val="20"/>
        </w:rPr>
        <w:t> Proferir, no prazo de 30 (trinta) dias a contar da data do protocolo do requerimento, admitida a prorrogação motivada por igual período, decisão explícita sobre todas as solicitações e reclamações relacionadas à execução do presente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ressalvados os requerimentos manifestamente impertinentes, meramente protelatórios ou de nenhum interesse para a boa execução do ajuste;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7.3.15.</w:t>
      </w:r>
      <w:r>
        <w:rPr>
          <w:rFonts w:asciiTheme="minorHAnsi" w:hAnsiTheme="minorHAnsi" w:eastAsiaTheme="minorEastAsia" w:cstheme="minorEastAsia"/>
          <w:color w:val="auto"/>
          <w:sz w:val="20"/>
          <w:szCs w:val="20"/>
        </w:rPr>
        <w:t> Responder a pedidos de reajustamento no prazo máximo de 60 (sessenta) dias e aos pedidos de restabelecimento do equilíbrio econômico-financeiro no prazo máximo de 90 (noventa) dias, contados a partir da instrução completa dos respectivos requerimentos;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7.3.16.</w:t>
      </w:r>
      <w:r>
        <w:rPr>
          <w:rFonts w:asciiTheme="minorHAnsi" w:hAnsiTheme="minorHAnsi" w:eastAsiaTheme="minorEastAsia" w:cstheme="minorEastAsia"/>
          <w:color w:val="auto"/>
          <w:sz w:val="20"/>
          <w:szCs w:val="20"/>
        </w:rPr>
        <w:t> Cumprir a Lei nº 13.709, de 14 de agosto de 2018 (LGPD), quanto a todos os dados pessoais a que tenha acesso em razão do certame ou do contrato administrativo, independentemente de declaração ou de aceitação expressa.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7.4.OBRIGAÇÕES E RESPONSABILIDADES DA CONTRATADA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deve cumprir todas as obrigações constantes do Edital, de seus anexos e da proposta apresentada na licitação e, ainda: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w:t>
      </w:r>
      <w:r>
        <w:rPr>
          <w:rFonts w:asciiTheme="minorHAnsi" w:hAnsiTheme="minorHAnsi" w:eastAsiaTheme="minorEastAsia" w:cstheme="minorEastAsia"/>
          <w:color w:val="auto"/>
          <w:sz w:val="20"/>
          <w:szCs w:val="20"/>
        </w:rPr>
        <w:t>Fornecer o bem contratado, nas quantidades e especificações exigidas, salvo se obtiver por escrito prévia anuência da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para alteração nas condições do fornecimento;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7.4.2.</w:t>
      </w:r>
      <w:r>
        <w:rPr>
          <w:rFonts w:asciiTheme="minorHAnsi" w:hAnsiTheme="minorHAnsi" w:eastAsiaTheme="minorEastAsia" w:cstheme="minorEastAsia"/>
          <w:color w:val="auto"/>
          <w:sz w:val="20"/>
          <w:szCs w:val="20"/>
        </w:rPr>
        <w:t> Fornecer o bem acondicionado de forma adequada, de modo a garantir seu perfeito estado de conservação e funcionamento;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7.4.3.</w:t>
      </w:r>
      <w:r>
        <w:rPr>
          <w:rFonts w:asciiTheme="minorHAnsi" w:hAnsiTheme="minorHAnsi" w:eastAsiaTheme="minorEastAsia" w:cstheme="minorEastAsia"/>
          <w:color w:val="auto"/>
          <w:sz w:val="20"/>
          <w:szCs w:val="20"/>
        </w:rPr>
        <w:t> Cumprir o prazo de entrega estabelecido no contrato;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7.4.4</w:t>
      </w:r>
      <w:r>
        <w:rPr>
          <w:rFonts w:asciiTheme="minorHAnsi" w:hAnsiTheme="minorHAnsi" w:eastAsiaTheme="minorEastAsia" w:cstheme="minorEastAsia"/>
          <w:color w:val="auto"/>
          <w:sz w:val="20"/>
          <w:szCs w:val="20"/>
        </w:rPr>
        <w:t>. Substituir, corrigir, reparar ou complementar, às suas expensas, no todo ou em parte, conforme o caso, no prazo de até 05(cinco) dias úteis contado da respectiva notificação, ou no prazo assinalado pelo fiscal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os bens que apresentarem vícios, defeitos ou qualquer irregularidade;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7.4.5</w:t>
      </w:r>
      <w:r>
        <w:rPr>
          <w:rFonts w:asciiTheme="minorHAnsi" w:hAnsiTheme="minorHAnsi" w:eastAsiaTheme="minorEastAsia" w:cstheme="minorEastAsia"/>
          <w:color w:val="auto"/>
          <w:sz w:val="20"/>
          <w:szCs w:val="20"/>
        </w:rPr>
        <w:t>. Programar, com a necessária antecedência, data e hora para entrega do objeto contratado, inclusive quando esta ocorrer através de empresa transportadora, comunicando à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até 02 (dois) dias antes, qualquer impedimento à entrega, devidamente comprovado;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7.4.6.</w:t>
      </w:r>
      <w:r>
        <w:rPr>
          <w:rFonts w:asciiTheme="minorHAnsi" w:hAnsiTheme="minorHAnsi" w:eastAsiaTheme="minorEastAsia" w:cstheme="minorEastAsia"/>
          <w:color w:val="auto"/>
          <w:sz w:val="20"/>
          <w:szCs w:val="20"/>
        </w:rPr>
        <w:t> Entregar o manual do usuário, com uma versão em português, e da relação da rede de assistência técnica autorizada, conforme o caso;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7.4.7.</w:t>
      </w:r>
      <w:r>
        <w:rPr>
          <w:rFonts w:asciiTheme="minorHAnsi" w:hAnsiTheme="minorHAnsi" w:eastAsiaTheme="minorEastAsia" w:cstheme="minorEastAsia"/>
          <w:color w:val="auto"/>
          <w:sz w:val="20"/>
          <w:szCs w:val="20"/>
        </w:rPr>
        <w:t>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que ficará autorizada a descontar dos pagamentos devidos ou da garantia, caso exigida no Edital, o valor correspondente aos danos sofridos;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7.4.8.</w:t>
      </w:r>
      <w:r>
        <w:rPr>
          <w:rFonts w:asciiTheme="minorHAnsi" w:hAnsiTheme="minorHAnsi" w:eastAsiaTheme="minorEastAsia" w:cstheme="minorEastAsia"/>
          <w:color w:val="auto"/>
          <w:sz w:val="20"/>
          <w:szCs w:val="20"/>
        </w:rPr>
        <w:t> Não transferir a outrem, no todo ou em parte, o objeto do </w:t>
      </w:r>
      <w:r>
        <w:rPr>
          <w:rFonts w:asciiTheme="minorHAnsi" w:hAnsiTheme="minorHAnsi" w:eastAsiaTheme="minorEastAsia" w:cstheme="minorEastAsia"/>
          <w:b/>
          <w:bCs/>
          <w:color w:val="auto"/>
          <w:sz w:val="20"/>
          <w:szCs w:val="20"/>
        </w:rPr>
        <w:t>CONTRATO, </w:t>
      </w:r>
      <w:r>
        <w:rPr>
          <w:rFonts w:asciiTheme="minorHAnsi" w:hAnsiTheme="minorHAnsi" w:eastAsiaTheme="minorEastAsia" w:cstheme="minorEastAsia"/>
          <w:color w:val="auto"/>
          <w:sz w:val="20"/>
          <w:szCs w:val="20"/>
        </w:rPr>
        <w:t>ressalvadas as hipóteses de subcontratação autorizada no Termo de Referência e neste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7.4.9.</w:t>
      </w:r>
      <w:r>
        <w:rPr>
          <w:rFonts w:asciiTheme="minorHAnsi" w:hAnsiTheme="minorHAnsi" w:eastAsiaTheme="minorEastAsia" w:cstheme="minorEastAsia"/>
          <w:color w:val="auto"/>
          <w:sz w:val="20"/>
          <w:szCs w:val="20"/>
        </w:rPr>
        <w:t> Comunicar à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em tempo hábil e por escrito, a superveniência de fatos que venham a prejudicar o adequado fornecimento dos bens, de modo a se viabilizar a correção da situação apresentada;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7.4.10. </w:t>
      </w:r>
      <w:r>
        <w:rPr>
          <w:rFonts w:asciiTheme="minorHAnsi" w:hAnsiTheme="minorHAnsi" w:eastAsiaTheme="minorEastAsia" w:cstheme="minorEastAsia"/>
          <w:color w:val="auto"/>
          <w:sz w:val="20"/>
          <w:szCs w:val="20"/>
        </w:rPr>
        <w:t>Designar preposto para representá-la perante a </w:t>
      </w:r>
      <w:r>
        <w:rPr>
          <w:rFonts w:asciiTheme="minorHAnsi" w:hAnsiTheme="minorHAnsi" w:eastAsiaTheme="minorEastAsia" w:cstheme="minorEastAsia"/>
          <w:b/>
          <w:bCs/>
          <w:color w:val="auto"/>
          <w:sz w:val="20"/>
          <w:szCs w:val="20"/>
        </w:rPr>
        <w:t>CONTRATANTE </w:t>
      </w:r>
      <w:r>
        <w:rPr>
          <w:rFonts w:asciiTheme="minorHAnsi" w:hAnsiTheme="minorHAnsi" w:eastAsiaTheme="minorEastAsia" w:cstheme="minorEastAsia"/>
          <w:color w:val="auto"/>
          <w:sz w:val="20"/>
          <w:szCs w:val="20"/>
        </w:rPr>
        <w:t>sempre que for necessário, indicando o respectivo telefone e e-mail para futuros contatos;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7.4.11.</w:t>
      </w:r>
      <w:r>
        <w:rPr>
          <w:rFonts w:asciiTheme="minorHAnsi" w:hAnsiTheme="minorHAnsi" w:eastAsiaTheme="minorEastAsia" w:cstheme="minorEastAsia"/>
          <w:color w:val="auto"/>
          <w:sz w:val="20"/>
          <w:szCs w:val="20"/>
        </w:rPr>
        <w:t> Prestar os necessários esclarecimentos sobre a execução do objeto contratual solicitados pela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no prazo máximo de 05 (cinco) dias úteis após o recebimento da solicitação;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7.4.12</w:t>
      </w:r>
      <w:r>
        <w:rPr>
          <w:rFonts w:asciiTheme="minorHAnsi" w:hAnsiTheme="minorHAnsi" w:eastAsiaTheme="minorEastAsia" w:cstheme="minorEastAsia"/>
          <w:color w:val="auto"/>
          <w:sz w:val="20"/>
          <w:szCs w:val="20"/>
        </w:rPr>
        <w:t>. Responsabilizar-se pelos encargos trabalhistas, previdenciários, fiscais e comerciais resultantes da execução do objeto, cuja inadimplência não transfere a responsabilidade à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e não poderá onerar o objeto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sendo que eventual pessoal alocado ao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não terá qualquer vínculo empregatício com 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7.4.13.</w:t>
      </w:r>
      <w:r>
        <w:rPr>
          <w:rFonts w:asciiTheme="minorHAnsi" w:hAnsiTheme="minorHAnsi" w:eastAsiaTheme="minorEastAsia" w:cstheme="minorEastAsia"/>
          <w:color w:val="auto"/>
          <w:sz w:val="20"/>
          <w:szCs w:val="20"/>
        </w:rPr>
        <w:t> Emitir documento fiscal com a discriminação expressa do percentual de isenção do ICMS, quando se tratar de operação abrangida pelo art. 63 do Anexo 7 do Decreto Estadual nº 44.650/17 (Convênio ICMS 73/04);</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7.4.14</w:t>
      </w:r>
      <w:r>
        <w:rPr>
          <w:rFonts w:asciiTheme="minorHAnsi" w:hAnsiTheme="minorHAnsi" w:eastAsiaTheme="minorEastAsia" w:cstheme="minorEastAsia"/>
          <w:color w:val="auto"/>
          <w:sz w:val="20"/>
          <w:szCs w:val="20"/>
        </w:rPr>
        <w:t>. Manter, durante o prazo de vigência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todas as condições de habilitação e qualificação exigidas na licitação, inclusive sua inscrição no CADFOR-PE;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7.4.15.</w:t>
      </w:r>
      <w:r>
        <w:rPr>
          <w:rFonts w:asciiTheme="minorHAnsi" w:hAnsiTheme="minorHAnsi" w:eastAsiaTheme="minorEastAsia" w:cstheme="minorEastAsia"/>
          <w:color w:val="auto"/>
          <w:sz w:val="20"/>
          <w:szCs w:val="20"/>
        </w:rPr>
        <w:t> Comprovar, quando for o caso, no início da execução contratual e sempre que solicitado pelo fiscal, a reserva de cargos prevista em lei para pessoa com deficiência, para reabilitado da Previdência Social e para aprendiz, durante toda a vigência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com a indicação dos empregados que preencheram as referidas vagas;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7.4.16.</w:t>
      </w:r>
      <w:r>
        <w:rPr>
          <w:rFonts w:asciiTheme="minorHAnsi" w:hAnsiTheme="minorHAnsi" w:eastAsiaTheme="minorEastAsia" w:cstheme="minorEastAsia"/>
          <w:color w:val="auto"/>
          <w:sz w:val="20"/>
          <w:szCs w:val="20"/>
        </w:rPr>
        <w:t> Guardar sigilo sobre todas as informações obtidas em decorrência do cumprimento do</w:t>
      </w:r>
      <w:r>
        <w:rPr>
          <w:rFonts w:asciiTheme="minorHAnsi" w:hAnsiTheme="minorHAnsi" w:eastAsiaTheme="minorEastAsia" w:cstheme="minorEastAsia"/>
          <w:b/>
          <w:bCs/>
          <w:color w:val="auto"/>
          <w:sz w:val="20"/>
          <w:szCs w:val="20"/>
        </w:rPr>
        <w:t> CONTRATO</w:t>
      </w:r>
      <w:r>
        <w:rPr>
          <w:rFonts w:asciiTheme="minorHAnsi" w:hAnsiTheme="minorHAnsi" w:eastAsiaTheme="minorEastAsia" w:cstheme="minorEastAsia"/>
          <w:color w:val="auto"/>
          <w:sz w:val="20"/>
          <w:szCs w:val="20"/>
        </w:rPr>
        <w:t> e cumprir a Lei nº 13.709, de 14 de agosto de 2018 (LGPD), quanto a todos os dados pessoais a que tenha acesso em razão do certame ou do contrato administrativo, independentemente de declaração ou de aceitação expressa;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7.4.17</w:t>
      </w:r>
      <w:r>
        <w:rPr>
          <w:rFonts w:asciiTheme="minorHAnsi" w:hAnsiTheme="minorHAnsi" w:eastAsiaTheme="minorEastAsia" w:cstheme="minorEastAsia"/>
          <w:color w:val="auto"/>
          <w:sz w:val="20"/>
          <w:szCs w:val="20"/>
        </w:rPr>
        <w:t>. Comunicar à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no prazo máximo de 05 (cinco) dias úteis, qualquer alteração no Contrato Social ou no endereço comercial;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7.4.18. </w:t>
      </w:r>
      <w:r>
        <w:rPr>
          <w:rFonts w:asciiTheme="minorHAnsi" w:hAnsiTheme="minorHAnsi" w:eastAsiaTheme="minorEastAsia" w:cstheme="minorEastAsia"/>
          <w:color w:val="auto"/>
          <w:sz w:val="20"/>
          <w:szCs w:val="20"/>
        </w:rPr>
        <w:t>Apresentar, suplementar ou estender a garantia de execução contratual, se exigível, no prazo assinalado no </w:t>
      </w:r>
      <w:r>
        <w:rPr>
          <w:rFonts w:asciiTheme="minorHAnsi" w:hAnsiTheme="minorHAnsi" w:eastAsiaTheme="minorEastAsia" w:cstheme="minorEastAsia"/>
          <w:b/>
          <w:bCs/>
          <w:color w:val="auto"/>
          <w:sz w:val="20"/>
          <w:szCs w:val="20"/>
        </w:rPr>
        <w:t>CONTRATO.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7.5. JUSTIFICATIVA PARA VEDAÇÃO DA SUBCONTRATAÇÃO DO OBJETO OU CONDIÇÕES PARA SUBCONTRATAÇÃO DO OBJETO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7.5.1.</w:t>
      </w:r>
      <w:r>
        <w:rPr>
          <w:rFonts w:asciiTheme="minorHAnsi" w:hAnsiTheme="minorHAnsi" w:eastAsiaTheme="minorEastAsia" w:cstheme="minorEastAsia"/>
          <w:color w:val="auto"/>
          <w:sz w:val="20"/>
          <w:szCs w:val="20"/>
        </w:rPr>
        <w:t xml:space="preserve"> Não será permitida a subcontratação de qualquer parcela do objeto da presente licitação, uma vez que em pesquisa ao mercado, foi constatado que o fornecimento do objeto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7.6 MODELO DE GESTÃO DO CONTRATO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7.6.1. </w:t>
      </w:r>
      <w:r>
        <w:rPr>
          <w:rFonts w:asciiTheme="minorHAnsi" w:hAnsiTheme="minorHAnsi" w:eastAsiaTheme="minorEastAsia" w:cstheme="minorEastAsia"/>
          <w:color w:val="auto"/>
          <w:sz w:val="20"/>
          <w:szCs w:val="20"/>
        </w:rPr>
        <w:t>As obrigações dos agentes responsáveis pela gestão e fiscalização da presente contratação estão detalhadas no Decreto Estadual nº 51.651/2021, bem como, serão dispostas abaixo: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7.6.1.1. </w:t>
      </w:r>
      <w:r>
        <w:rPr>
          <w:rFonts w:asciiTheme="minorHAnsi" w:hAnsiTheme="minorHAnsi" w:eastAsiaTheme="minorEastAsia" w:cstheme="minorEastAsia"/>
          <w:color w:val="auto"/>
          <w:sz w:val="20"/>
          <w:szCs w:val="20"/>
        </w:rPr>
        <w:t>A execução da presente contratação deverá ser fiscalizada pela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não excluindo nem reduzindo, por tal fato, a integral responsabilidade da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mesmo perante terceiros, por quaisquer irregularidades constatadas na execução do objeto contratado.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7.6.1.2. </w:t>
      </w:r>
      <w:r>
        <w:rPr>
          <w:rFonts w:asciiTheme="minorHAnsi" w:hAnsiTheme="minorHAnsi" w:eastAsiaTheme="minorEastAsia" w:cstheme="minorEastAsia"/>
          <w:color w:val="auto"/>
          <w:sz w:val="20"/>
          <w:szCs w:val="20"/>
        </w:rPr>
        <w:t>A </w:t>
      </w:r>
      <w:r>
        <w:rPr>
          <w:rFonts w:asciiTheme="minorHAnsi" w:hAnsiTheme="minorHAnsi" w:eastAsiaTheme="minorEastAsia" w:cstheme="minorEastAsia"/>
          <w:b/>
          <w:bCs/>
          <w:color w:val="auto"/>
          <w:sz w:val="20"/>
          <w:szCs w:val="20"/>
        </w:rPr>
        <w:t>CONTRATANTE </w:t>
      </w:r>
      <w:r>
        <w:rPr>
          <w:rFonts w:asciiTheme="minorHAnsi" w:hAnsiTheme="minorHAnsi" w:eastAsiaTheme="minorEastAsia" w:cstheme="minorEastAsia"/>
          <w:color w:val="auto"/>
          <w:sz w:val="20"/>
          <w:szCs w:val="20"/>
        </w:rPr>
        <w:t>designa CFARM/ DASIS - Centro Farmacêutico / Diretoria de Apoio Administrativo ao Sistema de Saúde da PMPE, como responsável pela fiscalização da contratação, que, dentre outras, terá as seguintes atribuições: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w:t>
      </w:r>
      <w:r>
        <w:rPr>
          <w:rFonts w:asciiTheme="minorHAnsi" w:hAnsiTheme="minorHAnsi" w:eastAsiaTheme="minorEastAsia" w:cstheme="minorEastAsia"/>
          <w:color w:val="auto"/>
          <w:sz w:val="20"/>
          <w:szCs w:val="20"/>
        </w:rPr>
        <w:t> Fiscalizar a regularidade e adequação do fornecimento;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b) </w:t>
      </w:r>
      <w:r>
        <w:rPr>
          <w:rFonts w:asciiTheme="minorHAnsi" w:hAnsiTheme="minorHAnsi" w:eastAsiaTheme="minorEastAsia" w:cstheme="minorEastAsia"/>
          <w:color w:val="auto"/>
          <w:sz w:val="20"/>
          <w:szCs w:val="20"/>
        </w:rPr>
        <w:t>Disponibilizar toda a infraestrutura necessária à entrega do objeto, conforme o caso, nas condições e prazos estabelecidos;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c) </w:t>
      </w:r>
      <w:r>
        <w:rPr>
          <w:rFonts w:asciiTheme="minorHAnsi" w:hAnsiTheme="minorHAnsi" w:eastAsiaTheme="minorEastAsia" w:cstheme="minorEastAsia"/>
          <w:color w:val="auto"/>
          <w:sz w:val="20"/>
          <w:szCs w:val="20"/>
        </w:rPr>
        <w:t>Verificar a conformidade dos bens fornecidos com as especificações contidas no Edital e seus anexos, recusando o fornecimento de objeto diverso, salvo quando de qualidade superior e devidamente aceito pela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 </w:t>
      </w:r>
      <w:r>
        <w:rPr>
          <w:rFonts w:asciiTheme="minorHAnsi" w:hAnsiTheme="minorHAnsi" w:eastAsiaTheme="minorEastAsia" w:cstheme="minorEastAsia"/>
          <w:color w:val="auto"/>
          <w:sz w:val="20"/>
          <w:szCs w:val="20"/>
        </w:rPr>
        <w:t>Receber o objeto contratual e atestar as respectivas faturas e notas fiscais, encaminhando-as ao gestor da contratação para pagamento;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w:t>
      </w:r>
      <w:r>
        <w:rPr>
          <w:rFonts w:asciiTheme="minorHAnsi" w:hAnsiTheme="minorHAnsi" w:eastAsiaTheme="minorEastAsia" w:cstheme="minorEastAsia"/>
          <w:color w:val="auto"/>
          <w:sz w:val="20"/>
          <w:szCs w:val="20"/>
        </w:rPr>
        <w:t> Registrar no histórico de execução do objeto todas as ocorrências que possam interferir no adequado andamento da contratação, notificando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para determinar as medidas e os prazos necessários à regularização das faltas ou dos defeitos observados;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f)</w:t>
      </w:r>
      <w:r>
        <w:rPr>
          <w:rFonts w:asciiTheme="minorHAnsi" w:hAnsiTheme="minorHAnsi" w:eastAsiaTheme="minorEastAsia" w:cstheme="minorEastAsia"/>
          <w:color w:val="auto"/>
          <w:sz w:val="20"/>
          <w:szCs w:val="20"/>
        </w:rPr>
        <w:t> Comunicar por escrito ao gestor a necessidade de alterações do quantitativo do objeto ou a modificação da forma de sua execução, em razão de fato superveniente, bem como eventuais irregularidades cometidas pela </w:t>
      </w:r>
      <w:r>
        <w:rPr>
          <w:rFonts w:asciiTheme="minorHAnsi" w:hAnsiTheme="minorHAnsi" w:eastAsiaTheme="minorEastAsia" w:cstheme="minorEastAsia"/>
          <w:b/>
          <w:bCs/>
          <w:color w:val="auto"/>
          <w:sz w:val="20"/>
          <w:szCs w:val="20"/>
        </w:rPr>
        <w:t>CONTRATADA </w:t>
      </w:r>
      <w:r>
        <w:rPr>
          <w:rFonts w:asciiTheme="minorHAnsi" w:hAnsiTheme="minorHAnsi" w:eastAsiaTheme="minorEastAsia" w:cstheme="minorEastAsia"/>
          <w:color w:val="auto"/>
          <w:sz w:val="20"/>
          <w:szCs w:val="20"/>
        </w:rPr>
        <w:t>que exijam decisão ou providências que ultrapassem a sua competência;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g)</w:t>
      </w:r>
      <w:r>
        <w:rPr>
          <w:rFonts w:asciiTheme="minorHAnsi" w:hAnsiTheme="minorHAnsi" w:eastAsiaTheme="minorEastAsia" w:cstheme="minorEastAsia"/>
          <w:color w:val="auto"/>
          <w:sz w:val="20"/>
          <w:szCs w:val="20"/>
        </w:rPr>
        <w:t> Comunicar imediatamente ao gestor as ocorrências que possam inviabilizar a execução da contratação nas datas pactuadas, com vistas à atualização do cronograma;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h)</w:t>
      </w:r>
      <w:r>
        <w:rPr>
          <w:rFonts w:asciiTheme="minorHAnsi" w:hAnsiTheme="minorHAnsi" w:eastAsiaTheme="minorEastAsia" w:cstheme="minorEastAsia"/>
          <w:color w:val="auto"/>
          <w:sz w:val="20"/>
          <w:szCs w:val="20"/>
        </w:rPr>
        <w:t>Comunicar por escrito ao gestor da contratação as faltas cometidas pela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que sejam passíveis de aplicação de penalidade.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7.6.1.3. </w:t>
      </w:r>
      <w:r>
        <w:rPr>
          <w:rFonts w:asciiTheme="minorHAnsi" w:hAnsiTheme="minorHAnsi" w:eastAsiaTheme="minorEastAsia" w:cstheme="minorEastAsia"/>
          <w:color w:val="auto"/>
          <w:sz w:val="20"/>
          <w:szCs w:val="20"/>
        </w:rPr>
        <w:t>A </w:t>
      </w:r>
      <w:r>
        <w:rPr>
          <w:rFonts w:asciiTheme="minorHAnsi" w:hAnsiTheme="minorHAnsi" w:eastAsiaTheme="minorEastAsia" w:cstheme="minorEastAsia"/>
          <w:b/>
          <w:bCs/>
          <w:color w:val="auto"/>
          <w:sz w:val="20"/>
          <w:szCs w:val="20"/>
        </w:rPr>
        <w:t>CONTRATANTE </w:t>
      </w:r>
      <w:r>
        <w:rPr>
          <w:rFonts w:asciiTheme="minorHAnsi" w:hAnsiTheme="minorHAnsi" w:eastAsiaTheme="minorEastAsia" w:cstheme="minorEastAsia"/>
          <w:color w:val="auto"/>
          <w:sz w:val="20"/>
          <w:szCs w:val="20"/>
        </w:rPr>
        <w:t>designa CFARM/ DASIS - Centro Farmacêutico / Diretoria de Apoio Administrativo ao Sistema de Saúde da PMPE como  responsável pela gestão do objeto, que, dentre outras, terá as seguintes atribuições: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w:t>
      </w:r>
      <w:r>
        <w:rPr>
          <w:rFonts w:asciiTheme="minorHAnsi" w:hAnsiTheme="minorHAnsi" w:eastAsiaTheme="minorEastAsia" w:cstheme="minorEastAsia"/>
          <w:color w:val="auto"/>
          <w:sz w:val="20"/>
          <w:szCs w:val="20"/>
        </w:rPr>
        <w:t> coordenar e atualizar o processo de acompanhamento e fiscalização da contratação, elaborando relatórios, quando for o caso, e promovendo os registros formais no histórico de gerenciamento de todas as ocorrências relacionadas a alterações e prorrogações contratadas;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b)</w:t>
      </w:r>
      <w:r>
        <w:rPr>
          <w:rFonts w:asciiTheme="minorHAnsi" w:hAnsiTheme="minorHAnsi" w:eastAsiaTheme="minorEastAsia" w:cstheme="minorEastAsia"/>
          <w:color w:val="auto"/>
          <w:sz w:val="20"/>
          <w:szCs w:val="20"/>
        </w:rPr>
        <w:t> Acompanhar e observar o cumprimento das obrigações da Contratante e Contratada, bem como os registros realizados pelo fiscal acerca de todas as ocorrências relacionadas à execução do fornecimento e as medidas adotadas, informando, se for o caso, à autoridade superior àquelas que ultrapassarem a sua competência;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c)</w:t>
      </w:r>
      <w:r>
        <w:rPr>
          <w:rFonts w:asciiTheme="minorHAnsi" w:hAnsiTheme="minorHAnsi" w:eastAsiaTheme="minorEastAsia" w:cstheme="minorEastAsia"/>
          <w:color w:val="auto"/>
          <w:sz w:val="20"/>
          <w:szCs w:val="20"/>
        </w:rPr>
        <w:t> Solicitar abertura de processo administrativo visando à aplicação de penalidade cabível, garantindo a defesa prévia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w:t>
      </w:r>
      <w:r>
        <w:rPr>
          <w:rFonts w:asciiTheme="minorHAnsi" w:hAnsiTheme="minorHAnsi" w:eastAsiaTheme="minorEastAsia" w:cstheme="minorEastAsia"/>
          <w:color w:val="auto"/>
          <w:sz w:val="20"/>
          <w:szCs w:val="20"/>
        </w:rPr>
        <w:t> Propor aplicação de sanções administrativas pelo descumprimento das obrigações apontadas pelos fiscais da Contratação;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w:t>
      </w:r>
      <w:r>
        <w:rPr>
          <w:rFonts w:asciiTheme="minorHAnsi" w:hAnsiTheme="minorHAnsi" w:eastAsiaTheme="minorEastAsia" w:cstheme="minorEastAsia"/>
          <w:color w:val="auto"/>
          <w:sz w:val="20"/>
          <w:szCs w:val="20"/>
        </w:rPr>
        <w:t> Providenciar o pagamento das notas fiscais/faturas emitidas pela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mediante a observância das exigências contratadas e legais;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f)</w:t>
      </w:r>
      <w:r>
        <w:rPr>
          <w:rFonts w:asciiTheme="minorHAnsi" w:hAnsiTheme="minorHAnsi" w:eastAsiaTheme="minorEastAsia" w:cstheme="minorEastAsia"/>
          <w:color w:val="auto"/>
          <w:sz w:val="20"/>
          <w:szCs w:val="20"/>
        </w:rPr>
        <w:t> Manter controle atualizado dos pagamentos efetuados, observando que o valor contratado não seja ultrapassado.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7.6.2</w:t>
      </w:r>
      <w:r>
        <w:rPr>
          <w:rFonts w:asciiTheme="minorHAnsi" w:hAnsiTheme="minorHAnsi" w:eastAsiaTheme="minorEastAsia" w:cstheme="minorEastAsia"/>
          <w:color w:val="auto"/>
          <w:sz w:val="20"/>
          <w:szCs w:val="20"/>
        </w:rPr>
        <w:t>. A comunicação entre a Contratante e a Contratada se dará por meio eletrônico, telefônico e presencial,sem prejuízo de outros meios disponíveis.7.6.3.</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7.6.3. </w:t>
      </w:r>
      <w:r>
        <w:rPr>
          <w:rFonts w:asciiTheme="minorHAnsi" w:hAnsiTheme="minorHAnsi" w:eastAsiaTheme="minorEastAsia" w:cstheme="minorEastAsia"/>
          <w:color w:val="auto"/>
          <w:sz w:val="20"/>
          <w:szCs w:val="20"/>
        </w:rPr>
        <w:t>A contratada deverá apresentar a Nota Fiscal ou fatura para atesto da Administração no seguinte endereço: </w:t>
      </w:r>
      <w:r>
        <w:rPr>
          <w:rStyle w:val="4"/>
          <w:rFonts w:asciiTheme="minorHAnsi" w:hAnsiTheme="minorHAnsi" w:eastAsiaTheme="minorEastAsia" w:cstheme="minorEastAsia"/>
          <w:color w:val="auto"/>
          <w:sz w:val="20"/>
          <w:szCs w:val="20"/>
        </w:rPr>
        <w:t>Rua Betânia, S/N, térreo, Derby, Recife-PE. CEP: 52.010-170 - DIRETORIA DE APOIO AO SISTEMA DE SAÚDE DA PMPE –DASI</w:t>
      </w:r>
      <w:r>
        <w:rPr>
          <w:rFonts w:asciiTheme="minorHAnsi" w:hAnsiTheme="minorHAnsi" w:eastAsiaTheme="minorEastAsia" w:cstheme="minorEastAsia"/>
          <w:color w:val="auto"/>
          <w:sz w:val="20"/>
          <w:szCs w:val="20"/>
        </w:rPr>
        <w:t>S, bem como no e-mail: </w:t>
      </w:r>
      <w:r>
        <w:rPr>
          <w:rStyle w:val="4"/>
          <w:rFonts w:asciiTheme="minorHAnsi" w:hAnsiTheme="minorHAnsi" w:eastAsiaTheme="minorEastAsia" w:cstheme="minorEastAsia"/>
          <w:color w:val="auto"/>
          <w:sz w:val="20"/>
          <w:szCs w:val="20"/>
        </w:rPr>
        <w:t>centraldecomprascfarm@gmail.com. </w:t>
      </w:r>
    </w:p>
    <w:p>
      <w:pPr>
        <w:pStyle w:val="14"/>
        <w:spacing w:before="0" w:beforeAutospacing="0" w:after="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8. </w:t>
      </w:r>
      <w:r>
        <w:rPr>
          <w:rFonts w:asciiTheme="minorHAnsi" w:hAnsiTheme="minorHAnsi" w:eastAsiaTheme="minorEastAsia" w:cstheme="minorEastAsia"/>
          <w:b/>
          <w:bCs/>
          <w:color w:val="auto"/>
          <w:sz w:val="20"/>
          <w:szCs w:val="20"/>
        </w:rPr>
        <w:t>DOS CRITÉRIOS E PRAZOS PARA PAGAMENTO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8.1.</w:t>
      </w:r>
      <w:r>
        <w:rPr>
          <w:rFonts w:asciiTheme="minorHAnsi" w:hAnsiTheme="minorHAnsi" w:eastAsiaTheme="minorEastAsia" w:cstheme="minorEastAsia"/>
          <w:color w:val="auto"/>
          <w:sz w:val="20"/>
          <w:szCs w:val="20"/>
        </w:rPr>
        <w:t> O pagamento será feito diretamente pela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no prazo de até 30 (trinta) dias, por meio de ordem bancária para crédito em conta corrente da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à vista de termo de recebimento definitivo dos bens acompanhado dos documentos de comprovação da regularidade fiscal e trabalhista e da apresentação da fatura e da nota fiscal ou documento de cobrança equivalente, devidamente atestados pelo fiscal do </w:t>
      </w:r>
      <w:r>
        <w:rPr>
          <w:rFonts w:asciiTheme="minorHAnsi" w:hAnsiTheme="minorHAnsi" w:eastAsiaTheme="minorEastAsia" w:cstheme="minorEastAsia"/>
          <w:b/>
          <w:bCs/>
          <w:color w:val="auto"/>
          <w:sz w:val="20"/>
          <w:szCs w:val="20"/>
        </w:rPr>
        <w:t>CONTRATO.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8.2. </w:t>
      </w:r>
      <w:r>
        <w:rPr>
          <w:rFonts w:asciiTheme="minorHAnsi" w:hAnsiTheme="minorHAnsi" w:eastAsiaTheme="minorEastAsia" w:cstheme="minorEastAsia"/>
          <w:color w:val="auto"/>
          <w:sz w:val="20"/>
          <w:szCs w:val="20"/>
        </w:rPr>
        <w:t>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8.3.</w:t>
      </w:r>
      <w:r>
        <w:rPr>
          <w:rFonts w:asciiTheme="minorHAnsi" w:hAnsiTheme="minorHAnsi" w:eastAsiaTheme="minorEastAsia" w:cstheme="minorEastAsia"/>
          <w:color w:val="auto"/>
          <w:sz w:val="20"/>
          <w:szCs w:val="20"/>
        </w:rPr>
        <w:t> Quando não for possível verificar diretamente no CADFOR-PE, a regularidade fiscal e trabalhista da </w:t>
      </w:r>
      <w:r>
        <w:rPr>
          <w:rFonts w:asciiTheme="minorHAnsi" w:hAnsiTheme="minorHAnsi" w:eastAsiaTheme="minorEastAsia" w:cstheme="minorEastAsia"/>
          <w:b/>
          <w:bCs/>
          <w:color w:val="auto"/>
          <w:sz w:val="20"/>
          <w:szCs w:val="20"/>
        </w:rPr>
        <w:t>CONTRATADA </w:t>
      </w:r>
      <w:r>
        <w:rPr>
          <w:rFonts w:asciiTheme="minorHAnsi" w:hAnsiTheme="minorHAnsi" w:eastAsiaTheme="minorEastAsia" w:cstheme="minorEastAsia"/>
          <w:color w:val="auto"/>
          <w:sz w:val="20"/>
          <w:szCs w:val="20"/>
        </w:rPr>
        <w:t>será comprovada mediante a apresentação das seguintes certidões: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w:t>
      </w:r>
      <w:r>
        <w:rPr>
          <w:rFonts w:asciiTheme="minorHAnsi" w:hAnsiTheme="minorHAnsi" w:eastAsiaTheme="minorEastAsia" w:cstheme="minorEastAsia"/>
          <w:color w:val="auto"/>
          <w:sz w:val="20"/>
          <w:szCs w:val="20"/>
        </w:rPr>
        <w:t xml:space="preserve"> Certidão Negativa de Débitos relativos a Créditos Tributários Federais e à Dívida Ativa da União (CND);</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b)</w:t>
      </w:r>
      <w:r>
        <w:rPr>
          <w:rFonts w:asciiTheme="minorHAnsi" w:hAnsiTheme="minorHAnsi" w:eastAsiaTheme="minorEastAsia" w:cstheme="minorEastAsia"/>
          <w:color w:val="auto"/>
          <w:sz w:val="20"/>
          <w:szCs w:val="20"/>
        </w:rPr>
        <w:t xml:space="preserve"> Certidões que comprovem a regularidade perante as Fazendas Estadual ou Distrital do domicílio ou sede da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 xml:space="preserve">c) </w:t>
      </w:r>
      <w:r>
        <w:rPr>
          <w:rFonts w:asciiTheme="minorHAnsi" w:hAnsiTheme="minorHAnsi" w:eastAsiaTheme="minorEastAsia" w:cstheme="minorEastAsia"/>
          <w:color w:val="auto"/>
          <w:sz w:val="20"/>
          <w:szCs w:val="20"/>
        </w:rPr>
        <w:t>Certidão de Regularidade do FGTS (CRF); 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w:t>
      </w:r>
      <w:r>
        <w:rPr>
          <w:rFonts w:asciiTheme="minorHAnsi" w:hAnsiTheme="minorHAnsi" w:eastAsiaTheme="minorEastAsia" w:cstheme="minorEastAsia"/>
          <w:color w:val="auto"/>
          <w:sz w:val="20"/>
          <w:szCs w:val="20"/>
        </w:rPr>
        <w:t xml:space="preserve"> Certidão Negativa de Débitos Trabalhistas (CNDT).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8.4.</w:t>
      </w:r>
      <w:r>
        <w:rPr>
          <w:rFonts w:asciiTheme="minorHAnsi" w:hAnsiTheme="minorHAnsi" w:eastAsiaTheme="minorEastAsia" w:cstheme="minorEastAsia"/>
          <w:color w:val="auto"/>
          <w:sz w:val="20"/>
          <w:szCs w:val="20"/>
        </w:rPr>
        <w:t> Caso não seja(m) apresentado(s) quaisquer dos documentos de regularidade ou os documentos encaminhados contenham pendências,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terá 10 (dez) dias para sanar a ausência identificada, prazo em que o pagamento correspondente ao mês em referência ficará suspenso.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8.5.</w:t>
      </w:r>
      <w:r>
        <w:rPr>
          <w:rFonts w:asciiTheme="minorHAnsi" w:hAnsiTheme="minorHAnsi" w:eastAsiaTheme="minorEastAsia" w:cstheme="minorEastAsia"/>
          <w:color w:val="auto"/>
          <w:sz w:val="20"/>
          <w:szCs w:val="20"/>
        </w:rPr>
        <w:t> Caso não seja sanada a pendência no prazo estipulado, estará configurada a não manutenção das condições de habilitação pela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devendo 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instaurar processo administrativo para extinção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e comunicar aos órgãos de fiscalização da regularidade fiscal quanto à inadimplência da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sem prejuízo da retomada dos pagamentos pelos fornecimentos efetivamente executados.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8.6.</w:t>
      </w:r>
      <w:r>
        <w:rPr>
          <w:rFonts w:asciiTheme="minorHAnsi" w:hAnsiTheme="minorHAnsi" w:eastAsiaTheme="minorEastAsia" w:cstheme="minorEastAsia"/>
          <w:color w:val="auto"/>
          <w:sz w:val="20"/>
          <w:szCs w:val="20"/>
        </w:rPr>
        <w:t> Havendo erro na apresentação da Nota Fiscal/Fatura, ou circunstância que impeça a liquidação da despesa, esta ficará sobrestada até que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providencie as medidas saneadoras.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8.7.</w:t>
      </w:r>
      <w:r>
        <w:rPr>
          <w:rFonts w:asciiTheme="minorHAnsi" w:hAnsiTheme="minorHAnsi" w:eastAsiaTheme="minorEastAsia" w:cstheme="minorEastAsia"/>
          <w:color w:val="auto"/>
          <w:sz w:val="20"/>
          <w:szCs w:val="20"/>
        </w:rPr>
        <w:t>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8.8.</w:t>
      </w:r>
      <w:r>
        <w:rPr>
          <w:rFonts w:asciiTheme="minorHAnsi" w:hAnsiTheme="minorHAnsi" w:eastAsiaTheme="minorEastAsia" w:cstheme="minorEastAsia"/>
          <w:color w:val="auto"/>
          <w:sz w:val="20"/>
          <w:szCs w:val="20"/>
        </w:rPr>
        <w:t> Quando do pagamento, deverá ser efetuada a retenção do imposto sobre a renda, nos termos previstos na Instrução Normativa RFB nº 1.234/2012, e alterações posteriores, ou em norma que venha a substituí-la, além de outras retenções previstas na legislação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tributária aplicável.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8.9.</w:t>
      </w:r>
      <w:r>
        <w:rPr>
          <w:rFonts w:asciiTheme="minorHAnsi" w:hAnsiTheme="minorHAnsi" w:eastAsiaTheme="minorEastAsia" w:cstheme="minorEastAsia"/>
          <w:color w:val="auto"/>
          <w:sz w:val="20"/>
          <w:szCs w:val="20"/>
        </w:rPr>
        <w:t> A </w:t>
      </w:r>
      <w:r>
        <w:rPr>
          <w:rFonts w:asciiTheme="minorHAnsi" w:hAnsiTheme="minorHAnsi" w:eastAsiaTheme="minorEastAsia" w:cstheme="minorEastAsia"/>
          <w:b/>
          <w:bCs/>
          <w:color w:val="auto"/>
          <w:sz w:val="20"/>
          <w:szCs w:val="20"/>
        </w:rPr>
        <w:t>CONTRATADA </w:t>
      </w:r>
      <w:r>
        <w:rPr>
          <w:rFonts w:asciiTheme="minorHAnsi" w:hAnsiTheme="minorHAnsi" w:eastAsiaTheme="minorEastAsia" w:cstheme="minorEastAsia"/>
          <w:color w:val="auto"/>
          <w:sz w:val="20"/>
          <w:szCs w:val="20"/>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8.10.</w:t>
      </w:r>
      <w:r>
        <w:rPr>
          <w:rFonts w:asciiTheme="minorHAnsi" w:hAnsiTheme="minorHAnsi" w:eastAsiaTheme="minorEastAsia" w:cstheme="minorEastAsia"/>
          <w:color w:val="auto"/>
          <w:sz w:val="20"/>
          <w:szCs w:val="20"/>
        </w:rPr>
        <w:t> Nos casos de eventuais atrasos de pagamento, verificados por culpa única e exclusiva da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a taxa de atualização financeira sobre os valores devidos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será calculada mediante a aplicação da seguinte fórmula:</w:t>
      </w:r>
    </w:p>
    <w:tbl>
      <w:tblPr>
        <w:tblStyle w:val="3"/>
        <w:tblW w:w="0" w:type="auto"/>
        <w:tblCellSpacing w:w="15" w:type="dxa"/>
        <w:tblInd w:w="0" w:type="dxa"/>
        <w:tblLayout w:type="autofit"/>
        <w:tblCellMar>
          <w:top w:w="15" w:type="dxa"/>
          <w:left w:w="15" w:type="dxa"/>
          <w:bottom w:w="15" w:type="dxa"/>
          <w:right w:w="15" w:type="dxa"/>
        </w:tblCellMar>
      </w:tblPr>
      <w:tblGrid>
        <w:gridCol w:w="1567"/>
      </w:tblGrid>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spacing w:before="120" w:beforeAutospacing="0" w:after="120"/>
              <w:ind w:left="120" w:right="120"/>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EM = I x N x VP</w:t>
            </w:r>
          </w:p>
        </w:tc>
      </w:tr>
    </w:tbl>
    <w:p>
      <w:pPr>
        <w:pStyle w:val="14"/>
        <w:spacing w:before="120" w:beforeAutospacing="0" w:after="120"/>
        <w:ind w:left="120" w:right="12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Onde:</w:t>
      </w:r>
    </w:p>
    <w:tbl>
      <w:tblPr>
        <w:tblStyle w:val="3"/>
        <w:tblW w:w="0" w:type="auto"/>
        <w:tblCellSpacing w:w="15" w:type="dxa"/>
        <w:tblInd w:w="0" w:type="dxa"/>
        <w:tblLayout w:type="autofit"/>
        <w:tblCellMar>
          <w:top w:w="15" w:type="dxa"/>
          <w:left w:w="15" w:type="dxa"/>
          <w:bottom w:w="15" w:type="dxa"/>
          <w:right w:w="15" w:type="dxa"/>
        </w:tblCellMar>
      </w:tblPr>
      <w:tblGrid>
        <w:gridCol w:w="557"/>
        <w:gridCol w:w="6956"/>
      </w:tblGrid>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SIGLA</w:t>
            </w:r>
          </w:p>
        </w:tc>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SIGNIFICADO/ DESCRIÇÃO</w:t>
            </w:r>
          </w:p>
        </w:tc>
      </w:tr>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EM</w:t>
            </w:r>
          </w:p>
        </w:tc>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Encargos Moratórios</w:t>
            </w:r>
          </w:p>
        </w:tc>
      </w:tr>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N</w:t>
            </w:r>
          </w:p>
        </w:tc>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Número de dias entre a data prevista para o pagamento e a do efetivo pagamento.</w:t>
            </w:r>
          </w:p>
        </w:tc>
      </w:tr>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VP</w:t>
            </w:r>
          </w:p>
        </w:tc>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Valor da parcela a se paga.</w:t>
            </w:r>
          </w:p>
        </w:tc>
      </w:tr>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TX</w:t>
            </w:r>
          </w:p>
        </w:tc>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IPCA</w:t>
            </w:r>
          </w:p>
        </w:tc>
      </w:tr>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w:t>
            </w:r>
          </w:p>
        </w:tc>
        <w:tc>
          <w:tcPr>
            <w:tcW w:w="0" w:type="auto"/>
            <w:shd w:val="clear" w:color="auto" w:fill="auto"/>
            <w:vAlign w:val="center"/>
          </w:tcPr>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Índice de atualização financeira, assim apurado:</w:t>
            </w:r>
          </w:p>
          <w:p>
            <w:pPr>
              <w:pStyle w:val="14"/>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 = </w:t>
            </w:r>
            <w:r>
              <w:rPr>
                <w:rFonts w:asciiTheme="minorHAnsi" w:hAnsiTheme="minorHAnsi" w:eastAsiaTheme="minorEastAsia" w:cstheme="minorEastAsia"/>
                <w:b/>
                <w:bCs/>
                <w:i/>
                <w:iCs/>
                <w:color w:val="auto"/>
                <w:sz w:val="20"/>
                <w:szCs w:val="20"/>
              </w:rPr>
              <w:t>(TX100)365</w:t>
            </w:r>
            <w:r>
              <w:rPr>
                <w:rFonts w:asciiTheme="minorHAnsi" w:hAnsiTheme="minorHAnsi" w:eastAsiaTheme="minorEastAsia" w:cstheme="minorEastAsia"/>
                <w:color w:val="auto"/>
                <w:sz w:val="20"/>
                <w:szCs w:val="20"/>
              </w:rPr>
              <w:drawing>
                <wp:inline distT="0" distB="0" distL="114300" distR="114300">
                  <wp:extent cx="247650" cy="333375"/>
                  <wp:effectExtent l="0" t="0" r="0" b="9525"/>
                  <wp:docPr id="1" name="Imagem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MG_256"/>
                          <pic:cNvPicPr>
                            <a:picLocks noChangeAspect="1"/>
                          </pic:cNvPicPr>
                        </pic:nvPicPr>
                        <pic:blipFill>
                          <a:blip r:embed="rId10"/>
                          <a:stretch>
                            <a:fillRect/>
                          </a:stretch>
                        </pic:blipFill>
                        <pic:spPr>
                          <a:xfrm>
                            <a:off x="0" y="0"/>
                            <a:ext cx="247650" cy="333375"/>
                          </a:xfrm>
                          <a:prstGeom prst="rect">
                            <a:avLst/>
                          </a:prstGeom>
                          <a:noFill/>
                          <a:ln w="9525">
                            <a:noFill/>
                          </a:ln>
                        </pic:spPr>
                      </pic:pic>
                    </a:graphicData>
                  </a:graphic>
                </wp:inline>
              </w:drawing>
            </w:r>
          </w:p>
        </w:tc>
      </w:tr>
    </w:tbl>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8.11.</w:t>
      </w:r>
      <w:r>
        <w:rPr>
          <w:rFonts w:asciiTheme="minorHAnsi" w:hAnsiTheme="minorHAnsi" w:eastAsiaTheme="minorEastAsia" w:cstheme="minorEastAsia"/>
          <w:color w:val="auto"/>
          <w:sz w:val="20"/>
          <w:szCs w:val="20"/>
        </w:rPr>
        <w:t> A atualização financeira será incluída na Nota Fiscal/Fatura do mês seguinte ao da ocorrência.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9. DAS SANÇÕES GERAIS E ESPECÍFICAS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9.1. SANÇÕES A SEREM APLICADAS NA FASE DE LICITAÇÃO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9.1.1. </w:t>
      </w:r>
      <w:r>
        <w:rPr>
          <w:rFonts w:asciiTheme="minorHAnsi" w:hAnsiTheme="minorHAnsi" w:eastAsiaTheme="minorEastAsia" w:cstheme="minorEastAsia"/>
          <w:color w:val="auto"/>
          <w:sz w:val="20"/>
          <w:szCs w:val="20"/>
        </w:rPr>
        <w:t>As disposições sobre sanções administrativas aplicáveis durante a licitação e aquelas praticadas no período situado entre a adjudicação e a assinatura da ata serão previstas no Edital do presente certame.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9.2. </w:t>
      </w:r>
      <w:r>
        <w:rPr>
          <w:rStyle w:val="4"/>
          <w:rFonts w:asciiTheme="minorHAnsi" w:hAnsiTheme="minorHAnsi" w:eastAsiaTheme="minorEastAsia" w:cstheme="minorEastAsia"/>
          <w:color w:val="auto"/>
          <w:sz w:val="20"/>
          <w:szCs w:val="20"/>
        </w:rPr>
        <w:t>SANÇÕES A SEREM APLICADAS NA EXECUÇÃO DA ATA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9.2.1.</w:t>
      </w:r>
      <w:r>
        <w:rPr>
          <w:rFonts w:asciiTheme="minorHAnsi" w:hAnsiTheme="minorHAnsi" w:eastAsiaTheme="minorEastAsia" w:cstheme="minorEastAsia"/>
          <w:color w:val="auto"/>
          <w:sz w:val="20"/>
          <w:szCs w:val="20"/>
        </w:rPr>
        <w:t>As disposições sobre sanções administrativas aplicáveis em relação à detentora da ata de registro de preços estarão previstas na Minuta da Ata, anexo do Edital do presente certame.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9.3. DAS SANÇÕES A SEREM APLICADAS DURANTE A CONTRATAÇÃO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9.3.1</w:t>
      </w:r>
      <w:r>
        <w:rPr>
          <w:rFonts w:asciiTheme="minorHAnsi" w:hAnsiTheme="minorHAnsi" w:eastAsiaTheme="minorEastAsia" w:cstheme="minorEastAsia"/>
          <w:color w:val="auto"/>
          <w:sz w:val="20"/>
          <w:szCs w:val="20"/>
        </w:rPr>
        <w:t>. As penalidades relativas a infrações cometidas no curso da contratação serão devidamente consignadas na consignadas na ordem de fornecimento, anexa ao Edital do presente certame.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bl>
      <w:tblPr>
        <w:tblStyle w:val="3"/>
        <w:tblW w:w="0" w:type="auto"/>
        <w:jc w:val="center"/>
        <w:tblCellSpacing w:w="15" w:type="dxa"/>
        <w:tblLayout w:type="autofit"/>
        <w:tblCellMar>
          <w:top w:w="15" w:type="dxa"/>
          <w:left w:w="15" w:type="dxa"/>
          <w:bottom w:w="15" w:type="dxa"/>
          <w:right w:w="15" w:type="dxa"/>
        </w:tblCellMar>
      </w:tblPr>
      <w:tblGrid>
        <w:gridCol w:w="2790"/>
        <w:gridCol w:w="1755"/>
      </w:tblGrid>
      <w:tr>
        <w:tblPrEx>
          <w:tblCellMar>
            <w:top w:w="15" w:type="dxa"/>
            <w:left w:w="15" w:type="dxa"/>
            <w:bottom w:w="15" w:type="dxa"/>
            <w:right w:w="15" w:type="dxa"/>
          </w:tblCellMar>
        </w:tblPrEx>
        <w:trPr>
          <w:tblCellSpacing w:w="15" w:type="dxa"/>
          <w:jc w:val="center"/>
        </w:trPr>
        <w:tc>
          <w:tcPr>
            <w:tcW w:w="274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pStyle w:val="14"/>
              <w:spacing w:after="135"/>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VERSÃO DO MODELO SAD</w:t>
            </w:r>
          </w:p>
        </w:tc>
        <w:tc>
          <w:tcPr>
            <w:tcW w:w="1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pStyle w:val="14"/>
              <w:spacing w:after="135"/>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DATA</w:t>
            </w:r>
          </w:p>
        </w:tc>
      </w:tr>
      <w:tr>
        <w:tblPrEx>
          <w:tblCellMar>
            <w:top w:w="15" w:type="dxa"/>
            <w:left w:w="15" w:type="dxa"/>
            <w:bottom w:w="15" w:type="dxa"/>
            <w:right w:w="15" w:type="dxa"/>
          </w:tblCellMar>
        </w:tblPrEx>
        <w:trPr>
          <w:tblCellSpacing w:w="15" w:type="dxa"/>
          <w:jc w:val="center"/>
        </w:trPr>
        <w:tc>
          <w:tcPr>
            <w:tcW w:w="274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pStyle w:val="14"/>
              <w:spacing w:after="135"/>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v. 05</w:t>
            </w:r>
          </w:p>
        </w:tc>
        <w:tc>
          <w:tcPr>
            <w:tcW w:w="1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pStyle w:val="14"/>
              <w:spacing w:after="135"/>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05/02/2024</w:t>
            </w:r>
          </w:p>
        </w:tc>
      </w:tr>
    </w:tbl>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ANEXOS DO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Anexo A – Modelo de ordem de fornecimento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Anexo B – Modelo de proposta</w:t>
      </w:r>
    </w:p>
    <w:p>
      <w:pPr>
        <w:pStyle w:val="14"/>
        <w:spacing w:before="120" w:beforeAutospacing="0" w:after="120"/>
        <w:ind w:left="120" w:right="12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3270"/>
        <w:jc w:val="center"/>
        <w:rPr>
          <w:rFonts w:asciiTheme="minorHAnsi" w:hAnsiTheme="minorHAnsi" w:eastAsiaTheme="minorEastAsia" w:cstheme="minorEastAsia"/>
          <w:color w:val="auto"/>
          <w:sz w:val="20"/>
          <w:szCs w:val="20"/>
        </w:rPr>
      </w:pPr>
      <w:r>
        <w:rPr>
          <w:rStyle w:val="4"/>
          <w:rFonts w:asciiTheme="minorHAnsi" w:hAnsiTheme="minorHAnsi" w:eastAsiaTheme="minorEastAsia" w:cstheme="minorEastAsia"/>
          <w:color w:val="auto"/>
          <w:sz w:val="20"/>
          <w:szCs w:val="20"/>
        </w:rPr>
        <w:t>Recife - PE, 22 de Abril de 2024</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___________________________________</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Lívia Maria Miranda CRF/PE: 5585</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Farmacêutica Responsável pela Elaboração do TR</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SETOR MEDICAMENTOS - CFARM</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_____________________________________________</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ROGÉRIO REIS PEREIRA DA SILVA- MAJ. QOPM</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AUTORIDADE COMPETENTE DO SETOR DEMANDANTE</w:t>
      </w:r>
    </w:p>
    <w:p>
      <w:pPr>
        <w:pStyle w:val="14"/>
        <w:spacing w:before="120" w:beforeAutospacing="0" w:after="120"/>
        <w:ind w:left="120" w:right="12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jc w:val="center"/>
        <w:rPr>
          <w:rFonts w:asciiTheme="minorHAnsi" w:hAnsiTheme="minorHAnsi" w:eastAsiaTheme="minorEastAsia" w:cstheme="minorEastAsia"/>
          <w:color w:val="auto"/>
          <w:sz w:val="20"/>
          <w:szCs w:val="20"/>
        </w:rPr>
      </w:pPr>
    </w:p>
    <w:p>
      <w:pPr>
        <w:pStyle w:val="14"/>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0" w:beforeAutospacing="0" w:after="0"/>
        <w:ind w:left="3915" w:right="4005"/>
        <w:jc w:val="center"/>
        <w:rPr>
          <w:rFonts w:asciiTheme="minorHAnsi" w:hAnsiTheme="minorHAnsi" w:eastAsiaTheme="minorEastAsia" w:cstheme="minorEastAsia"/>
          <w:b/>
          <w:bCs/>
          <w:color w:val="auto"/>
          <w:sz w:val="20"/>
          <w:szCs w:val="20"/>
        </w:rPr>
      </w:pPr>
    </w:p>
    <w:p>
      <w:pPr>
        <w:pStyle w:val="14"/>
        <w:spacing w:before="0" w:beforeAutospacing="0" w:after="0"/>
        <w:ind w:left="3915" w:right="4005"/>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ANEXO A</w:t>
      </w:r>
    </w:p>
    <w:p>
      <w:pPr>
        <w:pStyle w:val="14"/>
        <w:spacing w:before="120" w:beforeAutospacing="0" w:after="120"/>
        <w:ind w:left="120" w:right="12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MODELO DE ORDEM DE FORNECIMENTO</w:t>
      </w:r>
    </w:p>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5"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05" w:beforeAutospacing="0" w:after="0"/>
        <w:ind w:left="135"/>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Referente à NOTA DE EMPENHO n°</w:t>
      </w:r>
    </w:p>
    <w:p>
      <w:pPr>
        <w:pStyle w:val="14"/>
        <w:spacing w:before="105" w:beforeAutospacing="0" w:after="0"/>
        <w:ind w:left="135"/>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OBJETO:</w:t>
      </w:r>
    </w:p>
    <w:tbl>
      <w:tblPr>
        <w:tblStyle w:val="3"/>
        <w:tblW w:w="0" w:type="auto"/>
        <w:tblCellSpacing w:w="15" w:type="dxa"/>
        <w:tblInd w:w="0" w:type="dxa"/>
        <w:tblLayout w:type="autofit"/>
        <w:tblCellMar>
          <w:top w:w="15" w:type="dxa"/>
          <w:left w:w="15" w:type="dxa"/>
          <w:bottom w:w="15" w:type="dxa"/>
          <w:right w:w="15" w:type="dxa"/>
        </w:tblCellMar>
      </w:tblPr>
      <w:tblGrid>
        <w:gridCol w:w="702"/>
        <w:gridCol w:w="1012"/>
        <w:gridCol w:w="1885"/>
        <w:gridCol w:w="3491"/>
      </w:tblGrid>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Item</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Material</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CÓDIGODOE-FISCO</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Quantidade(UnidadedeFornecimento)</w:t>
            </w:r>
          </w:p>
        </w:tc>
      </w:tr>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01</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r>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02</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r>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03</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r>
      <w:tr>
        <w:tblPrEx>
          <w:tblCellMar>
            <w:top w:w="15" w:type="dxa"/>
            <w:left w:w="15" w:type="dxa"/>
            <w:bottom w:w="15" w:type="dxa"/>
            <w:right w:w="15" w:type="dxa"/>
          </w:tblCellMar>
        </w:tblPrEx>
        <w:trPr>
          <w:tblCellSpacing w:w="15" w:type="dxa"/>
        </w:trPr>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0" w:type="auto"/>
            <w:shd w:val="clear" w:color="auto" w:fill="auto"/>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r>
    </w:tbl>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VALOR:</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PRAZO DE ENTREGA: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LOCAL E HORÁRIO DE ENTREGA: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SERVIDOR DESIGNADO PARA RECEBIMENTO: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Os bens deverão ser entregues em conformidade com as especificações técnicas e demais condições exigidas no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Integram este instrumento o Edital de Pregão Eletrônico n.º __________ e seus Anexos, bem como a Proposta apresentada na licitação, independentemente de transcrição.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Local, data.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Assinatura do servidor responsável</w:t>
      </w:r>
    </w:p>
    <w:p>
      <w:pPr>
        <w:pStyle w:val="14"/>
        <w:spacing w:before="0" w:beforeAutospacing="0" w:after="0"/>
        <w:ind w:left="435"/>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0" w:beforeAutospacing="0" w:after="0"/>
        <w:ind w:left="435"/>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PRIMEIRO:</w:t>
      </w:r>
      <w:r>
        <w:rPr>
          <w:rFonts w:asciiTheme="minorHAnsi" w:hAnsiTheme="minorHAnsi" w:eastAsiaTheme="minorEastAsia" w:cstheme="minorEastAsia"/>
          <w:color w:val="auto"/>
          <w:sz w:val="20"/>
          <w:szCs w:val="20"/>
        </w:rPr>
        <w:t> Comete infração administrativa, nos termos da Lei nº 14.133, de 2021,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que: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w:t>
      </w:r>
      <w:r>
        <w:rPr>
          <w:rFonts w:asciiTheme="minorHAnsi" w:hAnsiTheme="minorHAnsi" w:eastAsiaTheme="minorEastAsia" w:cstheme="minorEastAsia"/>
          <w:color w:val="auto"/>
          <w:sz w:val="20"/>
          <w:szCs w:val="20"/>
        </w:rPr>
        <w:t> der causa à inexecução parcial da </w:t>
      </w:r>
      <w:r>
        <w:rPr>
          <w:rFonts w:asciiTheme="minorHAnsi" w:hAnsiTheme="minorHAnsi" w:eastAsiaTheme="minorEastAsia" w:cstheme="minorEastAsia"/>
          <w:b/>
          <w:bCs/>
          <w:color w:val="auto"/>
          <w:sz w:val="20"/>
          <w:szCs w:val="20"/>
        </w:rPr>
        <w:t>CONTRATAÇÃO, </w:t>
      </w:r>
      <w:r>
        <w:rPr>
          <w:rFonts w:asciiTheme="minorHAnsi" w:hAnsiTheme="minorHAnsi" w:eastAsiaTheme="minorEastAsia" w:cstheme="minorEastAsia"/>
          <w:color w:val="auto"/>
          <w:sz w:val="20"/>
          <w:szCs w:val="20"/>
        </w:rPr>
        <w:t>deixando de cumprir as obrigações assumidas no presente instrumento;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b)</w:t>
      </w:r>
      <w:r>
        <w:rPr>
          <w:rFonts w:asciiTheme="minorHAnsi" w:hAnsiTheme="minorHAnsi" w:eastAsiaTheme="minorEastAsia" w:cstheme="minorEastAsia"/>
          <w:color w:val="auto"/>
          <w:sz w:val="20"/>
          <w:szCs w:val="20"/>
        </w:rPr>
        <w:t> der causa à inexecução parcial da </w:t>
      </w:r>
      <w:r>
        <w:rPr>
          <w:rFonts w:asciiTheme="minorHAnsi" w:hAnsiTheme="minorHAnsi" w:eastAsiaTheme="minorEastAsia" w:cstheme="minorEastAsia"/>
          <w:b/>
          <w:bCs/>
          <w:color w:val="auto"/>
          <w:sz w:val="20"/>
          <w:szCs w:val="20"/>
        </w:rPr>
        <w:t>CONTRATAÇÃO</w:t>
      </w:r>
      <w:r>
        <w:rPr>
          <w:rFonts w:asciiTheme="minorHAnsi" w:hAnsiTheme="minorHAnsi" w:eastAsiaTheme="minorEastAsia" w:cstheme="minorEastAsia"/>
          <w:color w:val="auto"/>
          <w:sz w:val="20"/>
          <w:szCs w:val="20"/>
        </w:rPr>
        <w:t> que cause grave dano à Administração ou ao funcionamento dos serviços públicos ou ao interesse coletivo;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c)</w:t>
      </w:r>
      <w:r>
        <w:rPr>
          <w:rFonts w:asciiTheme="minorHAnsi" w:hAnsiTheme="minorHAnsi" w:eastAsiaTheme="minorEastAsia" w:cstheme="minorEastAsia"/>
          <w:color w:val="auto"/>
          <w:sz w:val="20"/>
          <w:szCs w:val="20"/>
        </w:rPr>
        <w:t> der causa à inexecução total da </w:t>
      </w:r>
      <w:r>
        <w:rPr>
          <w:rFonts w:asciiTheme="minorHAnsi" w:hAnsiTheme="minorHAnsi" w:eastAsiaTheme="minorEastAsia" w:cstheme="minorEastAsia"/>
          <w:b/>
          <w:bCs/>
          <w:color w:val="auto"/>
          <w:sz w:val="20"/>
          <w:szCs w:val="20"/>
        </w:rPr>
        <w:t>CONTRATAÇÂO</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w:t>
      </w:r>
      <w:r>
        <w:rPr>
          <w:rFonts w:asciiTheme="minorHAnsi" w:hAnsiTheme="minorHAnsi" w:eastAsiaTheme="minorEastAsia" w:cstheme="minorEastAsia"/>
          <w:color w:val="auto"/>
          <w:sz w:val="20"/>
          <w:szCs w:val="20"/>
        </w:rPr>
        <w:t> ensejar o retardamento da execução ou da entrega do objeto da contratação sem motivo justificado;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w:t>
      </w:r>
      <w:r>
        <w:rPr>
          <w:rFonts w:asciiTheme="minorHAnsi" w:hAnsiTheme="minorHAnsi" w:eastAsiaTheme="minorEastAsia" w:cstheme="minorEastAsia"/>
          <w:color w:val="auto"/>
          <w:sz w:val="20"/>
          <w:szCs w:val="20"/>
        </w:rPr>
        <w:t> apresentar documentação falsa ou prestar declaração falsa durante a execução da </w:t>
      </w:r>
      <w:r>
        <w:rPr>
          <w:rFonts w:asciiTheme="minorHAnsi" w:hAnsiTheme="minorHAnsi" w:eastAsiaTheme="minorEastAsia" w:cstheme="minorEastAsia"/>
          <w:b/>
          <w:bCs/>
          <w:color w:val="auto"/>
          <w:sz w:val="20"/>
          <w:szCs w:val="20"/>
        </w:rPr>
        <w:t>CONTRATAÇÂO</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f)</w:t>
      </w:r>
      <w:r>
        <w:rPr>
          <w:rFonts w:asciiTheme="minorHAnsi" w:hAnsiTheme="minorHAnsi" w:eastAsiaTheme="minorEastAsia" w:cstheme="minorEastAsia"/>
          <w:color w:val="auto"/>
          <w:sz w:val="20"/>
          <w:szCs w:val="20"/>
        </w:rPr>
        <w:t> praticar ato fraudulento na execução da </w:t>
      </w:r>
      <w:r>
        <w:rPr>
          <w:rFonts w:asciiTheme="minorHAnsi" w:hAnsiTheme="minorHAnsi" w:eastAsiaTheme="minorEastAsia" w:cstheme="minorEastAsia"/>
          <w:b/>
          <w:bCs/>
          <w:color w:val="auto"/>
          <w:sz w:val="20"/>
          <w:szCs w:val="20"/>
        </w:rPr>
        <w:t>CONTRATAÇÃO</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g)</w:t>
      </w:r>
      <w:r>
        <w:rPr>
          <w:rFonts w:asciiTheme="minorHAnsi" w:hAnsiTheme="minorHAnsi" w:eastAsiaTheme="minorEastAsia" w:cstheme="minorEastAsia"/>
          <w:color w:val="auto"/>
          <w:sz w:val="20"/>
          <w:szCs w:val="20"/>
        </w:rPr>
        <w:t> comportar-se de modo inidôneo ou cometer fraude de qualquer natureza;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h)</w:t>
      </w:r>
      <w:r>
        <w:rPr>
          <w:rFonts w:asciiTheme="minorHAnsi" w:hAnsiTheme="minorHAnsi" w:eastAsiaTheme="minorEastAsia" w:cstheme="minorEastAsia"/>
          <w:color w:val="auto"/>
          <w:sz w:val="20"/>
          <w:szCs w:val="20"/>
        </w:rPr>
        <w:t> praticar ato lesivo previsto no art. 5º da Lei nº 12.846, de 1º de agosto de 2013;</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SEGUNDO:</w:t>
      </w:r>
      <w:r>
        <w:rPr>
          <w:rFonts w:asciiTheme="minorHAnsi" w:hAnsiTheme="minorHAnsi" w:eastAsiaTheme="minorEastAsia" w:cstheme="minorEastAsia"/>
          <w:color w:val="auto"/>
          <w:sz w:val="20"/>
          <w:szCs w:val="20"/>
        </w:rPr>
        <w:t> Será aplicável a sanção de advertência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deveres instrumentais ou der causa à inexecução parcial do contrato que não acarrete dano à Administração e que não justifique a imposição de penalidade mais grave, em especial pelo descumprimento das obrigações previstas nos subitens </w:t>
      </w:r>
      <w:r>
        <w:rPr>
          <w:rStyle w:val="4"/>
          <w:rFonts w:asciiTheme="minorHAnsi" w:hAnsiTheme="minorHAnsi" w:eastAsiaTheme="minorEastAsia" w:cstheme="minorEastAsia"/>
          <w:color w:val="auto"/>
          <w:sz w:val="20"/>
          <w:szCs w:val="20"/>
        </w:rPr>
        <w:t>7.4.9., 7.4.10., 7.4.11., 7.4.12. e 7.4.13.,</w:t>
      </w:r>
      <w:r>
        <w:rPr>
          <w:rFonts w:asciiTheme="minorHAnsi" w:hAnsiTheme="minorHAnsi" w:eastAsiaTheme="minorEastAsia" w:cstheme="minorEastAsia"/>
          <w:color w:val="auto"/>
          <w:sz w:val="20"/>
          <w:szCs w:val="20"/>
        </w:rPr>
        <w:t> do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TERCEIRO:</w:t>
      </w:r>
      <w:r>
        <w:rPr>
          <w:rFonts w:asciiTheme="minorHAnsi" w:hAnsiTheme="minorHAnsi" w:eastAsiaTheme="minorEastAsia" w:cstheme="minorEastAsia"/>
          <w:color w:val="auto"/>
          <w:sz w:val="20"/>
          <w:szCs w:val="20"/>
        </w:rPr>
        <w:t> Será aplicada multa moratória em razão do atraso no cumprimento das obrigações previstas nesta </w:t>
      </w:r>
      <w:r>
        <w:rPr>
          <w:rFonts w:asciiTheme="minorHAnsi" w:hAnsiTheme="minorHAnsi" w:eastAsiaTheme="minorEastAsia" w:cstheme="minorEastAsia"/>
          <w:b/>
          <w:bCs/>
          <w:color w:val="auto"/>
          <w:sz w:val="20"/>
          <w:szCs w:val="20"/>
        </w:rPr>
        <w:t>CONTRATAÇÃO</w:t>
      </w:r>
      <w:r>
        <w:rPr>
          <w:rFonts w:asciiTheme="minorHAnsi" w:hAnsiTheme="minorHAnsi" w:eastAsiaTheme="minorEastAsia" w:cstheme="minorEastAsia"/>
          <w:color w:val="auto"/>
          <w:sz w:val="20"/>
          <w:szCs w:val="20"/>
        </w:rPr>
        <w:t>, em especial as elencadas nos subitens</w:t>
      </w:r>
      <w:r>
        <w:rPr>
          <w:rStyle w:val="4"/>
          <w:rFonts w:asciiTheme="minorHAnsi" w:hAnsiTheme="minorHAnsi" w:eastAsiaTheme="minorEastAsia" w:cstheme="minorEastAsia"/>
          <w:color w:val="auto"/>
          <w:sz w:val="20"/>
          <w:szCs w:val="20"/>
        </w:rPr>
        <w:t> 7.4.3. e 7.4.4.</w:t>
      </w:r>
      <w:r>
        <w:rPr>
          <w:rFonts w:asciiTheme="minorHAnsi" w:hAnsiTheme="minorHAnsi" w:eastAsiaTheme="minorEastAsia" w:cstheme="minorEastAsia"/>
          <w:color w:val="auto"/>
          <w:sz w:val="20"/>
          <w:szCs w:val="20"/>
        </w:rPr>
        <w:t>, do Termo de Referência,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QUARTO:</w:t>
      </w:r>
      <w:r>
        <w:rPr>
          <w:rFonts w:asciiTheme="minorHAnsi" w:hAnsiTheme="minorHAnsi" w:eastAsiaTheme="minorEastAsia" w:cstheme="minorEastAsia"/>
          <w:color w:val="auto"/>
          <w:sz w:val="20"/>
          <w:szCs w:val="20"/>
        </w:rPr>
        <w:t>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QUINTO:</w:t>
      </w:r>
      <w:r>
        <w:rPr>
          <w:rFonts w:asciiTheme="minorHAnsi" w:hAnsiTheme="minorHAnsi" w:eastAsiaTheme="minorEastAsia" w:cstheme="minorEastAsia"/>
          <w:color w:val="auto"/>
          <w:sz w:val="20"/>
          <w:szCs w:val="20"/>
        </w:rPr>
        <w:t> A penalidade de multa compensatória será aplicada nos casos de descumprimento das obrigações contratuais pela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sempre que deles decorrer inexecução parcial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que cause grave dano à Administração, ao funcionamento dos serviços públicos ou ao interesse coletivo, bem como retardamento injustificado à execução ou entrega do objeto contratado, nos termos das alíneas “b” e “d”, respectivamente, do </w:t>
      </w:r>
      <w:r>
        <w:rPr>
          <w:rFonts w:asciiTheme="minorHAnsi" w:hAnsiTheme="minorHAnsi" w:eastAsiaTheme="minorEastAsia" w:cstheme="minorEastAsia"/>
          <w:b/>
          <w:bCs/>
          <w:color w:val="auto"/>
          <w:sz w:val="20"/>
          <w:szCs w:val="20"/>
        </w:rPr>
        <w:t>PARÁGRAFO PRIMEIRO</w:t>
      </w:r>
      <w:r>
        <w:rPr>
          <w:rFonts w:asciiTheme="minorHAnsi" w:hAnsiTheme="minorHAnsi" w:eastAsiaTheme="minorEastAsia" w:cstheme="minorEastAsia"/>
          <w:color w:val="auto"/>
          <w:sz w:val="20"/>
          <w:szCs w:val="20"/>
        </w:rPr>
        <w:t>, de acordo com as seguintes regras: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w:t>
      </w:r>
      <w:r>
        <w:rPr>
          <w:rFonts w:asciiTheme="minorHAnsi" w:hAnsiTheme="minorHAnsi" w:eastAsiaTheme="minorEastAsia" w:cstheme="minorEastAsia"/>
          <w:color w:val="auto"/>
          <w:sz w:val="20"/>
          <w:szCs w:val="20"/>
        </w:rPr>
        <w:t> 1% (um por cento) a 5% (cinco por cento) sobre do valor total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observado o valor mínimo de R$ 10.000,00 (dez mil reais) e o máximo de R$ 100.000,00 (cem mil reais), a ser aplicada a quem sofreu a penalidade de advertência e reincidiu pelo(s) mesmo(s) motivo(s);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II. </w:t>
      </w:r>
      <w:r>
        <w:rPr>
          <w:rFonts w:asciiTheme="minorHAnsi" w:hAnsiTheme="minorHAnsi" w:eastAsiaTheme="minorEastAsia" w:cstheme="minorEastAsia"/>
          <w:color w:val="auto"/>
          <w:sz w:val="20"/>
          <w:szCs w:val="20"/>
        </w:rPr>
        <w:t>10% (dez por cento) a 20% (vinte por cento), calculada sobre o valor da entrega/remessa inadimplida,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 obrigação prevista nos subitens </w:t>
      </w:r>
      <w:r>
        <w:rPr>
          <w:rStyle w:val="4"/>
          <w:rFonts w:asciiTheme="minorHAnsi" w:hAnsiTheme="minorHAnsi" w:eastAsiaTheme="minorEastAsia" w:cstheme="minorEastAsia"/>
          <w:color w:val="auto"/>
          <w:sz w:val="20"/>
          <w:szCs w:val="20"/>
        </w:rPr>
        <w:t>7.4.1. e 7.4.2</w:t>
      </w:r>
      <w:r>
        <w:rPr>
          <w:rFonts w:asciiTheme="minorHAnsi" w:hAnsiTheme="minorHAnsi" w:eastAsiaTheme="minorEastAsia" w:cstheme="minorEastAsia"/>
          <w:color w:val="auto"/>
          <w:sz w:val="20"/>
          <w:szCs w:val="20"/>
        </w:rPr>
        <w:t>. do Termo de Referência quando a situação não se enquadrar em obrigação contratual específica</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III</w:t>
      </w:r>
      <w:r>
        <w:rPr>
          <w:rFonts w:asciiTheme="minorHAnsi" w:hAnsiTheme="minorHAnsi" w:eastAsiaTheme="minorEastAsia" w:cstheme="minorEastAsia"/>
          <w:color w:val="auto"/>
          <w:sz w:val="20"/>
          <w:szCs w:val="20"/>
        </w:rPr>
        <w:t>.</w:t>
      </w:r>
      <w:r>
        <w:rPr>
          <w:rFonts w:asciiTheme="minorHAnsi" w:hAnsiTheme="minorHAnsi" w:eastAsiaTheme="minorEastAsia" w:cstheme="minorEastAsia"/>
          <w:b/>
          <w:bCs/>
          <w:color w:val="auto"/>
          <w:sz w:val="20"/>
          <w:szCs w:val="20"/>
        </w:rPr>
        <w:t> </w:t>
      </w:r>
      <w:r>
        <w:rPr>
          <w:rFonts w:asciiTheme="minorHAnsi" w:hAnsiTheme="minorHAnsi" w:eastAsiaTheme="minorEastAsia" w:cstheme="minorEastAsia"/>
          <w:color w:val="auto"/>
          <w:sz w:val="20"/>
          <w:szCs w:val="20"/>
        </w:rPr>
        <w:t>0,5% (cinco décimos por cento) a 2% (dois por cento), calculada sobre valor da entrega,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 obrigação prevista no subitem 7.4.5. do Termo de Referência</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IV.</w:t>
      </w:r>
      <w:r>
        <w:rPr>
          <w:rFonts w:asciiTheme="minorHAnsi" w:hAnsiTheme="minorHAnsi" w:eastAsiaTheme="minorEastAsia" w:cstheme="minorEastAsia"/>
          <w:color w:val="auto"/>
          <w:sz w:val="20"/>
          <w:szCs w:val="20"/>
        </w:rPr>
        <w:t> 5% (cinco por cento) a 10% (dez por cento), calculada sobre o valor da entrega</w:t>
      </w:r>
      <w:r>
        <w:rPr>
          <w:rFonts w:asciiTheme="minorHAnsi" w:hAnsiTheme="minorHAnsi" w:eastAsiaTheme="minorEastAsia" w:cstheme="minorEastAsia"/>
          <w:b/>
          <w:bCs/>
          <w:color w:val="auto"/>
          <w:sz w:val="20"/>
          <w:szCs w:val="20"/>
        </w:rPr>
        <w:t>,</w:t>
      </w:r>
      <w:r>
        <w:rPr>
          <w:rFonts w:asciiTheme="minorHAnsi" w:hAnsiTheme="minorHAnsi" w:eastAsiaTheme="minorEastAsia" w:cstheme="minorEastAsia"/>
          <w:color w:val="auto"/>
          <w:sz w:val="20"/>
          <w:szCs w:val="20"/>
        </w:rPr>
        <w:t> quando a </w:t>
      </w:r>
      <w:r>
        <w:rPr>
          <w:rFonts w:asciiTheme="minorHAnsi" w:hAnsiTheme="minorHAnsi" w:eastAsiaTheme="minorEastAsia" w:cstheme="minorEastAsia"/>
          <w:b/>
          <w:bCs/>
          <w:color w:val="auto"/>
          <w:sz w:val="20"/>
          <w:szCs w:val="20"/>
        </w:rPr>
        <w:t>CONTRATADA </w:t>
      </w:r>
      <w:r>
        <w:rPr>
          <w:rFonts w:asciiTheme="minorHAnsi" w:hAnsiTheme="minorHAnsi" w:eastAsiaTheme="minorEastAsia" w:cstheme="minorEastAsia"/>
          <w:color w:val="auto"/>
          <w:sz w:val="20"/>
          <w:szCs w:val="20"/>
        </w:rPr>
        <w:t>deixar de cumprir a obrigação prevista no subitem 7.4.7. do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w:t>
      </w:r>
      <w:r>
        <w:rPr>
          <w:rFonts w:asciiTheme="minorHAnsi" w:hAnsiTheme="minorHAnsi" w:eastAsiaTheme="minorEastAsia" w:cstheme="minorEastAsia"/>
          <w:color w:val="auto"/>
          <w:sz w:val="20"/>
          <w:szCs w:val="20"/>
        </w:rPr>
        <w:t> 5% (cinco por cento) a 10% (dez por cento), calculada sobre o valor da parcela transferida,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 obrigação prevista no subitem 7.4.8. do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VI.</w:t>
      </w:r>
      <w:r>
        <w:rPr>
          <w:rFonts w:asciiTheme="minorHAnsi" w:hAnsiTheme="minorHAnsi" w:eastAsiaTheme="minorEastAsia" w:cstheme="minorEastAsia"/>
          <w:color w:val="auto"/>
          <w:sz w:val="20"/>
          <w:szCs w:val="20"/>
        </w:rPr>
        <w:t> 0,5% (cinco décimos por cento) a 2% (dois por cento), calculada sobre o valor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 obrigação prevista no subitem 7.4.14. do Termo de Referência</w:t>
      </w:r>
      <w:r>
        <w:rPr>
          <w:rFonts w:asciiTheme="minorHAnsi" w:hAnsiTheme="minorHAnsi" w:eastAsiaTheme="minorEastAsia" w:cstheme="minorEastAsia"/>
          <w:b/>
          <w:bCs/>
          <w:color w:val="auto"/>
          <w:sz w:val="20"/>
          <w:szCs w:val="20"/>
        </w:rPr>
        <w:t> </w:t>
      </w:r>
      <w:r>
        <w:rPr>
          <w:rFonts w:asciiTheme="minorHAnsi" w:hAnsiTheme="minorHAnsi" w:eastAsiaTheme="minorEastAsia" w:cstheme="minorEastAsia"/>
          <w:color w:val="auto"/>
          <w:sz w:val="20"/>
          <w:szCs w:val="20"/>
        </w:rPr>
        <w:t>e não sanar a pendência no prazo estipulado</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VII. </w:t>
      </w:r>
      <w:r>
        <w:rPr>
          <w:rFonts w:asciiTheme="minorHAnsi" w:hAnsiTheme="minorHAnsi" w:eastAsiaTheme="minorEastAsia" w:cstheme="minorEastAsia"/>
          <w:color w:val="auto"/>
          <w:sz w:val="20"/>
          <w:szCs w:val="20"/>
        </w:rPr>
        <w:t>1% (um por cento) a 5% (cinco por cento), calculada sobre o valor mensal/parcela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as obrigações previstas no subitem 7.4.15. do Termo de Referência </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SEXTO: </w:t>
      </w:r>
      <w:r>
        <w:rPr>
          <w:rFonts w:asciiTheme="minorHAnsi" w:hAnsiTheme="minorHAnsi" w:eastAsiaTheme="minorEastAsia" w:cstheme="minorEastAsia"/>
          <w:color w:val="auto"/>
          <w:sz w:val="20"/>
          <w:szCs w:val="20"/>
        </w:rPr>
        <w:t>As sanções de multa previstas no </w:t>
      </w:r>
      <w:r>
        <w:rPr>
          <w:rFonts w:asciiTheme="minorHAnsi" w:hAnsiTheme="minorHAnsi" w:eastAsiaTheme="minorEastAsia" w:cstheme="minorEastAsia"/>
          <w:b/>
          <w:bCs/>
          <w:color w:val="auto"/>
          <w:sz w:val="20"/>
          <w:szCs w:val="20"/>
        </w:rPr>
        <w:t>PARÁGRAFO QUINTO</w:t>
      </w:r>
      <w:r>
        <w:rPr>
          <w:rFonts w:asciiTheme="minorHAnsi" w:hAnsiTheme="minorHAnsi" w:eastAsiaTheme="minorEastAsia" w:cstheme="minorEastAsia"/>
          <w:color w:val="auto"/>
          <w:sz w:val="20"/>
          <w:szCs w:val="20"/>
        </w:rPr>
        <w:t> poderão ser aplicadas cumulativamente com a penalidade de impedimento de licitar e contratar com a Administração Direta e Indireta do Estado de Pernambuco, pelo prazo de 06 (seis) a 18 (dezoito) meses.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SÉTIMO:</w:t>
      </w:r>
      <w:r>
        <w:rPr>
          <w:rFonts w:asciiTheme="minorHAnsi" w:hAnsiTheme="minorHAnsi" w:eastAsiaTheme="minorEastAsia" w:cstheme="minorEastAsia"/>
          <w:color w:val="auto"/>
          <w:sz w:val="20"/>
          <w:szCs w:val="20"/>
        </w:rPr>
        <w:t> Na hipótese de inexecução total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prevista na alínea “c” do </w:t>
      </w:r>
      <w:r>
        <w:rPr>
          <w:rFonts w:asciiTheme="minorHAnsi" w:hAnsiTheme="minorHAnsi" w:eastAsiaTheme="minorEastAsia" w:cstheme="minorEastAsia"/>
          <w:b/>
          <w:bCs/>
          <w:color w:val="auto"/>
          <w:sz w:val="20"/>
          <w:szCs w:val="20"/>
        </w:rPr>
        <w:t>PARÁGRAFO PRIMEIRO</w:t>
      </w:r>
      <w:r>
        <w:rPr>
          <w:rFonts w:asciiTheme="minorHAnsi" w:hAnsiTheme="minorHAnsi" w:eastAsiaTheme="minorEastAsia" w:cstheme="minorEastAsia"/>
          <w:color w:val="auto"/>
          <w:sz w:val="20"/>
          <w:szCs w:val="20"/>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OITAVO: </w:t>
      </w:r>
      <w:r>
        <w:rPr>
          <w:rFonts w:asciiTheme="minorHAnsi" w:hAnsiTheme="minorHAnsi" w:eastAsiaTheme="minorEastAsia" w:cstheme="minorEastAsia"/>
          <w:color w:val="auto"/>
          <w:sz w:val="20"/>
          <w:szCs w:val="20"/>
        </w:rPr>
        <w:t>Quando do cometimento das infrações previstas nas alíneas “e”, “f”, “g” e “h” do </w:t>
      </w:r>
      <w:r>
        <w:rPr>
          <w:rFonts w:asciiTheme="minorHAnsi" w:hAnsiTheme="minorHAnsi" w:eastAsiaTheme="minorEastAsia" w:cstheme="minorEastAsia"/>
          <w:b/>
          <w:bCs/>
          <w:color w:val="auto"/>
          <w:sz w:val="20"/>
          <w:szCs w:val="20"/>
        </w:rPr>
        <w:t>PARÁGRAFO PRIMEIRO</w:t>
      </w:r>
      <w:r>
        <w:rPr>
          <w:rFonts w:asciiTheme="minorHAnsi" w:hAnsiTheme="minorHAnsi" w:eastAsiaTheme="minorEastAsia" w:cstheme="minorEastAsia"/>
          <w:color w:val="auto"/>
          <w:sz w:val="20"/>
          <w:szCs w:val="20"/>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NONO:</w:t>
      </w:r>
      <w:r>
        <w:rPr>
          <w:rFonts w:asciiTheme="minorHAnsi" w:hAnsiTheme="minorHAnsi" w:eastAsiaTheme="minorEastAsia" w:cstheme="minorEastAsia"/>
          <w:color w:val="auto"/>
          <w:sz w:val="20"/>
          <w:szCs w:val="20"/>
        </w:rPr>
        <w:t> A aplicação das sanções previstas neste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não exclui, em hipótese alguma, a obrigação de reparação integral do dano causado à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w:t>
      </w:r>
      <w:r>
        <w:rPr>
          <w:rFonts w:asciiTheme="minorHAnsi" w:hAnsiTheme="minorHAnsi" w:eastAsiaTheme="minorEastAsia" w:cstheme="minorEastAsia"/>
          <w:color w:val="auto"/>
          <w:sz w:val="20"/>
          <w:szCs w:val="20"/>
        </w:rPr>
        <w:t> O valor da multa aplicada e das indenizações cabíveis será objeto de compensação com os pagamentos eventualmente devidos pelo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decorrentes do mesmo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ou de outros contratos administrativos que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possua com 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PRIMEIRO: </w:t>
      </w:r>
      <w:r>
        <w:rPr>
          <w:rFonts w:asciiTheme="minorHAnsi" w:hAnsiTheme="minorHAnsi" w:eastAsiaTheme="minorEastAsia" w:cstheme="minorEastAsia"/>
          <w:color w:val="auto"/>
          <w:sz w:val="20"/>
          <w:szCs w:val="20"/>
        </w:rPr>
        <w:t>Se o valor da multa for superior ao dos pagamentos devidos pelo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a diferença será descontada da garantia contratual prestada, se houver, ou será cobrada administrativamente na forma prevista na Lei Estadual nº 13.178, de 2006.</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SEGUNDO:</w:t>
      </w:r>
      <w:r>
        <w:rPr>
          <w:rFonts w:asciiTheme="minorHAnsi" w:hAnsiTheme="minorHAnsi" w:eastAsiaTheme="minorEastAsia" w:cstheme="minorEastAsia"/>
          <w:color w:val="auto"/>
          <w:sz w:val="20"/>
          <w:szCs w:val="20"/>
        </w:rPr>
        <w:t> Não havendo o pagamento integral da multa em sede administrativa, a processo será encaminhado à Procuradoria Geral do Estado para inscrição em Dívida Ativa e cobrança.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TERCEIRO:</w:t>
      </w:r>
      <w:r>
        <w:rPr>
          <w:rFonts w:asciiTheme="minorHAnsi" w:hAnsiTheme="minorHAnsi" w:eastAsiaTheme="minorEastAsia" w:cstheme="minorEastAsia"/>
          <w:color w:val="auto"/>
          <w:sz w:val="20"/>
          <w:szCs w:val="20"/>
        </w:rPr>
        <w:t> A aplicação das sanções realizar-se-á em processo administrativo que assegure o contraditório e a ampla defesa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observando-se o procedimento previsto no Decreto Estadual.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QUARTO: </w:t>
      </w:r>
      <w:r>
        <w:rPr>
          <w:rFonts w:asciiTheme="minorHAnsi" w:hAnsiTheme="minorHAnsi" w:eastAsiaTheme="minorEastAsia" w:cstheme="minorEastAsia"/>
          <w:color w:val="auto"/>
          <w:sz w:val="20"/>
          <w:szCs w:val="20"/>
        </w:rPr>
        <w:t>Na fixação das penalidades, dentro das faixas de multa estabelecidas neste Edital, bem como dos prazos previstos para as demais sanções deverão ser observadas: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w:t>
      </w:r>
      <w:r>
        <w:rPr>
          <w:rFonts w:asciiTheme="minorHAnsi" w:hAnsiTheme="minorHAnsi" w:eastAsiaTheme="minorEastAsia" w:cstheme="minorEastAsia"/>
          <w:color w:val="auto"/>
          <w:sz w:val="20"/>
          <w:szCs w:val="20"/>
        </w:rPr>
        <w:t> a natureza e a gravidade da infração cometida;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b)</w:t>
      </w:r>
      <w:r>
        <w:rPr>
          <w:rFonts w:asciiTheme="minorHAnsi" w:hAnsiTheme="minorHAnsi" w:eastAsiaTheme="minorEastAsia" w:cstheme="minorEastAsia"/>
          <w:color w:val="auto"/>
          <w:sz w:val="20"/>
          <w:szCs w:val="20"/>
        </w:rPr>
        <w:t> as peculiaridades do caso concreto;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c)</w:t>
      </w:r>
      <w:r>
        <w:rPr>
          <w:rFonts w:asciiTheme="minorHAnsi" w:hAnsiTheme="minorHAnsi" w:eastAsiaTheme="minorEastAsia" w:cstheme="minorEastAsia"/>
          <w:color w:val="auto"/>
          <w:sz w:val="20"/>
          <w:szCs w:val="20"/>
        </w:rPr>
        <w:t> as circunstâncias agravantes ou atenuantes;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w:t>
      </w:r>
      <w:r>
        <w:rPr>
          <w:rFonts w:asciiTheme="minorHAnsi" w:hAnsiTheme="minorHAnsi" w:eastAsiaTheme="minorEastAsia" w:cstheme="minorEastAsia"/>
          <w:color w:val="auto"/>
          <w:sz w:val="20"/>
          <w:szCs w:val="20"/>
        </w:rPr>
        <w:t> os danos que o cometimento da infração ocasionar ao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ao funcionamento dos serviços públicos, aos seus usuários ou ao interesse coletivo</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 </w:t>
      </w:r>
      <w:r>
        <w:rPr>
          <w:rFonts w:asciiTheme="minorHAnsi" w:hAnsiTheme="minorHAnsi" w:eastAsiaTheme="minorEastAsia" w:cstheme="minorEastAsia"/>
          <w:color w:val="auto"/>
          <w:sz w:val="20"/>
          <w:szCs w:val="20"/>
        </w:rPr>
        <w:t>a vantagem auferida em virtude da infração;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f)</w:t>
      </w:r>
      <w:r>
        <w:rPr>
          <w:rFonts w:asciiTheme="minorHAnsi" w:hAnsiTheme="minorHAnsi" w:eastAsiaTheme="minorEastAsia" w:cstheme="minorEastAsia"/>
          <w:color w:val="auto"/>
          <w:sz w:val="20"/>
          <w:szCs w:val="20"/>
        </w:rPr>
        <w:t> a implantação ou o aperfeiçoamento de programa de integridade, conforme normas e orientações dos órgãos de controle interno.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QUINTO: </w:t>
      </w:r>
      <w:r>
        <w:rPr>
          <w:rFonts w:asciiTheme="minorHAnsi" w:hAnsiTheme="minorHAnsi" w:eastAsiaTheme="minorEastAsia" w:cstheme="minorEastAsia"/>
          <w:color w:val="auto"/>
          <w:sz w:val="20"/>
          <w:szCs w:val="20"/>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SEXTO: </w:t>
      </w:r>
      <w:r>
        <w:rPr>
          <w:rFonts w:asciiTheme="minorHAnsi" w:hAnsiTheme="minorHAnsi" w:eastAsiaTheme="minorEastAsia" w:cstheme="minorEastAsia"/>
          <w:color w:val="auto"/>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Federal nº 12.846, de 2013.</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SÉTIMO: </w:t>
      </w:r>
      <w:r>
        <w:rPr>
          <w:rFonts w:asciiTheme="minorHAnsi" w:hAnsiTheme="minorHAnsi" w:eastAsiaTheme="minorEastAsia" w:cstheme="minorEastAsia"/>
          <w:color w:val="auto"/>
          <w:sz w:val="20"/>
          <w:szCs w:val="20"/>
        </w:rPr>
        <w:t>A personalidade jurídica da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poderá ser desconsiderada sempre que utilizada com abuso do direito para facilitar, encobrir ou dissimular a prática dos atos ilícitos previstos neste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observados, em todos os casos, o contraditório, a ampla defesa e a obrigatoriedade de análise jurídica prévia.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OITAVO: </w:t>
      </w:r>
      <w:r>
        <w:rPr>
          <w:rFonts w:asciiTheme="minorHAnsi" w:hAnsiTheme="minorHAnsi" w:eastAsiaTheme="minorEastAsia" w:cstheme="minorEastAsia"/>
          <w:color w:val="auto"/>
          <w:sz w:val="20"/>
          <w:szCs w:val="20"/>
        </w:rPr>
        <w:t>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deverá, no prazo máximo 05 (cinco) dias úteis contado da data da decisão definitiva de aplicação da sanção, comunicar à Secretaria de Administração a sanção aplicada, para fins de inclusão da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no CADFOR, no Cadastro Nacional de Empresas Inidôneas e Suspensas (Ceis) e no Cadastro Nacional de Empresas Punidas (Cnep), instituídos no âmbito do Poder Executivo Federal, observado o prazo máximo de 15 (quinze) dias úteis.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Local, data.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Assinatura do servidor responsável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Recife,data da assinatura eletrônica.</w:t>
      </w:r>
    </w:p>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rPr>
          <w:rFonts w:asciiTheme="minorHAnsi" w:hAnsiTheme="minorHAnsi" w:eastAsiaTheme="minorEastAsia" w:cstheme="minorEastAsia"/>
          <w:color w:val="auto"/>
          <w:sz w:val="20"/>
          <w:szCs w:val="20"/>
        </w:rPr>
      </w:pPr>
    </w:p>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0" w:beforeAutospacing="0" w:after="0"/>
        <w:ind w:left="60" w:right="6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ANEXO B</w:t>
      </w:r>
    </w:p>
    <w:p>
      <w:pPr>
        <w:pStyle w:val="14"/>
        <w:spacing w:before="0" w:beforeAutospacing="0" w:after="0"/>
        <w:ind w:left="60" w:right="6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MODELO DE PROPOSTA</w:t>
      </w:r>
    </w:p>
    <w:p>
      <w:pPr>
        <w:pStyle w:val="14"/>
        <w:spacing w:before="0" w:beforeAutospacing="0" w:after="0"/>
        <w:ind w:left="60" w:right="6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(em papel timbrado do licitante)</w:t>
      </w:r>
    </w:p>
    <w:tbl>
      <w:tblPr>
        <w:tblStyle w:val="3"/>
        <w:tblpPr w:leftFromText="180" w:rightFromText="180" w:vertAnchor="text" w:horzAnchor="page" w:tblpX="1357" w:tblpY="272"/>
        <w:tblOverlap w:val="never"/>
        <w:tblW w:w="8805" w:type="dxa"/>
        <w:tblCellSpacing w:w="15" w:type="dxa"/>
        <w:tblInd w:w="0" w:type="dxa"/>
        <w:tblLayout w:type="fixed"/>
        <w:tblCellMar>
          <w:top w:w="15" w:type="dxa"/>
          <w:left w:w="15" w:type="dxa"/>
          <w:bottom w:w="15" w:type="dxa"/>
          <w:right w:w="15" w:type="dxa"/>
        </w:tblCellMar>
      </w:tblPr>
      <w:tblGrid>
        <w:gridCol w:w="825"/>
        <w:gridCol w:w="870"/>
        <w:gridCol w:w="1035"/>
        <w:gridCol w:w="1110"/>
        <w:gridCol w:w="1050"/>
        <w:gridCol w:w="645"/>
        <w:gridCol w:w="1005"/>
        <w:gridCol w:w="750"/>
        <w:gridCol w:w="750"/>
        <w:gridCol w:w="765"/>
      </w:tblGrid>
      <w:tr>
        <w:tblPrEx>
          <w:tblCellMar>
            <w:top w:w="15" w:type="dxa"/>
            <w:left w:w="15" w:type="dxa"/>
            <w:bottom w:w="15" w:type="dxa"/>
            <w:right w:w="15" w:type="dxa"/>
          </w:tblCellMar>
        </w:tblPrEx>
        <w:trPr>
          <w:tblCellSpacing w:w="15" w:type="dxa"/>
        </w:trPr>
        <w:tc>
          <w:tcPr>
            <w:tcW w:w="780"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Item</w:t>
            </w:r>
          </w:p>
        </w:tc>
        <w:tc>
          <w:tcPr>
            <w:tcW w:w="840"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Cód. Efisco</w:t>
            </w:r>
          </w:p>
        </w:tc>
        <w:tc>
          <w:tcPr>
            <w:tcW w:w="1005"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Descrição do Item</w:t>
            </w:r>
          </w:p>
        </w:tc>
        <w:tc>
          <w:tcPr>
            <w:tcW w:w="1080"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Marca</w:t>
            </w:r>
            <w:r>
              <w:rPr>
                <w:rFonts w:asciiTheme="minorHAnsi" w:hAnsiTheme="minorHAnsi" w:eastAsiaTheme="minorEastAsia" w:cstheme="minorEastAsia"/>
                <w:b/>
                <w:bCs/>
                <w:color w:val="auto"/>
                <w:sz w:val="16"/>
                <w:szCs w:val="16"/>
              </w:rPr>
              <w:br w:type="textWrapping"/>
            </w:r>
            <w:r>
              <w:rPr>
                <w:rFonts w:asciiTheme="minorHAnsi" w:hAnsiTheme="minorHAnsi" w:eastAsiaTheme="minorEastAsia" w:cstheme="minorEastAsia"/>
                <w:b/>
                <w:bCs/>
                <w:color w:val="auto"/>
                <w:sz w:val="16"/>
                <w:szCs w:val="16"/>
              </w:rPr>
              <w:t>(medicamentos de referência e similar), fabricante e</w:t>
            </w:r>
            <w:r>
              <w:rPr>
                <w:rFonts w:asciiTheme="minorHAnsi" w:hAnsiTheme="minorHAnsi" w:eastAsiaTheme="minorEastAsia" w:cstheme="minorEastAsia"/>
                <w:b/>
                <w:bCs/>
                <w:color w:val="auto"/>
                <w:sz w:val="16"/>
                <w:szCs w:val="16"/>
              </w:rPr>
              <w:br w:type="textWrapping"/>
            </w:r>
            <w:r>
              <w:rPr>
                <w:rFonts w:asciiTheme="minorHAnsi" w:hAnsiTheme="minorHAnsi" w:eastAsiaTheme="minorEastAsia" w:cstheme="minorEastAsia"/>
                <w:b/>
                <w:bCs/>
                <w:color w:val="auto"/>
                <w:sz w:val="16"/>
                <w:szCs w:val="16"/>
              </w:rPr>
              <w:t>procedência do medicamento oferecido.</w:t>
            </w:r>
          </w:p>
        </w:tc>
        <w:tc>
          <w:tcPr>
            <w:tcW w:w="1020"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Unidade de Fornecimento</w:t>
            </w:r>
          </w:p>
        </w:tc>
        <w:tc>
          <w:tcPr>
            <w:tcW w:w="615"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Quant.</w:t>
            </w:r>
          </w:p>
          <w:p>
            <w:pPr>
              <w:pStyle w:val="14"/>
              <w:spacing w:before="120" w:beforeAutospacing="0" w:after="120"/>
              <w:ind w:left="120" w:right="120"/>
              <w:jc w:val="center"/>
              <w:rPr>
                <w:rFonts w:asciiTheme="minorHAnsi" w:hAnsiTheme="minorHAnsi" w:eastAsiaTheme="minorEastAsia" w:cstheme="minorEastAsia"/>
                <w:color w:val="auto"/>
                <w:sz w:val="16"/>
                <w:szCs w:val="16"/>
              </w:rPr>
            </w:pPr>
          </w:p>
        </w:tc>
        <w:tc>
          <w:tcPr>
            <w:tcW w:w="975"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Preço Unitário com incidência de ICMS</w:t>
            </w:r>
          </w:p>
        </w:tc>
        <w:tc>
          <w:tcPr>
            <w:tcW w:w="720"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Preço Unitário isento ICMS¹</w:t>
            </w:r>
          </w:p>
        </w:tc>
        <w:tc>
          <w:tcPr>
            <w:tcW w:w="720"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Preço Unitário na Tabela CMED</w:t>
            </w:r>
          </w:p>
        </w:tc>
        <w:tc>
          <w:tcPr>
            <w:tcW w:w="720" w:type="dxa"/>
            <w:shd w:val="clear" w:color="auto" w:fill="auto"/>
            <w:vAlign w:val="center"/>
          </w:tcPr>
          <w:p>
            <w:pPr>
              <w:pStyle w:val="14"/>
              <w:spacing w:before="120" w:beforeAutospacing="0" w:after="120"/>
              <w:ind w:left="120" w:right="120"/>
              <w:jc w:val="center"/>
              <w:rPr>
                <w:rFonts w:asciiTheme="minorHAnsi" w:hAnsiTheme="minorHAnsi" w:eastAsiaTheme="minorEastAsia" w:cstheme="minorEastAsia"/>
                <w:color w:val="auto"/>
                <w:sz w:val="16"/>
                <w:szCs w:val="16"/>
              </w:rPr>
            </w:pPr>
            <w:r>
              <w:rPr>
                <w:rFonts w:asciiTheme="minorHAnsi" w:hAnsiTheme="minorHAnsi" w:eastAsiaTheme="minorEastAsia" w:cstheme="minorEastAsia"/>
                <w:b/>
                <w:bCs/>
                <w:color w:val="auto"/>
                <w:sz w:val="16"/>
                <w:szCs w:val="16"/>
              </w:rPr>
              <w:t>Preço Total²</w:t>
            </w:r>
          </w:p>
        </w:tc>
      </w:tr>
      <w:tr>
        <w:tblPrEx>
          <w:tblCellMar>
            <w:top w:w="15" w:type="dxa"/>
            <w:left w:w="15" w:type="dxa"/>
            <w:bottom w:w="15" w:type="dxa"/>
            <w:right w:w="15" w:type="dxa"/>
          </w:tblCellMar>
        </w:tblPrEx>
        <w:trPr>
          <w:tblCellSpacing w:w="15" w:type="dxa"/>
        </w:trPr>
        <w:tc>
          <w:tcPr>
            <w:tcW w:w="780"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840"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1005"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1080"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1020"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615"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975"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720"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720"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c>
          <w:tcPr>
            <w:tcW w:w="720"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r>
      <w:tr>
        <w:tblPrEx>
          <w:tblCellMar>
            <w:top w:w="15" w:type="dxa"/>
            <w:left w:w="15" w:type="dxa"/>
            <w:bottom w:w="15" w:type="dxa"/>
            <w:right w:w="15" w:type="dxa"/>
          </w:tblCellMar>
        </w:tblPrEx>
        <w:trPr>
          <w:tblCellSpacing w:w="15" w:type="dxa"/>
        </w:trPr>
        <w:tc>
          <w:tcPr>
            <w:tcW w:w="7995" w:type="dxa"/>
            <w:gridSpan w:val="9"/>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Valor Total do Item</w:t>
            </w:r>
          </w:p>
        </w:tc>
        <w:tc>
          <w:tcPr>
            <w:tcW w:w="720" w:type="dxa"/>
            <w:shd w:val="clear" w:color="auto" w:fill="auto"/>
            <w:noWrap/>
            <w:vAlign w:val="center"/>
          </w:tcPr>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tc>
      </w:tr>
    </w:tbl>
    <w:p>
      <w:pPr>
        <w:pStyle w:val="14"/>
        <w:spacing w:before="285" w:beforeAutospacing="0" w:after="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p>
    <w:p>
      <w:pPr>
        <w:pStyle w:val="14"/>
        <w:spacing w:before="120" w:beforeAutospacing="0" w:after="120"/>
        <w:ind w:right="120"/>
        <w:jc w:val="both"/>
        <w:rPr>
          <w:rFonts w:asciiTheme="minorHAnsi" w:hAnsiTheme="minorHAnsi" w:eastAsiaTheme="minorEastAsia" w:cstheme="minorEastAsia"/>
          <w:color w:val="auto"/>
          <w:sz w:val="20"/>
          <w:szCs w:val="20"/>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 Preencher esta coluna caso o fármaco esteja elencado em convênios firmados no Conselho Nacional de Política Fazendária - CONFAZ. Na presente situação, discriminar, ainda, o percentual de desconto da isenção fiscal.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 Em se tratando de fármaco elencado em convênios firmados no Conselho Nacional de Política Fazendária - CONFAZ, o preço total deverá ser informado sem a carga tributária do ICMS.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Validade da proposta:</w:t>
      </w:r>
      <w:r>
        <w:rPr>
          <w:rFonts w:asciiTheme="minorHAnsi" w:hAnsiTheme="minorHAnsi" w:eastAsiaTheme="minorEastAsia" w:cstheme="minorEastAsia"/>
          <w:color w:val="auto"/>
          <w:sz w:val="20"/>
          <w:szCs w:val="20"/>
        </w:rPr>
        <w:t> conforme edital.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Demais condições comerciais:</w:t>
      </w:r>
      <w:r>
        <w:rPr>
          <w:rFonts w:asciiTheme="minorHAnsi" w:hAnsiTheme="minorHAnsi" w:eastAsiaTheme="minorEastAsia" w:cstheme="minorEastAsia"/>
          <w:color w:val="auto"/>
          <w:sz w:val="20"/>
          <w:szCs w:val="20"/>
        </w:rPr>
        <w:t> conforme edital.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Declarações: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Declaramos que os preços dos medicamentos constantes nesta proposta são inferiores aos respectivos valores aplicáveis na tabela CMED.</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Temos ciência de que, da comercialização de medicamentos acima dos valores da tabela CMED, decorrem aplicações de penalidades previstas na Lei nº 10.742/2003 e na Lei nº 8.078/1990, denunciando-se o fato à CMED, ao Ministério Público Federal e ao Ministério Público Estadual para providências cabíveis.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Temos ciência de que, nas aquisições de medicamentos, o medicamento genérico, quando houver, terá preferência sobre os demais em condições de igualdade de preço, nos termos do Art. 3º, § 2º, da Lei nº 9.787/1999</w:t>
      </w:r>
      <w:r>
        <w:rPr>
          <w:rFonts w:asciiTheme="minorHAnsi" w:hAnsiTheme="minorHAnsi" w:eastAsiaTheme="minorEastAsia" w:cstheme="minorEastAsia"/>
          <w:color w:val="auto"/>
          <w:sz w:val="20"/>
          <w:szCs w:val="20"/>
          <w:shd w:val="clear" w:color="auto" w:fill="FFFFFF"/>
        </w:rPr>
        <w:t>.</w:t>
      </w:r>
    </w:p>
    <w:p>
      <w:pPr>
        <w:pStyle w:val="14"/>
        <w:spacing w:before="0" w:beforeAutospacing="0" w:after="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285"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XX/XX/202X</w:t>
      </w:r>
    </w:p>
    <w:p>
      <w:pPr>
        <w:pStyle w:val="14"/>
        <w:spacing w:before="0" w:beforeAutospacing="0" w:after="0"/>
        <w:ind w:left="60" w:right="6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0" w:beforeAutospacing="0" w:after="0"/>
        <w:ind w:left="60" w:right="6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____________________________________________</w:t>
      </w:r>
    </w:p>
    <w:p>
      <w:pPr>
        <w:pStyle w:val="14"/>
        <w:spacing w:before="0" w:beforeAutospacing="0" w:after="0"/>
        <w:ind w:left="60" w:right="60"/>
        <w:jc w:val="center"/>
        <w:rPr>
          <w:rFonts w:hint="default" w:ascii="Calibri" w:hAnsi="Calibri" w:cs="Calibri"/>
          <w:sz w:val="20"/>
          <w:szCs w:val="20"/>
          <w:lang w:val="pt-BR"/>
        </w:rPr>
      </w:pPr>
      <w:r>
        <w:rPr>
          <w:rFonts w:asciiTheme="minorHAnsi" w:hAnsiTheme="minorHAnsi" w:eastAsiaTheme="minorEastAsia" w:cstheme="minorEastAsia"/>
          <w:b/>
          <w:bCs/>
          <w:color w:val="auto"/>
          <w:sz w:val="20"/>
          <w:szCs w:val="20"/>
        </w:rPr>
        <w:t>Nome e assinatura do representante legal</w:t>
      </w:r>
      <w:r>
        <w:rPr>
          <w:rFonts w:hint="default" w:asciiTheme="minorHAnsi" w:hAnsiTheme="minorHAnsi" w:eastAsiaTheme="minorEastAsia" w:cstheme="minorEastAsia"/>
          <w:b/>
          <w:bCs/>
          <w:color w:val="auto"/>
          <w:sz w:val="20"/>
          <w:szCs w:val="20"/>
          <w:lang w:val="pt-BR"/>
        </w:rPr>
        <w:t>.</w:t>
      </w:r>
    </w:p>
    <w:p>
      <w:pPr>
        <w:tabs>
          <w:tab w:val="left" w:pos="426"/>
          <w:tab w:val="left" w:pos="1191"/>
        </w:tabs>
        <w:spacing w:before="120" w:after="120" w:line="360" w:lineRule="auto"/>
        <w:rPr>
          <w:rFonts w:ascii="Calibri" w:hAnsi="Calibri" w:cs="Calibri"/>
          <w:sz w:val="20"/>
          <w:szCs w:val="20"/>
        </w:rPr>
      </w:pPr>
    </w:p>
    <w:p>
      <w:pPr>
        <w:pStyle w:val="39"/>
        <w:spacing w:before="240" w:after="0" w:line="240" w:lineRule="auto"/>
        <w:jc w:val="center"/>
        <w:rPr>
          <w:rFonts w:ascii="Calibri" w:hAnsi="Calibri" w:cs="Calibri"/>
          <w:b/>
          <w:bCs/>
          <w:sz w:val="20"/>
          <w:szCs w:val="20"/>
        </w:rPr>
      </w:pPr>
      <w:r>
        <w:rPr>
          <w:rFonts w:ascii="Calibri" w:hAnsi="Calibri" w:cs="Calibri"/>
          <w:b/>
          <w:bCs/>
          <w:sz w:val="20"/>
          <w:szCs w:val="20"/>
        </w:rPr>
        <w:t xml:space="preserve">PROCESSO LICITATÓRIO Nº </w:t>
      </w:r>
      <w:r>
        <w:rPr>
          <w:rFonts w:hint="default" w:ascii="Calibri" w:hAnsi="Calibri"/>
          <w:b/>
          <w:bCs/>
          <w:sz w:val="20"/>
          <w:szCs w:val="20"/>
        </w:rPr>
        <w:t>0542.2024.AC 74.PE.0240.SAD.DASIS</w:t>
      </w:r>
    </w:p>
    <w:p>
      <w:pPr>
        <w:pStyle w:val="39"/>
        <w:spacing w:after="240" w:line="240" w:lineRule="auto"/>
        <w:jc w:val="center"/>
        <w:rPr>
          <w:rFonts w:ascii="Calibri" w:hAnsi="Calibri" w:cs="Calibri"/>
          <w:sz w:val="20"/>
          <w:szCs w:val="20"/>
        </w:rPr>
      </w:pPr>
      <w:r>
        <w:rPr>
          <w:rFonts w:ascii="Calibri" w:hAnsi="Calibri" w:cs="Calibri"/>
          <w:b/>
          <w:bCs/>
          <w:sz w:val="20"/>
          <w:szCs w:val="20"/>
        </w:rPr>
        <w:t xml:space="preserve">PREGÃO ELETRÔNICO PARA REGISTRO DE PREÇOS Nº </w:t>
      </w:r>
      <w:r>
        <w:rPr>
          <w:rFonts w:hint="default" w:ascii="Calibri" w:hAnsi="Calibri"/>
          <w:b/>
          <w:bCs/>
          <w:sz w:val="20"/>
          <w:szCs w:val="20"/>
        </w:rPr>
        <w:t>PE.0240.SAD.DASIS</w:t>
      </w:r>
    </w:p>
    <w:p>
      <w:pPr>
        <w:tabs>
          <w:tab w:val="left" w:pos="426"/>
          <w:tab w:val="left" w:pos="1191"/>
        </w:tabs>
        <w:spacing w:before="120" w:after="120" w:line="360" w:lineRule="auto"/>
        <w:rPr>
          <w:rFonts w:ascii="Calibri" w:hAnsi="Calibri" w:cs="Calibri"/>
          <w:sz w:val="20"/>
          <w:szCs w:val="20"/>
        </w:rPr>
      </w:pPr>
    </w:p>
    <w:p>
      <w:pPr>
        <w:pStyle w:val="38"/>
        <w:tabs>
          <w:tab w:val="left" w:pos="0"/>
        </w:tabs>
        <w:spacing w:line="276" w:lineRule="auto"/>
        <w:jc w:val="center"/>
        <w:rPr>
          <w:rFonts w:ascii="Calibri" w:hAnsi="Calibri" w:cs="Calibri"/>
          <w:b/>
          <w:color w:val="auto"/>
          <w:sz w:val="20"/>
        </w:rPr>
      </w:pPr>
      <w:r>
        <w:rPr>
          <w:rFonts w:ascii="Calibri" w:hAnsi="Calibri" w:cs="Calibri"/>
          <w:color w:val="auto"/>
          <w:sz w:val="20"/>
          <w:lang w:eastAsia="pt-BR"/>
        </w:rPr>
        <mc:AlternateContent>
          <mc:Choice Requires="wps">
            <w:drawing>
              <wp:inline distT="0" distB="0" distL="0" distR="0">
                <wp:extent cx="5220970" cy="583565"/>
                <wp:effectExtent l="0" t="0" r="17780" b="6985"/>
                <wp:docPr id="142554443" name="Retângulo 7"/>
                <wp:cNvGraphicFramePr/>
                <a:graphic xmlns:a="http://schemas.openxmlformats.org/drawingml/2006/main">
                  <a:graphicData uri="http://schemas.microsoft.com/office/word/2010/wordprocessingShape">
                    <wps:wsp>
                      <wps:cNvSpPr>
                        <a:spLocks noChangeArrowheads="1"/>
                      </wps:cNvSpPr>
                      <wps:spPr bwMode="auto">
                        <a:xfrm>
                          <a:off x="0" y="0"/>
                          <a:ext cx="5220970" cy="583565"/>
                        </a:xfrm>
                        <a:prstGeom prst="rect">
                          <a:avLst/>
                        </a:prstGeom>
                        <a:solidFill>
                          <a:srgbClr val="33608E"/>
                        </a:solidFill>
                        <a:ln w="12700" cap="flat" cmpd="sng" algn="ctr">
                          <a:noFill/>
                          <a:prstDash val="solid"/>
                          <a:miter lim="800000"/>
                        </a:ln>
                      </wps:spPr>
                      <wps:txbx>
                        <w:txbxContent>
                          <w:p>
                            <w:pPr>
                              <w:spacing w:after="0" w:line="276" w:lineRule="auto"/>
                              <w:jc w:val="center"/>
                              <w:rPr>
                                <w:rFonts w:ascii="Calibri" w:hAnsi="Calibri" w:cs="Calibri"/>
                                <w:b/>
                                <w:color w:val="FFFFFF" w:themeColor="background1"/>
                                <w:sz w:val="28"/>
                                <w:szCs w:val="28"/>
                                <w14:textFill>
                                  <w14:solidFill>
                                    <w14:schemeClr w14:val="bg1"/>
                                  </w14:solidFill>
                                </w14:textFill>
                              </w:rPr>
                            </w:pPr>
                            <w:r>
                              <w:rPr>
                                <w:rFonts w:ascii="Calibri" w:hAnsi="Calibri" w:cs="Calibri"/>
                                <w:b/>
                                <w:color w:val="FFFFFF" w:themeColor="background1"/>
                                <w:sz w:val="28"/>
                                <w:szCs w:val="28"/>
                                <w14:textFill>
                                  <w14:solidFill>
                                    <w14:schemeClr w14:val="bg1"/>
                                  </w14:solidFill>
                                </w14:textFill>
                              </w:rPr>
                              <w:t>ANEXO II</w:t>
                            </w:r>
                          </w:p>
                          <w:p>
                            <w:pPr>
                              <w:spacing w:after="0" w:line="276" w:lineRule="auto"/>
                              <w:jc w:val="center"/>
                              <w:rPr>
                                <w:rFonts w:ascii="Calibri" w:hAnsi="Calibri" w:cs="Calibri"/>
                                <w:b/>
                                <w:bCs/>
                                <w:color w:val="FFFFFF" w:themeColor="background1"/>
                                <w:sz w:val="28"/>
                                <w:szCs w:val="28"/>
                                <w14:textFill>
                                  <w14:solidFill>
                                    <w14:schemeClr w14:val="bg1"/>
                                  </w14:solidFill>
                                </w14:textFill>
                              </w:rPr>
                            </w:pPr>
                            <w:r>
                              <w:rPr>
                                <w:rFonts w:ascii="Calibri" w:hAnsi="Calibri" w:cs="Calibri"/>
                                <w:b/>
                                <w:color w:val="FFFFFF" w:themeColor="background1"/>
                                <w:sz w:val="28"/>
                                <w:szCs w:val="28"/>
                                <w14:textFill>
                                  <w14:solidFill>
                                    <w14:schemeClr w14:val="bg1"/>
                                  </w14:solidFill>
                                </w14:textFill>
                              </w:rPr>
                              <w:t>DECLARAÇÕES COMPLEMENTARES</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45.95pt;width:411.1pt;v-text-anchor:middle;" fillcolor="#33608E" filled="t" stroked="f" coordsize="21600,21600" o:gfxdata="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0n4nq1gAA&#10;AAQBAAAPAAAAAAAAAAEAIAAAACIAAABkcnMvZG93bnJldi54bWxQSwECFAAUAAAACACHTuJAS2/f&#10;VlkCAACaBAAADgAAAAAAAAABACAAAAAlAQAAZHJzL2Uyb0RvYy54bWxQSwUGAAAAAAYABgBZAQAA&#10;8AUAAAAA&#10;">
                <v:fill on="t" focussize="0,0"/>
                <v:stroke on="f" weight="1pt" miterlimit="8" joinstyle="miter"/>
                <v:imagedata o:title=""/>
                <o:lock v:ext="edit" aspectratio="f"/>
                <v:textbox>
                  <w:txbxContent>
                    <w:p>
                      <w:pPr>
                        <w:spacing w:after="0" w:line="276" w:lineRule="auto"/>
                        <w:jc w:val="center"/>
                        <w:rPr>
                          <w:rFonts w:ascii="Calibri" w:hAnsi="Calibri" w:cs="Calibri"/>
                          <w:b/>
                          <w:color w:val="FFFFFF" w:themeColor="background1"/>
                          <w:sz w:val="28"/>
                          <w:szCs w:val="28"/>
                          <w14:textFill>
                            <w14:solidFill>
                              <w14:schemeClr w14:val="bg1"/>
                            </w14:solidFill>
                          </w14:textFill>
                        </w:rPr>
                      </w:pPr>
                      <w:r>
                        <w:rPr>
                          <w:rFonts w:ascii="Calibri" w:hAnsi="Calibri" w:cs="Calibri"/>
                          <w:b/>
                          <w:color w:val="FFFFFF" w:themeColor="background1"/>
                          <w:sz w:val="28"/>
                          <w:szCs w:val="28"/>
                          <w14:textFill>
                            <w14:solidFill>
                              <w14:schemeClr w14:val="bg1"/>
                            </w14:solidFill>
                          </w14:textFill>
                        </w:rPr>
                        <w:t>ANEXO II</w:t>
                      </w:r>
                    </w:p>
                    <w:p>
                      <w:pPr>
                        <w:spacing w:after="0" w:line="276" w:lineRule="auto"/>
                        <w:jc w:val="center"/>
                        <w:rPr>
                          <w:rFonts w:ascii="Calibri" w:hAnsi="Calibri" w:cs="Calibri"/>
                          <w:b/>
                          <w:bCs/>
                          <w:color w:val="FFFFFF" w:themeColor="background1"/>
                          <w:sz w:val="28"/>
                          <w:szCs w:val="28"/>
                          <w14:textFill>
                            <w14:solidFill>
                              <w14:schemeClr w14:val="bg1"/>
                            </w14:solidFill>
                          </w14:textFill>
                        </w:rPr>
                      </w:pPr>
                      <w:r>
                        <w:rPr>
                          <w:rFonts w:ascii="Calibri" w:hAnsi="Calibri" w:cs="Calibri"/>
                          <w:b/>
                          <w:color w:val="FFFFFF" w:themeColor="background1"/>
                          <w:sz w:val="28"/>
                          <w:szCs w:val="28"/>
                          <w14:textFill>
                            <w14:solidFill>
                              <w14:schemeClr w14:val="bg1"/>
                            </w14:solidFill>
                          </w14:textFill>
                        </w:rPr>
                        <w:t>DECLARAÇÕES COMPLEMENTARES</w:t>
                      </w:r>
                    </w:p>
                  </w:txbxContent>
                </v:textbox>
                <w10:wrap type="none"/>
                <w10:anchorlock/>
              </v:rect>
            </w:pict>
          </mc:Fallback>
        </mc:AlternateContent>
      </w:r>
    </w:p>
    <w:p>
      <w:pPr>
        <w:spacing w:line="360" w:lineRule="auto"/>
        <w:jc w:val="both"/>
        <w:rPr>
          <w:rFonts w:ascii="Calibri" w:hAnsi="Calibri" w:cs="Calibri"/>
          <w:sz w:val="20"/>
          <w:szCs w:val="20"/>
        </w:rPr>
      </w:pPr>
    </w:p>
    <w:p>
      <w:pPr>
        <w:spacing w:before="120" w:after="120" w:line="360" w:lineRule="auto"/>
        <w:jc w:val="both"/>
        <w:rPr>
          <w:rFonts w:ascii="Calibri" w:hAnsi="Calibri" w:cs="Calibri"/>
          <w:sz w:val="20"/>
          <w:szCs w:val="20"/>
        </w:rPr>
      </w:pPr>
      <w:r>
        <w:rPr>
          <w:rFonts w:ascii="Calibri" w:hAnsi="Calibri" w:cs="Calibri"/>
          <w:sz w:val="20"/>
          <w:szCs w:val="20"/>
        </w:rPr>
        <w:t>A empresa _____________________ , inscrita no CNPJ sob o nº ______________ , sediada __________, por intermédio do seu representante legal o(a) Sr(a) ____________, portador(a) da Carteira de Identidade nº _______________ SSP/_________ e CPF nº_________, sob as penais da lei e para os fins dispostos neste Edital:</w:t>
      </w:r>
    </w:p>
    <w:p>
      <w:pPr>
        <w:pStyle w:val="38"/>
        <w:tabs>
          <w:tab w:val="left" w:pos="0"/>
        </w:tabs>
        <w:spacing w:line="360" w:lineRule="auto"/>
        <w:rPr>
          <w:rFonts w:ascii="Calibri" w:hAnsi="Calibri" w:cs="Calibri"/>
          <w:color w:val="auto"/>
          <w:sz w:val="20"/>
        </w:rPr>
      </w:pPr>
      <w:r>
        <w:rPr>
          <w:rFonts w:ascii="Calibri" w:hAnsi="Calibri" w:cs="Calibri"/>
          <w:b/>
          <w:color w:val="auto"/>
          <w:sz w:val="20"/>
        </w:rPr>
        <w:t>DECLARA</w:t>
      </w:r>
      <w:r>
        <w:rPr>
          <w:rFonts w:ascii="Calibri" w:hAnsi="Calibri" w:cs="Calibri"/>
          <w:color w:val="auto"/>
          <w:sz w:val="20"/>
        </w:rPr>
        <w:t xml:space="preserve"> que cumpriu o disposto no inciso XXXIII do art. 7º da Constituição Federal;</w:t>
      </w:r>
    </w:p>
    <w:p>
      <w:pPr>
        <w:spacing w:line="360" w:lineRule="auto"/>
        <w:jc w:val="both"/>
        <w:rPr>
          <w:rFonts w:ascii="Calibri" w:hAnsi="Calibri" w:cs="Calibri"/>
          <w:sz w:val="20"/>
          <w:szCs w:val="20"/>
        </w:rPr>
      </w:pPr>
      <w:r>
        <w:rPr>
          <w:rFonts w:ascii="Calibri" w:hAnsi="Calibri" w:cs="Calibri"/>
          <w:b/>
          <w:sz w:val="20"/>
          <w:szCs w:val="20"/>
        </w:rPr>
        <w:t xml:space="preserve">DECLARA </w:t>
      </w:r>
      <w:r>
        <w:rPr>
          <w:rFonts w:ascii="Calibri" w:hAnsi="Calibri" w:cs="Calibri"/>
          <w:sz w:val="20"/>
          <w:szCs w:val="20"/>
        </w:rPr>
        <w:t>que</w:t>
      </w:r>
      <w:r>
        <w:rPr>
          <w:rFonts w:ascii="Calibri" w:hAnsi="Calibri" w:cs="Calibri"/>
          <w:b/>
          <w:sz w:val="20"/>
          <w:szCs w:val="20"/>
        </w:rPr>
        <w:t xml:space="preserve"> </w:t>
      </w:r>
      <w:r>
        <w:rPr>
          <w:rFonts w:ascii="Calibri" w:hAnsi="Calibri" w:cs="Calibri"/>
          <w:sz w:val="20"/>
          <w:szCs w:val="20"/>
        </w:rPr>
        <w:t>cumpriu as exigências de reserva de cargos para pessoa com deficiência e para reabilitado da Previdência Social, previstas em lei e em outras normas específica;</w:t>
      </w:r>
    </w:p>
    <w:p>
      <w:pPr>
        <w:spacing w:line="360" w:lineRule="auto"/>
        <w:jc w:val="both"/>
        <w:rPr>
          <w:rFonts w:ascii="Calibri" w:hAnsi="Calibri" w:cs="Calibri"/>
          <w:sz w:val="20"/>
          <w:szCs w:val="20"/>
        </w:rPr>
      </w:pPr>
      <w:r>
        <w:rPr>
          <w:rFonts w:ascii="Calibri" w:hAnsi="Calibri" w:cs="Calibri"/>
          <w:b/>
          <w:sz w:val="20"/>
          <w:szCs w:val="20"/>
        </w:rPr>
        <w:t xml:space="preserve">DECLARA </w:t>
      </w:r>
      <w:r>
        <w:rPr>
          <w:rFonts w:ascii="Calibri" w:hAnsi="Calibri" w:cs="Calibri"/>
          <w:sz w:val="20"/>
          <w:szCs w:val="20"/>
        </w:rPr>
        <w:t>que não possui, em sua cadeia produtiva, empregados executando trabalho degradante ou forçado, observando o disposto nos incisos III e IV do art. 1º e no inciso III do art. 5º da Constituição Federal, bem como no art. 14, inciso VI da Lei nº 14.133/2021.</w:t>
      </w:r>
    </w:p>
    <w:p>
      <w:pPr>
        <w:spacing w:line="360" w:lineRule="auto"/>
        <w:jc w:val="both"/>
        <w:rPr>
          <w:rFonts w:ascii="Calibri" w:hAnsi="Calibri" w:cs="Calibri"/>
          <w:sz w:val="20"/>
          <w:szCs w:val="20"/>
        </w:rPr>
      </w:pPr>
      <w:r>
        <w:rPr>
          <w:rFonts w:ascii="Calibri" w:hAnsi="Calibri" w:cs="Calibri"/>
          <w:b/>
          <w:sz w:val="20"/>
          <w:szCs w:val="20"/>
        </w:rPr>
        <w:t xml:space="preserve">DECLARA </w:t>
      </w:r>
      <w:r>
        <w:rPr>
          <w:rFonts w:ascii="Calibri" w:hAnsi="Calibri" w:cs="Calibri"/>
          <w:sz w:val="20"/>
          <w:szCs w:val="20"/>
        </w:rPr>
        <w:t>que não há sanções vigentes que legalmente proíbam a participante de licitar e/ou contratar com o contratante.</w:t>
      </w:r>
    </w:p>
    <w:p>
      <w:pPr>
        <w:spacing w:line="360" w:lineRule="auto"/>
        <w:jc w:val="center"/>
        <w:rPr>
          <w:rFonts w:ascii="Calibri" w:hAnsi="Calibri" w:cs="Calibri"/>
          <w:sz w:val="20"/>
          <w:szCs w:val="20"/>
        </w:rPr>
      </w:pPr>
      <w:r>
        <w:rPr>
          <w:rFonts w:ascii="Calibri" w:hAnsi="Calibri" w:cs="Calibri"/>
          <w:sz w:val="20"/>
          <w:szCs w:val="20"/>
        </w:rPr>
        <w:t>Recife, XX de XXXX de XXXX</w:t>
      </w:r>
    </w:p>
    <w:p>
      <w:pPr>
        <w:spacing w:line="360" w:lineRule="auto"/>
        <w:jc w:val="both"/>
        <w:rPr>
          <w:rFonts w:ascii="Calibri" w:hAnsi="Calibri" w:cs="Calibri"/>
          <w:sz w:val="20"/>
          <w:szCs w:val="20"/>
        </w:rPr>
      </w:pPr>
    </w:p>
    <w:p>
      <w:pPr>
        <w:spacing w:line="360" w:lineRule="auto"/>
        <w:jc w:val="center"/>
        <w:rPr>
          <w:rFonts w:ascii="Calibri" w:hAnsi="Calibri" w:cs="Calibri"/>
          <w:sz w:val="20"/>
          <w:szCs w:val="20"/>
        </w:rPr>
      </w:pPr>
      <w:r>
        <w:rPr>
          <w:rFonts w:ascii="Calibri" w:hAnsi="Calibri" w:cs="Calibri"/>
          <w:sz w:val="20"/>
          <w:szCs w:val="20"/>
        </w:rPr>
        <w:t>_______________________________________</w:t>
      </w:r>
    </w:p>
    <w:p>
      <w:pPr>
        <w:pStyle w:val="27"/>
        <w:spacing w:line="360" w:lineRule="auto"/>
        <w:jc w:val="center"/>
        <w:rPr>
          <w:rFonts w:ascii="Calibri" w:hAnsi="Calibri" w:cs="Calibri"/>
        </w:rPr>
      </w:pPr>
      <w:r>
        <w:rPr>
          <w:rFonts w:ascii="Calibri" w:hAnsi="Calibri" w:cs="Calibri"/>
          <w:b/>
          <w:bCs/>
        </w:rPr>
        <w:t>REPRESENTANTE DA EMPRESA</w:t>
      </w:r>
    </w:p>
    <w:p>
      <w:pPr>
        <w:pStyle w:val="27"/>
        <w:spacing w:line="360" w:lineRule="auto"/>
        <w:jc w:val="center"/>
        <w:rPr>
          <w:rFonts w:ascii="Calibri" w:hAnsi="Calibri" w:cs="Calibri"/>
        </w:rPr>
      </w:pPr>
      <w:r>
        <w:rPr>
          <w:rFonts w:ascii="Calibri" w:hAnsi="Calibri" w:cs="Calibri"/>
          <w:b/>
        </w:rPr>
        <w:t>CNPJ</w:t>
      </w:r>
      <w:r>
        <w:rPr>
          <w:rFonts w:ascii="Calibri" w:hAnsi="Calibri" w:cs="Calibri"/>
        </w:rPr>
        <w:t xml:space="preserve"> XXXX</w:t>
      </w:r>
    </w:p>
    <w:p>
      <w:pPr>
        <w:pStyle w:val="39"/>
        <w:spacing w:before="240" w:after="0" w:line="240" w:lineRule="auto"/>
        <w:jc w:val="both"/>
        <w:rPr>
          <w:rFonts w:ascii="Calibri" w:hAnsi="Calibri" w:cs="Calibri"/>
          <w:b/>
          <w:bCs/>
          <w:sz w:val="20"/>
          <w:szCs w:val="20"/>
        </w:rPr>
      </w:pPr>
    </w:p>
    <w:p>
      <w:pPr>
        <w:pStyle w:val="39"/>
        <w:spacing w:before="240" w:after="0" w:line="240" w:lineRule="auto"/>
        <w:jc w:val="center"/>
        <w:rPr>
          <w:rFonts w:ascii="Calibri" w:hAnsi="Calibri" w:cs="Calibri"/>
          <w:b/>
          <w:bCs/>
          <w:sz w:val="20"/>
          <w:szCs w:val="20"/>
        </w:rPr>
      </w:pPr>
    </w:p>
    <w:p>
      <w:pPr>
        <w:pStyle w:val="39"/>
        <w:spacing w:before="240" w:after="0" w:line="240" w:lineRule="auto"/>
        <w:jc w:val="center"/>
        <w:rPr>
          <w:rFonts w:ascii="Calibri" w:hAnsi="Calibri" w:cs="Calibri"/>
          <w:b/>
          <w:bCs/>
          <w:sz w:val="20"/>
          <w:szCs w:val="20"/>
        </w:rPr>
      </w:pPr>
    </w:p>
    <w:p>
      <w:pPr>
        <w:pStyle w:val="39"/>
        <w:spacing w:before="240" w:after="0" w:line="240" w:lineRule="auto"/>
        <w:jc w:val="center"/>
        <w:rPr>
          <w:rFonts w:ascii="Calibri" w:hAnsi="Calibri" w:cs="Calibri"/>
          <w:b/>
          <w:bCs/>
          <w:sz w:val="20"/>
          <w:szCs w:val="20"/>
        </w:rPr>
      </w:pPr>
    </w:p>
    <w:p>
      <w:pPr>
        <w:pStyle w:val="39"/>
        <w:spacing w:before="240" w:after="0" w:line="240" w:lineRule="auto"/>
        <w:jc w:val="center"/>
        <w:rPr>
          <w:rFonts w:ascii="Calibri" w:hAnsi="Calibri" w:cs="Calibri"/>
          <w:b/>
          <w:bCs/>
          <w:sz w:val="20"/>
          <w:szCs w:val="20"/>
        </w:rPr>
      </w:pPr>
    </w:p>
    <w:p>
      <w:pPr>
        <w:pStyle w:val="39"/>
        <w:spacing w:before="240" w:after="0" w:line="240" w:lineRule="auto"/>
        <w:jc w:val="both"/>
        <w:rPr>
          <w:rFonts w:ascii="Calibri" w:hAnsi="Calibri" w:cs="Calibri"/>
          <w:b/>
          <w:bCs/>
          <w:sz w:val="20"/>
          <w:szCs w:val="20"/>
        </w:rPr>
      </w:pPr>
    </w:p>
    <w:p>
      <w:pPr>
        <w:pStyle w:val="39"/>
        <w:spacing w:before="240" w:after="0" w:line="240" w:lineRule="auto"/>
        <w:jc w:val="center"/>
        <w:rPr>
          <w:rFonts w:ascii="Calibri" w:hAnsi="Calibri" w:cs="Calibri"/>
          <w:b/>
          <w:bCs/>
          <w:sz w:val="20"/>
          <w:szCs w:val="20"/>
        </w:rPr>
      </w:pPr>
      <w:r>
        <w:rPr>
          <w:rFonts w:ascii="Calibri" w:hAnsi="Calibri" w:cs="Calibri"/>
          <w:b/>
          <w:bCs/>
          <w:sz w:val="20"/>
          <w:szCs w:val="20"/>
        </w:rPr>
        <w:t xml:space="preserve">PROCESSO LICITATÓRIO Nº </w:t>
      </w:r>
      <w:r>
        <w:rPr>
          <w:rFonts w:hint="default" w:ascii="Calibri" w:hAnsi="Calibri"/>
          <w:b/>
          <w:bCs/>
          <w:sz w:val="20"/>
          <w:szCs w:val="20"/>
        </w:rPr>
        <w:t>0542.2024.AC 74.PE.0240.SAD.DASIS</w:t>
      </w:r>
    </w:p>
    <w:p>
      <w:pPr>
        <w:pStyle w:val="39"/>
        <w:spacing w:before="240" w:after="0" w:line="240" w:lineRule="auto"/>
        <w:jc w:val="center"/>
        <w:rPr>
          <w:rFonts w:ascii="Calibri" w:hAnsi="Calibri" w:cs="Calibri"/>
          <w:b/>
          <w:bCs/>
          <w:sz w:val="20"/>
          <w:szCs w:val="20"/>
        </w:rPr>
      </w:pPr>
      <w:r>
        <w:rPr>
          <w:rFonts w:ascii="Calibri" w:hAnsi="Calibri" w:cs="Calibri"/>
          <w:b/>
          <w:bCs/>
          <w:sz w:val="20"/>
          <w:szCs w:val="20"/>
        </w:rPr>
        <w:t xml:space="preserve">PREGÃO ELETRÔNICO PARA REGISTRO DE PREÇOS Nº </w:t>
      </w:r>
      <w:r>
        <w:rPr>
          <w:rFonts w:hint="default" w:ascii="Calibri" w:hAnsi="Calibri"/>
          <w:b/>
          <w:bCs/>
          <w:sz w:val="20"/>
          <w:szCs w:val="20"/>
        </w:rPr>
        <w:t>PE.0240.SAD.DASIS</w:t>
      </w:r>
    </w:p>
    <w:p>
      <w:pPr>
        <w:pStyle w:val="39"/>
        <w:spacing w:after="240" w:line="240" w:lineRule="auto"/>
        <w:jc w:val="center"/>
        <w:rPr>
          <w:rFonts w:ascii="Calibri" w:hAnsi="Calibri" w:cs="Calibri"/>
          <w:b/>
          <w:bCs/>
          <w:sz w:val="20"/>
          <w:szCs w:val="20"/>
        </w:rPr>
      </w:pPr>
    </w:p>
    <w:p>
      <w:pPr>
        <w:pStyle w:val="39"/>
        <w:spacing w:after="0" w:line="240" w:lineRule="auto"/>
        <w:ind w:left="-240"/>
        <w:jc w:val="center"/>
        <w:rPr>
          <w:rFonts w:ascii="Calibri" w:hAnsi="Calibri" w:cs="Calibri"/>
          <w:b/>
          <w:bCs/>
          <w:sz w:val="20"/>
          <w:szCs w:val="20"/>
        </w:rPr>
      </w:pPr>
    </w:p>
    <w:p>
      <w:pPr>
        <w:pStyle w:val="39"/>
        <w:spacing w:after="0" w:line="240" w:lineRule="auto"/>
        <w:ind w:left="-240"/>
        <w:jc w:val="both"/>
        <w:rPr>
          <w:rFonts w:ascii="Calibri" w:hAnsi="Calibri" w:cs="Calibri"/>
          <w:b/>
          <w:bCs/>
          <w:sz w:val="20"/>
          <w:szCs w:val="20"/>
        </w:rPr>
      </w:pPr>
    </w:p>
    <w:p>
      <w:pPr>
        <w:pStyle w:val="37"/>
        <w:spacing w:before="360" w:after="240" w:line="360" w:lineRule="auto"/>
        <w:ind w:left="-992" w:right="-1276"/>
        <w:jc w:val="both"/>
        <w:rPr>
          <w:rFonts w:ascii="Calibri" w:hAnsi="Calibri" w:cs="Calibri"/>
        </w:rPr>
      </w:pPr>
      <w:r>
        <w:rPr>
          <w:rFonts w:ascii="Calibri" w:hAnsi="Calibri" w:cs="Calibri"/>
          <w:lang w:eastAsia="pt-BR"/>
        </w:rPr>
        <mc:AlternateContent>
          <mc:Choice Requires="wps">
            <w:drawing>
              <wp:inline distT="0" distB="0" distL="0" distR="0">
                <wp:extent cx="6659880" cy="532765"/>
                <wp:effectExtent l="0" t="0" r="7620" b="635"/>
                <wp:docPr id="9" name="Retângulo 7"/>
                <wp:cNvGraphicFramePr/>
                <a:graphic xmlns:a="http://schemas.openxmlformats.org/drawingml/2006/main">
                  <a:graphicData uri="http://schemas.microsoft.com/office/word/2010/wordprocessingShape">
                    <wps:wsp>
                      <wps:cNvSpPr>
                        <a:spLocks noChangeArrowheads="1"/>
                      </wps:cNvSpPr>
                      <wps:spPr bwMode="auto">
                        <a:xfrm>
                          <a:off x="0" y="0"/>
                          <a:ext cx="6660000" cy="532765"/>
                        </a:xfrm>
                        <a:prstGeom prst="rect">
                          <a:avLst/>
                        </a:prstGeom>
                        <a:solidFill>
                          <a:srgbClr val="33608E"/>
                        </a:solidFill>
                        <a:ln w="12700" cap="flat" cmpd="sng" algn="ctr">
                          <a:noFill/>
                          <a:prstDash val="solid"/>
                          <a:miter lim="800000"/>
                        </a:ln>
                      </wps:spPr>
                      <wps:txbx>
                        <w:txbxContent>
                          <w:p>
                            <w:pPr>
                              <w:spacing w:after="0" w:line="240" w:lineRule="auto"/>
                              <w:jc w:val="center"/>
                              <w:rPr>
                                <w:rFonts w:ascii="Calibri" w:hAnsi="Calibri" w:cs="Calibri"/>
                                <w:b/>
                                <w:bCs/>
                                <w:color w:val="FFFFFF" w:themeColor="background1"/>
                                <w:sz w:val="28"/>
                                <w:szCs w:val="28"/>
                                <w14:textFill>
                                  <w14:solidFill>
                                    <w14:schemeClr w14:val="bg1"/>
                                  </w14:solidFill>
                                </w14:textFill>
                              </w:rPr>
                            </w:pPr>
                            <w:r>
                              <w:rPr>
                                <w:rFonts w:ascii="Calibri" w:hAnsi="Calibri" w:cs="Calibri"/>
                                <w:b/>
                                <w:bCs/>
                                <w:color w:val="FFFFFF" w:themeColor="background1"/>
                                <w:sz w:val="28"/>
                                <w:szCs w:val="28"/>
                                <w14:textFill>
                                  <w14:solidFill>
                                    <w14:schemeClr w14:val="bg1"/>
                                  </w14:solidFill>
                                </w14:textFill>
                              </w:rPr>
                              <w:t>ANEXO III</w:t>
                            </w:r>
                          </w:p>
                          <w:p>
                            <w:pPr>
                              <w:spacing w:after="0" w:line="240" w:lineRule="auto"/>
                              <w:jc w:val="center"/>
                              <w:rPr>
                                <w:rFonts w:ascii="Calibri" w:hAnsi="Calibri" w:cs="Calibri"/>
                                <w:b/>
                                <w:bCs/>
                                <w:color w:val="FFFFFF" w:themeColor="background1"/>
                                <w:sz w:val="28"/>
                                <w:szCs w:val="28"/>
                                <w14:textFill>
                                  <w14:solidFill>
                                    <w14:schemeClr w14:val="bg1"/>
                                  </w14:solidFill>
                                </w14:textFill>
                              </w:rPr>
                            </w:pPr>
                            <w:r>
                              <w:rPr>
                                <w:rFonts w:ascii="Calibri" w:hAnsi="Calibri" w:cs="Calibri"/>
                                <w:b/>
                                <w:bCs/>
                                <w:color w:val="FFFFFF" w:themeColor="background1"/>
                                <w:sz w:val="28"/>
                                <w:szCs w:val="28"/>
                                <w14:textFill>
                                  <w14:solidFill>
                                    <w14:schemeClr w14:val="bg1"/>
                                  </w14:solidFill>
                                </w14:textFill>
                              </w:rPr>
                              <w:t>MINUTA DA ATA DE REGISTRO DE PREÇOS</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41.95pt;width:524.4pt;v-text-anchor:middle;" fillcolor="#33608E" filled="t" stroked="f" coordsize="21600,21600" o:gfxdata="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I3zsedcAAAAFAQAA&#10;DwAAAAAAAAABACAAAAAiAAAAZHJzL2Rvd25yZXYueG1sUEsBAhQAFAAAAAgAh07iQMb0Pj1TAgAA&#10;kgQAAA4AAAAAAAAAAQAgAAAAJgEAAGRycy9lMm9Eb2MueG1sUEsFBgAAAAAGAAYAWQEAAOsFAAAA&#10;AA==&#10;">
                <v:fill on="t" focussize="0,0"/>
                <v:stroke on="f" weight="1pt" miterlimit="8" joinstyle="miter"/>
                <v:imagedata o:title=""/>
                <o:lock v:ext="edit" aspectratio="f"/>
                <v:textbox>
                  <w:txbxContent>
                    <w:p>
                      <w:pPr>
                        <w:spacing w:after="0" w:line="240" w:lineRule="auto"/>
                        <w:jc w:val="center"/>
                        <w:rPr>
                          <w:rFonts w:ascii="Calibri" w:hAnsi="Calibri" w:cs="Calibri"/>
                          <w:b/>
                          <w:bCs/>
                          <w:color w:val="FFFFFF" w:themeColor="background1"/>
                          <w:sz w:val="28"/>
                          <w:szCs w:val="28"/>
                          <w14:textFill>
                            <w14:solidFill>
                              <w14:schemeClr w14:val="bg1"/>
                            </w14:solidFill>
                          </w14:textFill>
                        </w:rPr>
                      </w:pPr>
                      <w:r>
                        <w:rPr>
                          <w:rFonts w:ascii="Calibri" w:hAnsi="Calibri" w:cs="Calibri"/>
                          <w:b/>
                          <w:bCs/>
                          <w:color w:val="FFFFFF" w:themeColor="background1"/>
                          <w:sz w:val="28"/>
                          <w:szCs w:val="28"/>
                          <w14:textFill>
                            <w14:solidFill>
                              <w14:schemeClr w14:val="bg1"/>
                            </w14:solidFill>
                          </w14:textFill>
                        </w:rPr>
                        <w:t>ANEXO III</w:t>
                      </w:r>
                    </w:p>
                    <w:p>
                      <w:pPr>
                        <w:spacing w:after="0" w:line="240" w:lineRule="auto"/>
                        <w:jc w:val="center"/>
                        <w:rPr>
                          <w:rFonts w:ascii="Calibri" w:hAnsi="Calibri" w:cs="Calibri"/>
                          <w:b/>
                          <w:bCs/>
                          <w:color w:val="FFFFFF" w:themeColor="background1"/>
                          <w:sz w:val="28"/>
                          <w:szCs w:val="28"/>
                          <w14:textFill>
                            <w14:solidFill>
                              <w14:schemeClr w14:val="bg1"/>
                            </w14:solidFill>
                          </w14:textFill>
                        </w:rPr>
                      </w:pPr>
                      <w:r>
                        <w:rPr>
                          <w:rFonts w:ascii="Calibri" w:hAnsi="Calibri" w:cs="Calibri"/>
                          <w:b/>
                          <w:bCs/>
                          <w:color w:val="FFFFFF" w:themeColor="background1"/>
                          <w:sz w:val="28"/>
                          <w:szCs w:val="28"/>
                          <w14:textFill>
                            <w14:solidFill>
                              <w14:schemeClr w14:val="bg1"/>
                            </w14:solidFill>
                          </w14:textFill>
                        </w:rPr>
                        <w:t>MINUTA DA ATA DE REGISTRO DE PREÇOS</w:t>
                      </w:r>
                    </w:p>
                  </w:txbxContent>
                </v:textbox>
                <w10:wrap type="none"/>
                <w10:anchorlock/>
              </v:rect>
            </w:pict>
          </mc:Fallback>
        </mc:AlternateContent>
      </w:r>
    </w:p>
    <w:p>
      <w:pPr>
        <w:spacing w:before="120" w:after="120" w:line="360" w:lineRule="auto"/>
        <w:jc w:val="both"/>
        <w:rPr>
          <w:rFonts w:ascii="Calibri" w:hAnsi="Calibri" w:cs="Calibri"/>
          <w:sz w:val="20"/>
          <w:szCs w:val="20"/>
        </w:rPr>
      </w:pPr>
      <w:r>
        <w:rPr>
          <w:rFonts w:ascii="Calibri" w:hAnsi="Calibri" w:cs="Calibri"/>
          <w:sz w:val="20"/>
          <w:szCs w:val="20"/>
        </w:rPr>
        <w:t xml:space="preserve">O </w:t>
      </w:r>
      <w:r>
        <w:rPr>
          <w:rFonts w:ascii="Calibri" w:hAnsi="Calibri" w:cs="Calibri"/>
          <w:b/>
          <w:sz w:val="20"/>
          <w:szCs w:val="20"/>
        </w:rPr>
        <w:t>ESTADO DE PERNAMBUCO,</w:t>
      </w:r>
      <w:r>
        <w:rPr>
          <w:rFonts w:ascii="Calibri" w:hAnsi="Calibri" w:cs="Calibri"/>
          <w:sz w:val="20"/>
          <w:szCs w:val="20"/>
        </w:rPr>
        <w:t xml:space="preserve"> por intermédio da </w:t>
      </w:r>
      <w:r>
        <w:rPr>
          <w:rFonts w:ascii="Calibri" w:hAnsi="Calibri" w:cs="Calibri"/>
          <w:b/>
          <w:sz w:val="20"/>
          <w:szCs w:val="20"/>
        </w:rPr>
        <w:t>SECRETARIA XXX ,</w:t>
      </w:r>
      <w:r>
        <w:rPr>
          <w:rFonts w:ascii="Calibri" w:hAnsi="Calibri" w:cs="Calibri"/>
          <w:sz w:val="20"/>
          <w:szCs w:val="20"/>
        </w:rPr>
        <w:t xml:space="preserve"> doravante denominada </w:t>
      </w:r>
      <w:r>
        <w:rPr>
          <w:rFonts w:ascii="Calibri" w:hAnsi="Calibri" w:cs="Calibri"/>
          <w:b/>
          <w:sz w:val="20"/>
          <w:szCs w:val="20"/>
        </w:rPr>
        <w:t>GERENCIADOR</w:t>
      </w:r>
      <w:r>
        <w:rPr>
          <w:rFonts w:ascii="Calibri" w:hAnsi="Calibri" w:cs="Calibri"/>
          <w:sz w:val="20"/>
          <w:szCs w:val="20"/>
        </w:rPr>
        <w:t xml:space="preserve">, com sede em XXX, inscrita no CNPJ sob o nº XXX, neste ato representada pelo(a) XXX,  portador da matrícula funcional nº XXXXX, no uso da competência conferida pelo __________________________________, nos termos do que dispõem a Lei nº 14.133, de 1º de abril de 2021, e os Decretos Estaduais nº 54.142/2022 e nº 54.700/2023, face ao resultado obtido no </w:t>
      </w:r>
      <w:r>
        <w:rPr>
          <w:rFonts w:ascii="Calibri" w:hAnsi="Calibri" w:cs="Calibri"/>
          <w:b/>
          <w:sz w:val="20"/>
          <w:szCs w:val="20"/>
        </w:rPr>
        <w:t>Pregão Eletrônico</w:t>
      </w:r>
      <w:r>
        <w:rPr>
          <w:rFonts w:ascii="Calibri" w:hAnsi="Calibri" w:cs="Calibri"/>
          <w:sz w:val="20"/>
          <w:szCs w:val="20"/>
        </w:rPr>
        <w:t xml:space="preserve"> nº </w:t>
      </w:r>
      <w:r>
        <w:rPr>
          <w:rFonts w:hint="default" w:ascii="Calibri" w:hAnsi="Calibri" w:eastAsia="Tahoma" w:cs="Calibri"/>
          <w:b/>
          <w:bCs/>
          <w:sz w:val="20"/>
          <w:szCs w:val="20"/>
          <w:shd w:val="clear" w:color="auto" w:fill="FFFFFF"/>
          <w:lang w:val="pt-BR"/>
        </w:rPr>
        <w:t>PE.0240.SAD.DASIS</w:t>
      </w:r>
      <w:r>
        <w:rPr>
          <w:rFonts w:ascii="Calibri" w:hAnsi="Calibri" w:cs="Calibri"/>
          <w:sz w:val="20"/>
          <w:szCs w:val="20"/>
        </w:rPr>
        <w:t xml:space="preserve">, homologado através do Ato XXXX, resolve formalizar a presente </w:t>
      </w:r>
      <w:r>
        <w:rPr>
          <w:rFonts w:ascii="Calibri" w:hAnsi="Calibri" w:cs="Calibri"/>
          <w:b/>
          <w:sz w:val="20"/>
          <w:szCs w:val="20"/>
        </w:rPr>
        <w:t>ATA DE REGISTRO DE PREÇOS</w:t>
      </w:r>
      <w:r>
        <w:rPr>
          <w:rFonts w:ascii="Calibri" w:hAnsi="Calibri" w:cs="Calibri"/>
          <w:sz w:val="20"/>
          <w:szCs w:val="20"/>
        </w:rPr>
        <w:t xml:space="preserve">, com a(s) empresa(s) </w:t>
      </w:r>
      <w:r>
        <w:rPr>
          <w:rFonts w:ascii="Calibri" w:hAnsi="Calibri" w:cs="Calibri"/>
          <w:b/>
          <w:sz w:val="20"/>
          <w:szCs w:val="20"/>
        </w:rPr>
        <w:t>XXX,</w:t>
      </w:r>
      <w:r>
        <w:rPr>
          <w:rFonts w:ascii="Calibri" w:hAnsi="Calibri" w:cs="Calibri"/>
          <w:sz w:val="20"/>
          <w:szCs w:val="20"/>
        </w:rPr>
        <w:t xml:space="preserve"> doravante denominada(s) </w:t>
      </w:r>
      <w:r>
        <w:rPr>
          <w:rFonts w:ascii="Calibri" w:hAnsi="Calibri" w:cs="Calibri"/>
          <w:b/>
          <w:sz w:val="20"/>
          <w:szCs w:val="20"/>
        </w:rPr>
        <w:t>DETENTORA(S) DA ATA</w:t>
      </w:r>
      <w:r>
        <w:rPr>
          <w:rFonts w:ascii="Calibri" w:hAnsi="Calibri" w:cs="Calibri"/>
          <w:sz w:val="20"/>
          <w:szCs w:val="20"/>
        </w:rPr>
        <w:t>, CNPJ nº XXX, com sede em XXX, neste ato, representada por XXX, consoante as seguintes cláusulas e condições:</w:t>
      </w:r>
    </w:p>
    <w:p>
      <w:pPr>
        <w:pStyle w:val="27"/>
        <w:autoSpaceDN w:val="0"/>
        <w:spacing w:before="360" w:after="120" w:line="360" w:lineRule="auto"/>
        <w:ind w:left="-1701"/>
        <w:jc w:val="both"/>
        <w:textAlignment w:val="baseline"/>
        <w:rPr>
          <w:rFonts w:ascii="Calibri" w:hAnsi="Calibri" w:cs="Calibri"/>
        </w:rPr>
      </w:pPr>
      <w:r>
        <w:rPr>
          <w:rFonts w:ascii="Calibri" w:hAnsi="Calibri" w:cs="Calibri"/>
        </w:rPr>
        <mc:AlternateContent>
          <mc:Choice Requires="wps">
            <w:drawing>
              <wp:inline distT="0" distB="0" distL="0" distR="0">
                <wp:extent cx="2372360" cy="359410"/>
                <wp:effectExtent l="0" t="0" r="8890" b="2540"/>
                <wp:docPr id="62" name="Retângulo 7"/>
                <wp:cNvGraphicFramePr/>
                <a:graphic xmlns:a="http://schemas.openxmlformats.org/drawingml/2006/main">
                  <a:graphicData uri="http://schemas.microsoft.com/office/word/2010/wordprocessingShape">
                    <wps:wsp>
                      <wps:cNvSpPr>
                        <a:spLocks noChangeArrowheads="1"/>
                      </wps:cNvSpPr>
                      <wps:spPr bwMode="auto">
                        <a:xfrm>
                          <a:off x="0" y="0"/>
                          <a:ext cx="2372360" cy="360000"/>
                        </a:xfrm>
                        <a:prstGeom prst="rect">
                          <a:avLst/>
                        </a:prstGeom>
                        <a:solidFill>
                          <a:srgbClr val="33608E"/>
                        </a:solidFill>
                        <a:ln w="12700" cap="flat" cmpd="sng" algn="ctr">
                          <a:noFill/>
                          <a:prstDash val="solid"/>
                          <a:miter lim="800000"/>
                        </a:ln>
                      </wps:spPr>
                      <wps:txbx>
                        <w:txbxContent>
                          <w:p>
                            <w:pPr>
                              <w:pStyle w:val="36"/>
                              <w:numPr>
                                <w:ilvl w:val="0"/>
                                <w:numId w:val="0"/>
                              </w:numPr>
                              <w:spacing w:after="0"/>
                              <w:ind w:left="720" w:leftChars="0" w:right="283" w:rightChars="0" w:firstLine="720" w:firstLineChars="300"/>
                              <w:rPr>
                                <w:rFonts w:ascii="Calibri" w:hAnsi="Calibri" w:cs="Calibri"/>
                                <w:b/>
                                <w:bCs/>
                                <w:color w:val="FFFFFF" w:themeColor="background1"/>
                                <w:sz w:val="24"/>
                                <w:szCs w:val="24"/>
                                <w14:textFill>
                                  <w14:solidFill>
                                    <w14:schemeClr w14:val="bg1"/>
                                  </w14:solidFill>
                                </w14:textFill>
                              </w:rPr>
                            </w:pPr>
                            <w:r>
                              <w:rPr>
                                <w:rFonts w:hint="default" w:ascii="Calibri" w:hAnsi="Calibri" w:cs="Calibri"/>
                                <w:b/>
                                <w:bCs/>
                                <w:color w:val="FFFFFF" w:themeColor="background1"/>
                                <w:sz w:val="24"/>
                                <w:szCs w:val="24"/>
                                <w:lang w:val="pt-BR"/>
                                <w14:textFill>
                                  <w14:solidFill>
                                    <w14:schemeClr w14:val="bg1"/>
                                  </w14:solidFill>
                                </w14:textFill>
                              </w:rPr>
                              <w:t>1.</w:t>
                            </w:r>
                            <w:r>
                              <w:rPr>
                                <w:rFonts w:ascii="Calibri" w:hAnsi="Calibri" w:cs="Calibri"/>
                                <w:b/>
                                <w:bCs/>
                                <w:color w:val="FFFFFF" w:themeColor="background1"/>
                                <w:sz w:val="24"/>
                                <w:szCs w:val="24"/>
                                <w14:textFill>
                                  <w14:solidFill>
                                    <w14:schemeClr w14:val="bg1"/>
                                  </w14:solidFill>
                                </w14:textFill>
                              </w:rPr>
                              <w:t>DO OBJETO</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186.8pt;v-text-anchor:middle;" fillcolor="#33608E" filled="t" stroked="f" coordsize="21600,21600" o:gfxdata="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FC0E1fWAAAABAEAAA8AAAAA&#10;AAAAAQAgAAAAIgAAAGRycy9kb3ducmV2LnhtbFBLAQIUABQAAAAIAIdO4kBOyqJQTwIAAJMEAAAO&#10;AAAAAAAAAAEAIAAAACUBAABkcnMvZTJvRG9jLnhtbFBLBQYAAAAABgAGAFkBAADmBQAAAAA=&#10;">
                <v:fill on="t" focussize="0,0"/>
                <v:stroke on="f" weight="1pt" miterlimit="8" joinstyle="miter"/>
                <v:imagedata o:title=""/>
                <o:lock v:ext="edit" aspectratio="f"/>
                <v:textbox>
                  <w:txbxContent>
                    <w:p>
                      <w:pPr>
                        <w:pStyle w:val="36"/>
                        <w:numPr>
                          <w:ilvl w:val="0"/>
                          <w:numId w:val="0"/>
                        </w:numPr>
                        <w:spacing w:after="0"/>
                        <w:ind w:left="720" w:leftChars="0" w:right="283" w:rightChars="0" w:firstLine="720" w:firstLineChars="300"/>
                        <w:rPr>
                          <w:rFonts w:ascii="Calibri" w:hAnsi="Calibri" w:cs="Calibri"/>
                          <w:b/>
                          <w:bCs/>
                          <w:color w:val="FFFFFF" w:themeColor="background1"/>
                          <w:sz w:val="24"/>
                          <w:szCs w:val="24"/>
                          <w14:textFill>
                            <w14:solidFill>
                              <w14:schemeClr w14:val="bg1"/>
                            </w14:solidFill>
                          </w14:textFill>
                        </w:rPr>
                      </w:pPr>
                      <w:r>
                        <w:rPr>
                          <w:rFonts w:hint="default" w:ascii="Calibri" w:hAnsi="Calibri" w:cs="Calibri"/>
                          <w:b/>
                          <w:bCs/>
                          <w:color w:val="FFFFFF" w:themeColor="background1"/>
                          <w:sz w:val="24"/>
                          <w:szCs w:val="24"/>
                          <w:lang w:val="pt-BR"/>
                          <w14:textFill>
                            <w14:solidFill>
                              <w14:schemeClr w14:val="bg1"/>
                            </w14:solidFill>
                          </w14:textFill>
                        </w:rPr>
                        <w:t>1.</w:t>
                      </w:r>
                      <w:r>
                        <w:rPr>
                          <w:rFonts w:ascii="Calibri" w:hAnsi="Calibri" w:cs="Calibri"/>
                          <w:b/>
                          <w:bCs/>
                          <w:color w:val="FFFFFF" w:themeColor="background1"/>
                          <w:sz w:val="24"/>
                          <w:szCs w:val="24"/>
                          <w14:textFill>
                            <w14:solidFill>
                              <w14:schemeClr w14:val="bg1"/>
                            </w14:solidFill>
                          </w14:textFill>
                        </w:rPr>
                        <w:t>DO OBJETO</w:t>
                      </w:r>
                    </w:p>
                  </w:txbxContent>
                </v:textbox>
                <w10:wrap type="none"/>
                <w10:anchorlock/>
              </v:rect>
            </w:pict>
          </mc:Fallback>
        </mc:AlternateContent>
      </w:r>
    </w:p>
    <w:p>
      <w:pPr>
        <w:pStyle w:val="27"/>
        <w:numPr>
          <w:ilvl w:val="1"/>
          <w:numId w:val="6"/>
        </w:numPr>
        <w:autoSpaceDN w:val="0"/>
        <w:spacing w:before="120" w:after="120" w:line="360" w:lineRule="auto"/>
        <w:ind w:left="-11" w:leftChars="-5" w:firstLine="10" w:firstLineChars="5"/>
        <w:jc w:val="both"/>
        <w:textAlignment w:val="baseline"/>
        <w:rPr>
          <w:rFonts w:cs="Calibri"/>
        </w:rPr>
      </w:pPr>
      <w:r>
        <w:rPr>
          <w:rFonts w:ascii="Calibri" w:hAnsi="Calibri" w:cs="Calibri"/>
        </w:rPr>
        <w:t>A presente Ata de Registro de Preços tem como objeto a aquisição eventual de</w:t>
      </w:r>
      <w:r>
        <w:rPr>
          <w:rFonts w:cs="Calibri"/>
        </w:rPr>
        <w:t xml:space="preserve"> </w:t>
      </w:r>
      <w:r>
        <w:rPr>
          <w:rStyle w:val="4"/>
          <w:rFonts w:eastAsia="SimSun" w:cs="Calibri"/>
        </w:rPr>
        <w:t>MEDICAMENTOS ANTIMICROBIANOS INJETÁVEIS</w:t>
      </w:r>
      <w:r>
        <w:rPr>
          <w:rFonts w:cs="Calibri"/>
        </w:rPr>
        <w:t xml:space="preserve">, conforme as especificações técnicas constantes do Termo de Referência (Anexo I do Edital) e da proposta da </w:t>
      </w:r>
      <w:r>
        <w:rPr>
          <w:rFonts w:cs="Calibri"/>
          <w:b/>
        </w:rPr>
        <w:t>DETENTORA DA ATA</w:t>
      </w:r>
      <w:r>
        <w:rPr>
          <w:rFonts w:cs="Calibri"/>
        </w:rPr>
        <w:t>, para atender às demandas dos órgãos participantes indicados no item 2 desta Ata de Registro de Preços.</w:t>
      </w:r>
    </w:p>
    <w:p>
      <w:pPr>
        <w:pStyle w:val="10"/>
        <w:numPr>
          <w:ilvl w:val="1"/>
          <w:numId w:val="6"/>
        </w:numPr>
        <w:spacing w:line="360" w:lineRule="auto"/>
        <w:ind w:left="-11" w:leftChars="-5" w:firstLine="10" w:firstLineChars="5"/>
        <w:jc w:val="both"/>
        <w:rPr>
          <w:rFonts w:cs="Calibri"/>
          <w:lang w:eastAsia="pt-BR"/>
        </w:rPr>
      </w:pPr>
      <w:r>
        <w:rPr>
          <w:rFonts w:cs="Calibri"/>
          <w:lang w:eastAsia="pt-BR"/>
        </w:rPr>
        <w:t>A existência de preços registrados não obriga os órgãos participantes a firmar contratações com a DETENTORA DA ATA ou a contratar a totalidade dos bens registrados, sendo-lhes facultada a realização de licitação específica para a contratação pretendida, assegurada à DETENTORA DA ATA a preferência em igualdades de condições.</w:t>
      </w:r>
    </w:p>
    <w:p>
      <w:pPr>
        <w:pStyle w:val="10"/>
        <w:ind w:left="-1"/>
        <w:rPr>
          <w:rFonts w:ascii="Calibri" w:hAnsi="Calibri" w:cs="Calibri"/>
        </w:rPr>
      </w:pPr>
    </w:p>
    <w:p>
      <w:pPr>
        <w:spacing w:before="360" w:after="120" w:line="360" w:lineRule="auto"/>
        <w:ind w:left="-1701" w:right="-1418"/>
        <w:jc w:val="both"/>
        <w:rPr>
          <w:rFonts w:ascii="Calibri" w:hAnsi="Calibri" w:cs="Calibri"/>
          <w:sz w:val="20"/>
          <w:szCs w:val="20"/>
        </w:rPr>
      </w:pPr>
      <w:r>
        <w:rPr>
          <w:rFonts w:ascii="Calibri" w:hAnsi="Calibri" w:cs="Calibri"/>
          <w:sz w:val="20"/>
          <w:szCs w:val="20"/>
          <w:lang w:eastAsia="pt-BR"/>
        </w:rPr>
        <mc:AlternateContent>
          <mc:Choice Requires="wps">
            <w:drawing>
              <wp:inline distT="0" distB="0" distL="0" distR="0">
                <wp:extent cx="5327650" cy="359410"/>
                <wp:effectExtent l="0" t="0" r="6350" b="2540"/>
                <wp:docPr id="8" name="Retângulo 7"/>
                <wp:cNvGraphicFramePr/>
                <a:graphic xmlns:a="http://schemas.openxmlformats.org/drawingml/2006/main">
                  <a:graphicData uri="http://schemas.microsoft.com/office/word/2010/wordprocessingShape">
                    <wps:wsp>
                      <wps:cNvSpPr>
                        <a:spLocks noChangeArrowheads="1"/>
                      </wps:cNvSpPr>
                      <wps:spPr bwMode="auto">
                        <a:xfrm>
                          <a:off x="0" y="0"/>
                          <a:ext cx="5327650"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2. DOS PARTICIPANTES E DAS QUANTIDADES REGISTRADAS</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419.5pt;v-text-anchor:middle;" fillcolor="#33608E" filled="t" stroked="f" coordsize="21600,21600" o:gfxdata="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Hp/mz9cAAAAEAQAADwAAAAAA&#10;AAABACAAAAAiAAAAZHJzL2Rvd25yZXYueG1sUEsBAhQAFAAAAAgAh07iQGN7ZDVNAgAAkgQAAA4A&#10;AAAAAAAAAQAgAAAAJgEAAGRycy9lMm9Eb2MueG1sUEsFBgAAAAAGAAYAWQEAAOUFA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2. DOS PARTICIPANTES E DAS QUANTIDADES REGISTRADAS</w:t>
                      </w:r>
                    </w:p>
                  </w:txbxContent>
                </v:textbox>
                <w10:wrap type="none"/>
                <w10:anchorlock/>
              </v:rect>
            </w:pict>
          </mc:Fallback>
        </mc:AlternateContent>
      </w:r>
    </w:p>
    <w:p>
      <w:pPr>
        <w:spacing w:after="0" w:line="240" w:lineRule="auto"/>
        <w:jc w:val="both"/>
        <w:rPr>
          <w:rFonts w:cs="Calibri"/>
          <w:sz w:val="20"/>
          <w:szCs w:val="20"/>
        </w:rPr>
      </w:pPr>
      <w:r>
        <w:rPr>
          <w:rFonts w:ascii="Calibri" w:hAnsi="Calibri" w:cs="Calibri"/>
          <w:b/>
          <w:bCs/>
          <w:sz w:val="20"/>
          <w:szCs w:val="20"/>
        </w:rPr>
        <w:t>2.1.</w:t>
      </w:r>
      <w:r>
        <w:rPr>
          <w:rFonts w:ascii="Calibri" w:hAnsi="Calibri" w:cs="Calibri"/>
          <w:sz w:val="20"/>
          <w:szCs w:val="20"/>
        </w:rPr>
        <w:t xml:space="preserve"> </w:t>
      </w:r>
      <w:r>
        <w:rPr>
          <w:rFonts w:cs="Calibri"/>
          <w:sz w:val="20"/>
          <w:szCs w:val="20"/>
        </w:rPr>
        <w:t xml:space="preserve">Figura como único </w:t>
      </w:r>
      <w:r>
        <w:rPr>
          <w:rFonts w:cs="Calibri"/>
          <w:b/>
          <w:sz w:val="20"/>
          <w:szCs w:val="20"/>
        </w:rPr>
        <w:t xml:space="preserve">PARTICIPANTE </w:t>
      </w:r>
      <w:r>
        <w:rPr>
          <w:rFonts w:cs="Calibri"/>
          <w:sz w:val="20"/>
          <w:szCs w:val="20"/>
        </w:rPr>
        <w:t xml:space="preserve">da presente Ata de Registro de Preços </w:t>
      </w:r>
      <w:r>
        <w:rPr>
          <w:rFonts w:eastAsia="SimSun" w:cs="Calibri"/>
          <w:sz w:val="20"/>
          <w:szCs w:val="20"/>
        </w:rPr>
        <w:t>A DIRETORIA DE APOIO ADMINISTRATIVO AO SISTEMA DE SAÚDE DA PMPE - DASIS</w:t>
      </w:r>
      <w:r>
        <w:rPr>
          <w:rFonts w:cs="Calibri"/>
          <w:sz w:val="20"/>
          <w:szCs w:val="20"/>
        </w:rPr>
        <w:t>, com os quantitativos estimados abaixo definidos:</w:t>
      </w:r>
    </w:p>
    <w:p>
      <w:pPr>
        <w:spacing w:after="0" w:line="240" w:lineRule="auto"/>
        <w:jc w:val="both"/>
        <w:rPr>
          <w:rFonts w:ascii="Calibri" w:hAnsi="Calibri" w:cs="Calibri"/>
          <w:sz w:val="20"/>
          <w:szCs w:val="20"/>
        </w:rPr>
      </w:pPr>
    </w:p>
    <w:tbl>
      <w:tblPr>
        <w:tblStyle w:val="3"/>
        <w:tblW w:w="0" w:type="auto"/>
        <w:tblInd w:w="0" w:type="dxa"/>
        <w:tblLayout w:type="fixed"/>
        <w:tblCellMar>
          <w:top w:w="15" w:type="dxa"/>
          <w:left w:w="15" w:type="dxa"/>
          <w:bottom w:w="15" w:type="dxa"/>
          <w:right w:w="15" w:type="dxa"/>
        </w:tblCellMar>
      </w:tblPr>
      <w:tblGrid>
        <w:gridCol w:w="352"/>
        <w:gridCol w:w="930"/>
        <w:gridCol w:w="1800"/>
        <w:gridCol w:w="1080"/>
        <w:gridCol w:w="975"/>
        <w:gridCol w:w="735"/>
        <w:gridCol w:w="1035"/>
        <w:gridCol w:w="1489"/>
      </w:tblGrid>
      <w:tr>
        <w:tblPrEx>
          <w:tblCellMar>
            <w:top w:w="15" w:type="dxa"/>
            <w:left w:w="15" w:type="dxa"/>
            <w:bottom w:w="15" w:type="dxa"/>
            <w:right w:w="15" w:type="dxa"/>
          </w:tblCellMar>
        </w:tblPrEx>
        <w:trPr>
          <w:trHeight w:val="280" w:hRule="atLeast"/>
        </w:trPr>
        <w:tc>
          <w:tcPr>
            <w:tcW w:w="352" w:type="dxa"/>
            <w:tcBorders>
              <w:top w:val="single" w:color="D3D3D3" w:sz="6" w:space="0"/>
              <w:left w:val="single" w:color="D3D3D3" w:sz="6" w:space="0"/>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N°</w:t>
            </w:r>
          </w:p>
        </w:tc>
        <w:tc>
          <w:tcPr>
            <w:tcW w:w="930"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Código</w:t>
            </w:r>
          </w:p>
        </w:tc>
        <w:tc>
          <w:tcPr>
            <w:tcW w:w="1800"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Descrição</w:t>
            </w:r>
          </w:p>
        </w:tc>
        <w:tc>
          <w:tcPr>
            <w:tcW w:w="1080"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Natureza de despesa</w:t>
            </w:r>
          </w:p>
        </w:tc>
        <w:tc>
          <w:tcPr>
            <w:tcW w:w="975"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Quantidade</w:t>
            </w:r>
          </w:p>
        </w:tc>
        <w:tc>
          <w:tcPr>
            <w:tcW w:w="735"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Unidade de medida</w:t>
            </w:r>
          </w:p>
        </w:tc>
        <w:tc>
          <w:tcPr>
            <w:tcW w:w="1035"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Valor de referência unitário</w:t>
            </w:r>
          </w:p>
        </w:tc>
        <w:tc>
          <w:tcPr>
            <w:tcW w:w="1489" w:type="dxa"/>
            <w:tcBorders>
              <w:top w:val="single" w:color="D3D3D3" w:sz="6" w:space="0"/>
              <w:left w:val="nil"/>
              <w:bottom w:val="single" w:color="D3D3D3" w:sz="6" w:space="0"/>
              <w:right w:val="single" w:color="D3D3D3" w:sz="6" w:space="0"/>
            </w:tcBorders>
            <w:shd w:val="clear" w:color="auto" w:fill="F1F1F1"/>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Valor estimado</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3086160</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TEICOPLANINA - CONCENTRACAO/DOSAGEM 400 MG,FORMA FARMACEUTICA PO LIOFILIZADO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3069680</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CIPROFLOXACINO - CONCENTRACAO/DOSAGEM 2 MG/ML,FORMA FARMACEUTICA SOLUCAO INJETAVEL,FORMA DE APRESENTACAO BOLSA OU FRASCO,VIA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1.500,00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200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3069214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CEFTRIAXONA DISSODICA - CONCENTRACAO/DOSAGEM 1 G,FORMA FARMACEUTICA PO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11.000,00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4</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3069184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CEFTAZIDIMA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5</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3069079</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CEFALOTINA SODICA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3.500,00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6</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3065146</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ACICLOVIR - CONCENTRACAO/DOSAGEM 250 MG,FORMA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750,00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7</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3065995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AMICACINA, SULFATO - CONCENTRACAO/DOSAGEM 250 MG/ML,FORMA FARMACEUTICA SOLUCAO INJETAVEL,FORMA DE APRESENTACAO 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 2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8</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3097633</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AMOXICILINA + CLAVULANATO DE POTASSIO - CONCENTRACAO/DOSAGEM 1 G + 200 MG RESPECTIVAMENTE,FORMA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650,00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9</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3067394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AMPICILINA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3088316</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AMPICILINA SODICA + SULBACTAM SODICO - CONCENTRACAO/DOSAGEM 2 G + 1 G RESPECTIVAMENTE,FORMA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500,00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11</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3099059</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ANFOTERICINA B - CONCENTRACAO/DOSAGEM 50 MG,FORMA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12</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3068145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AZITROMICINA - CONCENTRACAO/DOSAGEM 500 MG,FORMA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13</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3081923</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BENZILPENICILINA BENZATINA - CONCENTRACAO/DOSAGEM 1.200.000 UI,FORMA FARMACEUTICA PO PARA SUSPENSAO INJETAVEL,FORMA DE APRESENTACAO FRASCO-AMPOLA,VIA DE ADMINISTRACAO INTRAMUSCULAR</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1.200,00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14</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3085880</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BENZILPENICILINA POTASSICA - CONCENTRACAO/DOSAGEM 5.000.000 UI,FORMA FARMACEUTICA PO LIOFILIZADO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15</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3069095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CEFAZOLINA SODICA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1.600,00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16</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3069150</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CEFEPIMA - CONCENTRACAO/DOSAGEM 1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570,00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17</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3069176</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CEFEPIMA - CONCENTRACAO/DOSAGEM 2 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18</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3069869</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CLINDAMICINA - CONCENTRACAO/DOSAGEM 150 MG/ML,FORMA FARMACEUTICA SOLUCAO INJETAVEL,FORMA DE APRESENTACAO 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1.500,00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 4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19</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3116816</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FLUCONAZOL - CONCENTRACAO/DOSAGEM 2 MG/ML,FORMA FARMACEUTICA SOLUCAO INJETAVEL,FORMA DE APRESENTACAO BOLSA OU FRASCO,VIA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100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3080994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GANCICLOVIR - CONCENTRACAO/DOSAGEM 500 MG,FORMA FARMACEUTICA PO LIOFILIZADO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21</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3168182</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GENTAMICINA, SULFATO - CONCENTRACAO/DOSAGEM 40 MG/ML,FORMA FARMACEUTICA SOLUCAO INJETAVEL,FORMA DE APRESENTACAO 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750,00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 2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22</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3089045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IMIPENEM + CILASTATINA SODICA - CONCENTRACAO/DOSAGEM 500 MG + 500 MG RESPECTIVAMENTE,FORMA FARMACEUTICA PO PARA SOLUCAO INJETAVEL,FORMA DE APRESENTACAO FRASCO-AMPOLA,VIA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23</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3117057</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LEVOFLOXACINO - CONCENTRACAO/DOSAGEM 5 MG/ML,FORMA FARMACEUTICA SOLUCAO INJETAVEL,FORMA DE APRESENTACAO BOLSA OU FRASCO,VIA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100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24</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3083993</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LINEZOLIDA - COCENTRACAO/DOSAGEM 2 MG/ML,FORMA FARMACEUTICA SOLUCAO INJETAVEL,FORMA DE APRESENTACAO BOLSA,VIA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300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25</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3084027</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METRONIDAZOL - CONCENTRACAO/DOSAGEM 5 MG/ML,FORMA FARMACEUTICA SOLUCAO INJETAVEL,FORMA DE APRESENTACAO BOLSA OU FRASCO,VIA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FS 100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26</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3085414</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MOXIFLOXACINO - CONCENTRACAO/DOSAGEM 1,6 MG/ML,FORMA FARMACEUTICA SOLUCAO INJETAVEL,FORMA DE APRESENTACAO BOLSA,VIA DE ADMINISTRACAO INTRAVENOSA</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BOL 200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27</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3088731</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OXACILINA SODICA - CONCENTRACAO/DOSAGEM 500 MG,FORMA FARMACEUTICA PO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1.200,00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28</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3085775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POLIMIXINA B, SULFATO - CONCENTRACAO/DOSAGEM 500.000 UI,FORMA FARMACEUTICA PO LIOFILIZADO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2.000,00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29</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3079465</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SULFAMETOXAZOL + TRIMETOPRIMA - CONCENTRACAO/DOSAGEM 80 MG/ML + 16 MG/ML RESPECTIVAMENTE,FORMA FARMACEUTICA SOLUCAO INJETAVEL,FORMA DE APRESENTACAO 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100,00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AMP 5 ML</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r>
        <w:tblPrEx>
          <w:tblCellMar>
            <w:top w:w="15" w:type="dxa"/>
            <w:left w:w="15" w:type="dxa"/>
            <w:bottom w:w="15" w:type="dxa"/>
            <w:right w:w="15" w:type="dxa"/>
          </w:tblCellMar>
        </w:tblPrEx>
        <w:trPr>
          <w:trHeight w:val="260" w:hRule="atLeast"/>
        </w:trPr>
        <w:tc>
          <w:tcPr>
            <w:tcW w:w="352" w:type="dxa"/>
            <w:tcBorders>
              <w:top w:val="nil"/>
              <w:left w:val="single" w:color="D3D3D3" w:sz="6" w:space="0"/>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w:t>
            </w:r>
          </w:p>
        </w:tc>
        <w:tc>
          <w:tcPr>
            <w:tcW w:w="93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3086283</w:t>
            </w:r>
          </w:p>
        </w:tc>
        <w:tc>
          <w:tcPr>
            <w:tcW w:w="180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VANCOMICINA, CLORIDRATO - CONCENTRACAO/DOSAGEM 500 MG,FORMA FARMACEUTICA PO LIOFILIZADO PARA SOLUCAO INJETAVEL,FORMA DE APRESENTACAO FRASCO-AMPOLA,VIA DE ADMINISTRACAO PARENTERAL</w:t>
            </w:r>
          </w:p>
        </w:tc>
        <w:tc>
          <w:tcPr>
            <w:tcW w:w="1080"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33903009</w:t>
            </w:r>
          </w:p>
        </w:tc>
        <w:tc>
          <w:tcPr>
            <w:tcW w:w="97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5.300,00</w:t>
            </w:r>
          </w:p>
        </w:tc>
        <w:tc>
          <w:tcPr>
            <w:tcW w:w="7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FA</w:t>
            </w:r>
          </w:p>
        </w:tc>
        <w:tc>
          <w:tcPr>
            <w:tcW w:w="1035"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c>
          <w:tcPr>
            <w:tcW w:w="1489" w:type="dxa"/>
            <w:tcBorders>
              <w:top w:val="nil"/>
              <w:left w:val="nil"/>
              <w:bottom w:val="single" w:color="D3D3D3" w:sz="6" w:space="0"/>
              <w:right w:val="single" w:color="D3D3D3" w:sz="6" w:space="0"/>
            </w:tcBorders>
            <w:shd w:val="clear" w:color="auto" w:fill="auto"/>
            <w:tcMar>
              <w:top w:w="45" w:type="dxa"/>
              <w:left w:w="45" w:type="dxa"/>
              <w:bottom w:w="45" w:type="dxa"/>
              <w:right w:w="45" w:type="dxa"/>
            </w:tcMar>
            <w:vAlign w:val="center"/>
          </w:tcPr>
          <w:p>
            <w:pPr>
              <w:pStyle w:val="14"/>
              <w:spacing w:before="0" w:beforeAutospacing="0" w:after="0"/>
              <w:jc w:val="center"/>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XXXXXX</w:t>
            </w:r>
          </w:p>
        </w:tc>
      </w:tr>
    </w:tbl>
    <w:p>
      <w:pPr>
        <w:spacing w:after="0" w:line="240" w:lineRule="auto"/>
        <w:jc w:val="both"/>
        <w:rPr>
          <w:rFonts w:ascii="Calibri" w:hAnsi="Calibri" w:cs="Calibri"/>
          <w:sz w:val="20"/>
          <w:szCs w:val="20"/>
        </w:rPr>
      </w:pPr>
    </w:p>
    <w:p>
      <w:pPr>
        <w:spacing w:after="120" w:line="360" w:lineRule="auto"/>
        <w:jc w:val="both"/>
        <w:rPr>
          <w:rFonts w:ascii="Calibri" w:hAnsi="Calibri" w:cs="Calibri"/>
          <w:sz w:val="20"/>
          <w:szCs w:val="20"/>
        </w:rPr>
      </w:pPr>
    </w:p>
    <w:p>
      <w:pPr>
        <w:spacing w:after="120" w:line="360" w:lineRule="auto"/>
        <w:jc w:val="both"/>
        <w:rPr>
          <w:rFonts w:ascii="Calibri" w:hAnsi="Calibri" w:cs="Calibri"/>
          <w:sz w:val="20"/>
          <w:szCs w:val="20"/>
        </w:rPr>
      </w:pPr>
      <w:r>
        <w:rPr>
          <w:rFonts w:ascii="Calibri" w:hAnsi="Calibri" w:cs="Calibri"/>
          <w:b/>
          <w:bCs/>
          <w:sz w:val="20"/>
          <w:szCs w:val="20"/>
        </w:rPr>
        <w:t>2.2.</w:t>
      </w:r>
      <w:r>
        <w:rPr>
          <w:rFonts w:ascii="Calibri" w:hAnsi="Calibri" w:cs="Calibri"/>
          <w:sz w:val="20"/>
          <w:szCs w:val="20"/>
        </w:rPr>
        <w:t xml:space="preserve"> É vedado efetuar acréscimos nos quantitativos ou no valor máximo da despesa estabelecidos nesta Ata.</w:t>
      </w:r>
    </w:p>
    <w:p>
      <w:pPr>
        <w:spacing w:before="360" w:after="120" w:line="360" w:lineRule="auto"/>
        <w:ind w:left="-1701" w:right="-1418"/>
        <w:jc w:val="both"/>
        <w:rPr>
          <w:rFonts w:ascii="Calibri" w:hAnsi="Calibri" w:cs="Calibri"/>
          <w:b/>
          <w:sz w:val="20"/>
          <w:szCs w:val="20"/>
        </w:rPr>
      </w:pPr>
      <w:r>
        <w:rPr>
          <w:rFonts w:ascii="Calibri" w:hAnsi="Calibri" w:cs="Calibri"/>
          <w:sz w:val="20"/>
          <w:szCs w:val="20"/>
          <w:lang w:eastAsia="pt-BR"/>
        </w:rPr>
        <mc:AlternateContent>
          <mc:Choice Requires="wps">
            <w:drawing>
              <wp:inline distT="0" distB="0" distL="0" distR="0">
                <wp:extent cx="2296160" cy="359410"/>
                <wp:effectExtent l="0" t="0" r="8890" b="2540"/>
                <wp:docPr id="12" name="Retângulo 7"/>
                <wp:cNvGraphicFramePr/>
                <a:graphic xmlns:a="http://schemas.openxmlformats.org/drawingml/2006/main">
                  <a:graphicData uri="http://schemas.microsoft.com/office/word/2010/wordprocessingShape">
                    <wps:wsp>
                      <wps:cNvSpPr>
                        <a:spLocks noChangeArrowheads="1"/>
                      </wps:cNvSpPr>
                      <wps:spPr bwMode="auto">
                        <a:xfrm>
                          <a:off x="0" y="0"/>
                          <a:ext cx="2296160"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3. DO PREÇO</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180.8pt;v-text-anchor:middle;" fillcolor="#33608E" filled="t" stroked="f" coordsize="21600,21600" o:gfxdata="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BOl3831gAAAAQBAAAPAAAA&#10;AAAAAAEAIAAAACIAAABkcnMvZG93bnJldi54bWxQSwECFAAUAAAACACHTuJAKYhaBlACAACTBAAA&#10;DgAAAAAAAAABACAAAAAlAQAAZHJzL2Uyb0RvYy54bWxQSwUGAAAAAAYABgBZAQAA5wU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3. DO PREÇO</w:t>
                      </w:r>
                    </w:p>
                  </w:txbxContent>
                </v:textbox>
                <w10:wrap type="none"/>
                <w10:anchorlock/>
              </v:rect>
            </w:pict>
          </mc:Fallback>
        </mc:AlternateContent>
      </w:r>
    </w:p>
    <w:p>
      <w:pPr>
        <w:pStyle w:val="27"/>
        <w:spacing w:after="240" w:line="360" w:lineRule="auto"/>
        <w:jc w:val="both"/>
        <w:rPr>
          <w:rFonts w:ascii="Calibri" w:hAnsi="Calibri" w:cs="Calibri"/>
        </w:rPr>
      </w:pPr>
      <w:r>
        <w:rPr>
          <w:rFonts w:ascii="Calibri" w:hAnsi="Calibri" w:cs="Calibri"/>
          <w:b/>
        </w:rPr>
        <w:t xml:space="preserve">3.1. </w:t>
      </w:r>
      <w:r>
        <w:rPr>
          <w:rFonts w:ascii="Calibri" w:hAnsi="Calibri" w:cs="Calibri"/>
        </w:rPr>
        <w:t xml:space="preserve">A </w:t>
      </w:r>
      <w:r>
        <w:rPr>
          <w:rFonts w:ascii="Calibri" w:hAnsi="Calibri" w:cs="Calibri"/>
          <w:b/>
        </w:rPr>
        <w:t>DETENTORA DA ATA</w:t>
      </w:r>
      <w:r>
        <w:rPr>
          <w:rFonts w:ascii="Calibri" w:hAnsi="Calibri" w:cs="Calibri"/>
        </w:rPr>
        <w:t xml:space="preserve"> se compromete a fornecer o(s) item(ns) registrados, de acordo com os seguintes preços:</w:t>
      </w:r>
    </w:p>
    <w:tbl>
      <w:tblPr>
        <w:tblStyle w:val="20"/>
        <w:tblW w:w="10396" w:type="dxa"/>
        <w:tblInd w:w="-7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05"/>
        <w:gridCol w:w="1979"/>
        <w:gridCol w:w="1955"/>
        <w:gridCol w:w="1642"/>
        <w:gridCol w:w="1457"/>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396" w:type="dxa"/>
            <w:gridSpan w:val="7"/>
            <w:tcBorders>
              <w:top w:val="nil"/>
              <w:left w:val="nil"/>
              <w:bottom w:val="nil"/>
              <w:right w:val="nil"/>
            </w:tcBorders>
            <w:shd w:val="clear" w:color="auto" w:fill="33608E"/>
            <w:vAlign w:val="center"/>
          </w:tcPr>
          <w:p>
            <w:pPr>
              <w:spacing w:after="0" w:line="240" w:lineRule="auto"/>
              <w:jc w:val="center"/>
              <w:rPr>
                <w:rFonts w:ascii="Calibri" w:hAnsi="Calibri" w:cs="Calibri"/>
                <w:b/>
                <w:sz w:val="20"/>
                <w:szCs w:val="20"/>
              </w:rPr>
            </w:pPr>
            <w:r>
              <w:rPr>
                <w:rFonts w:ascii="Calibri" w:hAnsi="Calibri" w:cs="Calibri"/>
                <w:b/>
                <w:sz w:val="20"/>
                <w:szCs w:val="20"/>
              </w:rPr>
              <w:t>ITEMXXXX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dxa"/>
            <w:tcBorders>
              <w:top w:val="nil"/>
              <w:left w:val="nil"/>
              <w:bottom w:val="nil"/>
              <w:right w:val="nil"/>
            </w:tcBorders>
            <w:shd w:val="clear" w:color="auto" w:fill="1C364F"/>
            <w:vAlign w:val="center"/>
          </w:tcPr>
          <w:p>
            <w:pPr>
              <w:spacing w:after="0" w:line="240" w:lineRule="auto"/>
              <w:jc w:val="both"/>
              <w:rPr>
                <w:rFonts w:ascii="Calibri" w:hAnsi="Calibri" w:cs="Calibri"/>
                <w:b/>
                <w:sz w:val="20"/>
                <w:szCs w:val="20"/>
              </w:rPr>
            </w:pPr>
            <w:r>
              <w:rPr>
                <w:rFonts w:ascii="Calibri" w:hAnsi="Calibri" w:cs="Calibri"/>
                <w:b/>
                <w:sz w:val="20"/>
                <w:szCs w:val="20"/>
              </w:rPr>
              <w:t>ITEM</w:t>
            </w:r>
          </w:p>
        </w:tc>
        <w:tc>
          <w:tcPr>
            <w:tcW w:w="1418" w:type="dxa"/>
            <w:tcBorders>
              <w:top w:val="nil"/>
              <w:left w:val="nil"/>
              <w:bottom w:val="nil"/>
              <w:right w:val="nil"/>
            </w:tcBorders>
            <w:shd w:val="clear" w:color="auto" w:fill="1C364F"/>
            <w:vAlign w:val="center"/>
          </w:tcPr>
          <w:p>
            <w:pPr>
              <w:spacing w:after="0" w:line="240" w:lineRule="auto"/>
              <w:jc w:val="both"/>
              <w:rPr>
                <w:rFonts w:ascii="Calibri" w:hAnsi="Calibri" w:cs="Calibri"/>
                <w:b/>
                <w:sz w:val="20"/>
                <w:szCs w:val="20"/>
              </w:rPr>
            </w:pPr>
            <w:r>
              <w:rPr>
                <w:rFonts w:ascii="Calibri" w:hAnsi="Calibri" w:cs="Calibri"/>
                <w:b/>
                <w:sz w:val="20"/>
                <w:szCs w:val="20"/>
              </w:rPr>
              <w:t>CÓDIGO DO</w:t>
            </w:r>
          </w:p>
          <w:p>
            <w:pPr>
              <w:spacing w:after="0" w:line="240" w:lineRule="auto"/>
              <w:jc w:val="both"/>
              <w:rPr>
                <w:rFonts w:ascii="Calibri" w:hAnsi="Calibri" w:cs="Calibri"/>
                <w:b/>
                <w:sz w:val="20"/>
                <w:szCs w:val="20"/>
              </w:rPr>
            </w:pPr>
            <w:r>
              <w:rPr>
                <w:rFonts w:ascii="Calibri" w:hAnsi="Calibri" w:cs="Calibri"/>
                <w:b/>
                <w:sz w:val="20"/>
                <w:szCs w:val="20"/>
              </w:rPr>
              <w:t>EFISCO</w:t>
            </w:r>
          </w:p>
        </w:tc>
        <w:tc>
          <w:tcPr>
            <w:tcW w:w="1979" w:type="dxa"/>
            <w:tcBorders>
              <w:top w:val="nil"/>
              <w:left w:val="nil"/>
              <w:bottom w:val="nil"/>
              <w:right w:val="nil"/>
            </w:tcBorders>
            <w:shd w:val="clear" w:color="auto" w:fill="1C364F"/>
            <w:vAlign w:val="center"/>
          </w:tcPr>
          <w:p>
            <w:pPr>
              <w:spacing w:after="0" w:line="240" w:lineRule="auto"/>
              <w:jc w:val="both"/>
              <w:rPr>
                <w:rFonts w:ascii="Calibri" w:hAnsi="Calibri" w:cs="Calibri"/>
                <w:b/>
                <w:sz w:val="20"/>
                <w:szCs w:val="20"/>
              </w:rPr>
            </w:pPr>
            <w:r>
              <w:rPr>
                <w:rFonts w:ascii="Calibri" w:hAnsi="Calibri" w:cs="Calibri"/>
                <w:b/>
                <w:sz w:val="20"/>
                <w:szCs w:val="20"/>
              </w:rPr>
              <w:t>DESCRIÇÃO DO ITEM</w:t>
            </w:r>
          </w:p>
        </w:tc>
        <w:tc>
          <w:tcPr>
            <w:tcW w:w="1957" w:type="dxa"/>
            <w:tcBorders>
              <w:top w:val="nil"/>
              <w:left w:val="nil"/>
              <w:bottom w:val="nil"/>
              <w:right w:val="nil"/>
            </w:tcBorders>
            <w:shd w:val="clear" w:color="auto" w:fill="1C364F"/>
            <w:vAlign w:val="center"/>
          </w:tcPr>
          <w:p>
            <w:pPr>
              <w:spacing w:after="0" w:line="240" w:lineRule="auto"/>
              <w:jc w:val="both"/>
              <w:rPr>
                <w:rFonts w:ascii="Calibri" w:hAnsi="Calibri" w:cs="Calibri"/>
                <w:b/>
                <w:sz w:val="20"/>
                <w:szCs w:val="20"/>
              </w:rPr>
            </w:pPr>
            <w:r>
              <w:rPr>
                <w:rFonts w:ascii="Calibri" w:hAnsi="Calibri" w:cs="Calibri"/>
                <w:b/>
                <w:sz w:val="20"/>
                <w:szCs w:val="20"/>
              </w:rPr>
              <w:t>UNIDADE DE</w:t>
            </w:r>
          </w:p>
          <w:p>
            <w:pPr>
              <w:spacing w:after="0" w:line="240" w:lineRule="auto"/>
              <w:jc w:val="both"/>
              <w:rPr>
                <w:rFonts w:ascii="Calibri" w:hAnsi="Calibri" w:cs="Calibri"/>
                <w:b/>
                <w:sz w:val="20"/>
                <w:szCs w:val="20"/>
              </w:rPr>
            </w:pPr>
            <w:r>
              <w:rPr>
                <w:rFonts w:ascii="Calibri" w:hAnsi="Calibri" w:cs="Calibri"/>
                <w:b/>
                <w:sz w:val="20"/>
                <w:szCs w:val="20"/>
              </w:rPr>
              <w:t>FORNECIMENTO</w:t>
            </w:r>
          </w:p>
        </w:tc>
        <w:tc>
          <w:tcPr>
            <w:tcW w:w="1650" w:type="dxa"/>
            <w:tcBorders>
              <w:top w:val="nil"/>
              <w:left w:val="nil"/>
              <w:bottom w:val="nil"/>
              <w:right w:val="nil"/>
            </w:tcBorders>
            <w:shd w:val="clear" w:color="auto" w:fill="1C364F"/>
            <w:vAlign w:val="center"/>
          </w:tcPr>
          <w:p>
            <w:pPr>
              <w:spacing w:after="0" w:line="240" w:lineRule="auto"/>
              <w:jc w:val="both"/>
              <w:rPr>
                <w:rFonts w:ascii="Calibri" w:hAnsi="Calibri" w:cs="Calibri"/>
                <w:b/>
                <w:sz w:val="20"/>
                <w:szCs w:val="20"/>
              </w:rPr>
            </w:pPr>
            <w:r>
              <w:rPr>
                <w:rFonts w:ascii="Calibri" w:hAnsi="Calibri" w:cs="Calibri"/>
                <w:b/>
                <w:sz w:val="20"/>
                <w:szCs w:val="20"/>
              </w:rPr>
              <w:t>QUANTIDADE</w:t>
            </w:r>
          </w:p>
        </w:tc>
        <w:tc>
          <w:tcPr>
            <w:tcW w:w="1458" w:type="dxa"/>
            <w:tcBorders>
              <w:top w:val="nil"/>
              <w:left w:val="nil"/>
              <w:bottom w:val="nil"/>
              <w:right w:val="nil"/>
            </w:tcBorders>
            <w:shd w:val="clear" w:color="auto" w:fill="1C364F"/>
            <w:vAlign w:val="center"/>
          </w:tcPr>
          <w:p>
            <w:pPr>
              <w:spacing w:after="0" w:line="240" w:lineRule="auto"/>
              <w:jc w:val="both"/>
              <w:rPr>
                <w:rFonts w:ascii="Calibri" w:hAnsi="Calibri" w:cs="Calibri"/>
                <w:b/>
                <w:sz w:val="20"/>
                <w:szCs w:val="20"/>
              </w:rPr>
            </w:pPr>
            <w:r>
              <w:rPr>
                <w:rFonts w:ascii="Calibri" w:hAnsi="Calibri" w:cs="Calibri"/>
                <w:b/>
                <w:sz w:val="20"/>
                <w:szCs w:val="20"/>
              </w:rPr>
              <w:t>PREÇO</w:t>
            </w:r>
          </w:p>
          <w:p>
            <w:pPr>
              <w:spacing w:after="0" w:line="240" w:lineRule="auto"/>
              <w:jc w:val="both"/>
              <w:rPr>
                <w:rFonts w:ascii="Calibri" w:hAnsi="Calibri" w:cs="Calibri"/>
                <w:b/>
                <w:sz w:val="20"/>
                <w:szCs w:val="20"/>
              </w:rPr>
            </w:pPr>
            <w:r>
              <w:rPr>
                <w:rFonts w:ascii="Calibri" w:hAnsi="Calibri" w:cs="Calibri"/>
                <w:b/>
                <w:sz w:val="20"/>
                <w:szCs w:val="20"/>
              </w:rPr>
              <w:t>UNITÁRIO</w:t>
            </w:r>
          </w:p>
        </w:tc>
        <w:tc>
          <w:tcPr>
            <w:tcW w:w="1320" w:type="dxa"/>
            <w:tcBorders>
              <w:top w:val="nil"/>
              <w:left w:val="nil"/>
              <w:bottom w:val="nil"/>
              <w:right w:val="nil"/>
            </w:tcBorders>
            <w:shd w:val="clear" w:color="auto" w:fill="1C364F"/>
            <w:vAlign w:val="center"/>
          </w:tcPr>
          <w:p>
            <w:pPr>
              <w:spacing w:after="0" w:line="240" w:lineRule="auto"/>
              <w:jc w:val="both"/>
              <w:rPr>
                <w:rFonts w:ascii="Calibri" w:hAnsi="Calibri" w:cs="Calibri"/>
                <w:b/>
                <w:sz w:val="20"/>
                <w:szCs w:val="20"/>
              </w:rPr>
            </w:pPr>
            <w:r>
              <w:rPr>
                <w:rFonts w:ascii="Calibri" w:hAnsi="Calibri" w:cs="Calibri"/>
                <w:b/>
                <w:sz w:val="20"/>
                <w:szCs w:val="20"/>
              </w:rPr>
              <w:t>PREÇO</w:t>
            </w:r>
          </w:p>
          <w:p>
            <w:pPr>
              <w:spacing w:after="0" w:line="240" w:lineRule="auto"/>
              <w:jc w:val="both"/>
              <w:rPr>
                <w:rFonts w:ascii="Calibri" w:hAnsi="Calibri" w:cs="Calibri"/>
                <w:b/>
                <w:sz w:val="20"/>
                <w:szCs w:val="20"/>
              </w:rPr>
            </w:pPr>
            <w:r>
              <w:rPr>
                <w:rFonts w:ascii="Calibri" w:hAnsi="Calibri" w:cs="Calibri"/>
                <w:b/>
                <w:sz w:val="20"/>
                <w:szCs w:val="20"/>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w:t>
            </w:r>
          </w:p>
        </w:tc>
        <w:tc>
          <w:tcPr>
            <w:tcW w:w="1418"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w:t>
            </w:r>
          </w:p>
        </w:tc>
        <w:tc>
          <w:tcPr>
            <w:tcW w:w="1979"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XXXXXXXXXXXXXX</w:t>
            </w:r>
          </w:p>
        </w:tc>
        <w:tc>
          <w:tcPr>
            <w:tcW w:w="1957"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XXXXXXXXXXXXXX</w:t>
            </w:r>
          </w:p>
        </w:tc>
        <w:tc>
          <w:tcPr>
            <w:tcW w:w="1650"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w:t>
            </w:r>
          </w:p>
        </w:tc>
        <w:tc>
          <w:tcPr>
            <w:tcW w:w="1458"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XXXXXXXXXX</w:t>
            </w:r>
          </w:p>
        </w:tc>
        <w:tc>
          <w:tcPr>
            <w:tcW w:w="1320"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w:t>
            </w:r>
          </w:p>
        </w:tc>
        <w:tc>
          <w:tcPr>
            <w:tcW w:w="1418"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w:t>
            </w:r>
          </w:p>
        </w:tc>
        <w:tc>
          <w:tcPr>
            <w:tcW w:w="1979"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XXXXXXXXXXXXXXXX</w:t>
            </w:r>
          </w:p>
        </w:tc>
        <w:tc>
          <w:tcPr>
            <w:tcW w:w="1957"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XXXXXXXXXXXXXXX</w:t>
            </w:r>
          </w:p>
        </w:tc>
        <w:tc>
          <w:tcPr>
            <w:tcW w:w="1650"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w:t>
            </w:r>
          </w:p>
        </w:tc>
        <w:tc>
          <w:tcPr>
            <w:tcW w:w="1458"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XXXXXXXXXXX</w:t>
            </w:r>
          </w:p>
        </w:tc>
        <w:tc>
          <w:tcPr>
            <w:tcW w:w="1320"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4"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w:t>
            </w:r>
          </w:p>
        </w:tc>
        <w:tc>
          <w:tcPr>
            <w:tcW w:w="1418"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w:t>
            </w:r>
          </w:p>
        </w:tc>
        <w:tc>
          <w:tcPr>
            <w:tcW w:w="1979"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XXXXXXXXXXXXX</w:t>
            </w:r>
          </w:p>
        </w:tc>
        <w:tc>
          <w:tcPr>
            <w:tcW w:w="1957"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XXXXXXXXXXXXXXX</w:t>
            </w:r>
          </w:p>
        </w:tc>
        <w:tc>
          <w:tcPr>
            <w:tcW w:w="1650"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w:t>
            </w:r>
          </w:p>
        </w:tc>
        <w:tc>
          <w:tcPr>
            <w:tcW w:w="1458"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XXXXXXXXXXX</w:t>
            </w:r>
          </w:p>
        </w:tc>
        <w:tc>
          <w:tcPr>
            <w:tcW w:w="1320" w:type="dxa"/>
            <w:tcBorders>
              <w:top w:val="nil"/>
              <w:left w:val="nil"/>
              <w:bottom w:val="nil"/>
              <w:right w:val="nil"/>
            </w:tcBorders>
            <w:vAlign w:val="center"/>
          </w:tcPr>
          <w:p>
            <w:pPr>
              <w:spacing w:after="0" w:line="240" w:lineRule="auto"/>
              <w:jc w:val="both"/>
              <w:rPr>
                <w:rFonts w:ascii="Calibri" w:hAnsi="Calibri" w:cs="Calibri"/>
                <w:b/>
                <w:sz w:val="20"/>
                <w:szCs w:val="20"/>
              </w:rPr>
            </w:pPr>
            <w:r>
              <w:rPr>
                <w:rFonts w:ascii="Calibri" w:hAnsi="Calibri" w:cs="Calibri"/>
                <w:b/>
                <w:sz w:val="20"/>
                <w:szCs w:val="20"/>
              </w:rPr>
              <w:t>XXXXXXXXX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76" w:type="dxa"/>
            <w:gridSpan w:val="6"/>
            <w:tcBorders>
              <w:top w:val="nil"/>
              <w:left w:val="nil"/>
              <w:bottom w:val="nil"/>
              <w:right w:val="nil"/>
            </w:tcBorders>
            <w:shd w:val="clear" w:color="auto" w:fill="33608E"/>
            <w:vAlign w:val="center"/>
          </w:tcPr>
          <w:p>
            <w:pPr>
              <w:spacing w:after="0" w:line="240" w:lineRule="auto"/>
              <w:jc w:val="both"/>
              <w:rPr>
                <w:rFonts w:ascii="Calibri" w:hAnsi="Calibri" w:cs="Calibri"/>
                <w:b/>
                <w:sz w:val="20"/>
                <w:szCs w:val="20"/>
              </w:rPr>
            </w:pPr>
            <w:r>
              <w:rPr>
                <w:rFonts w:ascii="Calibri" w:hAnsi="Calibri" w:cs="Calibri"/>
                <w:b/>
                <w:sz w:val="20"/>
                <w:szCs w:val="20"/>
              </w:rPr>
              <w:t>VALOR TOTAL DO ITEM</w:t>
            </w:r>
          </w:p>
        </w:tc>
        <w:tc>
          <w:tcPr>
            <w:tcW w:w="1320" w:type="dxa"/>
            <w:tcBorders>
              <w:top w:val="nil"/>
              <w:left w:val="nil"/>
              <w:bottom w:val="nil"/>
              <w:right w:val="nil"/>
            </w:tcBorders>
            <w:shd w:val="clear" w:color="auto" w:fill="1C364F"/>
            <w:vAlign w:val="center"/>
          </w:tcPr>
          <w:p>
            <w:pPr>
              <w:spacing w:after="0" w:line="240" w:lineRule="auto"/>
              <w:jc w:val="both"/>
              <w:rPr>
                <w:rFonts w:ascii="Calibri" w:hAnsi="Calibri" w:cs="Calibri"/>
                <w:b/>
                <w:sz w:val="20"/>
                <w:szCs w:val="20"/>
              </w:rPr>
            </w:pPr>
            <w:r>
              <w:rPr>
                <w:rFonts w:ascii="Calibri" w:hAnsi="Calibri" w:cs="Calibri"/>
                <w:b/>
                <w:sz w:val="20"/>
                <w:szCs w:val="20"/>
              </w:rPr>
              <w:t>XXXXXXX</w:t>
            </w:r>
          </w:p>
        </w:tc>
      </w:tr>
    </w:tbl>
    <w:p>
      <w:pPr>
        <w:pStyle w:val="27"/>
        <w:spacing w:after="120" w:line="360" w:lineRule="auto"/>
        <w:jc w:val="both"/>
        <w:rPr>
          <w:rFonts w:ascii="Calibri" w:hAnsi="Calibri" w:cs="Calibri"/>
          <w:b/>
          <w:bCs/>
        </w:rPr>
      </w:pPr>
    </w:p>
    <w:p>
      <w:pPr>
        <w:pStyle w:val="27"/>
        <w:spacing w:after="120" w:line="360" w:lineRule="auto"/>
        <w:jc w:val="both"/>
        <w:rPr>
          <w:rFonts w:ascii="Calibri" w:hAnsi="Calibri" w:cs="Calibri"/>
        </w:rPr>
      </w:pPr>
      <w:r>
        <w:rPr>
          <w:rFonts w:ascii="Calibri" w:hAnsi="Calibri" w:cs="Calibri"/>
          <w:b/>
          <w:bCs/>
        </w:rPr>
        <w:t>3.2.</w:t>
      </w:r>
      <w:r>
        <w:rPr>
          <w:rFonts w:ascii="Calibri" w:hAnsi="Calibri" w:cs="Calibri"/>
        </w:rPr>
        <w:t xml:space="preserve"> Os preços registrados abrangerão os custos diretos e indiretos decorrentes do fornecimento do objeto, incluindo tributos, encargos trabalhistas e comerciais, seguros, despesas de administração, lucro, custos com transporte, frete e demais despesas correlatas.</w:t>
      </w:r>
    </w:p>
    <w:p>
      <w:pPr>
        <w:widowControl w:val="0"/>
        <w:spacing w:before="360" w:after="120" w:line="360" w:lineRule="auto"/>
        <w:ind w:left="-1701" w:right="-1418"/>
        <w:jc w:val="both"/>
        <w:rPr>
          <w:rFonts w:ascii="Calibri" w:hAnsi="Calibri" w:cs="Calibri"/>
          <w:sz w:val="20"/>
          <w:szCs w:val="20"/>
        </w:rPr>
      </w:pPr>
      <w:r>
        <w:rPr>
          <w:rFonts w:ascii="Calibri" w:hAnsi="Calibri" w:cs="Calibri"/>
          <w:sz w:val="20"/>
          <w:szCs w:val="20"/>
          <w:lang w:eastAsia="pt-BR"/>
        </w:rPr>
        <mc:AlternateContent>
          <mc:Choice Requires="wps">
            <w:drawing>
              <wp:inline distT="0" distB="0" distL="0" distR="0">
                <wp:extent cx="5473065" cy="359410"/>
                <wp:effectExtent l="0" t="0" r="13335" b="2540"/>
                <wp:docPr id="14" name="Retângulo 7"/>
                <wp:cNvGraphicFramePr/>
                <a:graphic xmlns:a="http://schemas.openxmlformats.org/drawingml/2006/main">
                  <a:graphicData uri="http://schemas.microsoft.com/office/word/2010/wordprocessingShape">
                    <wps:wsp>
                      <wps:cNvSpPr>
                        <a:spLocks noChangeArrowheads="1"/>
                      </wps:cNvSpPr>
                      <wps:spPr bwMode="auto">
                        <a:xfrm>
                          <a:off x="0" y="0"/>
                          <a:ext cx="5473065"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4. DO PRAZO DE VIGÊNCIA DA ATA E DA PRORROGAÇÃO</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430.95pt;v-text-anchor:middle;" fillcolor="#33608E" filled="t" stroked="f" coordsize="21600,21600" o:gfxdata="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EvNwS9YAAAAEAQAADwAAAAAA&#10;AAABACAAAAAiAAAAZHJzL2Rvd25yZXYueG1sUEsBAhQAFAAAAAgAh07iQLNwzZdOAgAAkwQAAA4A&#10;AAAAAAAAAQAgAAAAJQEAAGRycy9lMm9Eb2MueG1sUEsFBgAAAAAGAAYAWQEAAOUFA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4. DO PRAZO DE VIGÊNCIA DA ATA E DA PRORROGAÇÃO</w:t>
                      </w:r>
                    </w:p>
                  </w:txbxContent>
                </v:textbox>
                <w10:wrap type="none"/>
                <w10:anchorlock/>
              </v:rect>
            </w:pict>
          </mc:Fallback>
        </mc:AlternateContent>
      </w:r>
    </w:p>
    <w:p>
      <w:pPr>
        <w:spacing w:before="120" w:after="120" w:line="360" w:lineRule="auto"/>
        <w:ind w:left="-1"/>
        <w:jc w:val="both"/>
        <w:rPr>
          <w:rFonts w:ascii="Calibri" w:hAnsi="Calibri" w:cs="Calibri"/>
          <w:sz w:val="20"/>
          <w:szCs w:val="20"/>
        </w:rPr>
      </w:pPr>
      <w:r>
        <w:rPr>
          <w:rFonts w:ascii="Calibri" w:hAnsi="Calibri" w:cs="Calibri"/>
          <w:b/>
          <w:bCs/>
          <w:sz w:val="20"/>
          <w:szCs w:val="20"/>
        </w:rPr>
        <w:t>4.1.</w:t>
      </w:r>
      <w:r>
        <w:rPr>
          <w:rFonts w:ascii="Calibri" w:hAnsi="Calibri" w:cs="Calibri"/>
          <w:sz w:val="20"/>
          <w:szCs w:val="20"/>
        </w:rPr>
        <w:t xml:space="preserve"> O prazo de vigência da Ata será de 1 (um) ano, contado da data de sua assinatura, podendo ser prorrogado, por igual período, se houver saldo disponível, vedada a renovação dos quantitativos inicialmente registrados.</w:t>
      </w:r>
    </w:p>
    <w:p>
      <w:pPr>
        <w:spacing w:before="120" w:after="120" w:line="360" w:lineRule="auto"/>
        <w:ind w:left="-1"/>
        <w:jc w:val="both"/>
        <w:rPr>
          <w:rFonts w:ascii="Calibri" w:hAnsi="Calibri" w:cs="Calibri"/>
          <w:sz w:val="20"/>
          <w:szCs w:val="20"/>
        </w:rPr>
      </w:pPr>
      <w:r>
        <w:rPr>
          <w:rFonts w:ascii="Calibri" w:hAnsi="Calibri" w:cs="Calibri"/>
          <w:b/>
          <w:bCs/>
          <w:sz w:val="20"/>
          <w:szCs w:val="20"/>
        </w:rPr>
        <w:t>4.</w:t>
      </w:r>
      <w:r>
        <w:rPr>
          <w:rFonts w:ascii="Calibri" w:hAnsi="Calibri" w:cs="Calibri"/>
          <w:b/>
          <w:sz w:val="20"/>
          <w:szCs w:val="20"/>
        </w:rPr>
        <w:t>2</w:t>
      </w:r>
      <w:r>
        <w:rPr>
          <w:rFonts w:ascii="Calibri" w:hAnsi="Calibri" w:cs="Calibri"/>
          <w:sz w:val="20"/>
          <w:szCs w:val="20"/>
        </w:rPr>
        <w:t>. A prorrogação fica condicionada à comprovação da vantajosidade dos preços registrados, mediante pesquisa de preço a ser realizada com a utilização dos parâmetros estabelecidos no art. 5º da Portaria SAD nº 2.679, de 29.09.2021.</w:t>
      </w:r>
    </w:p>
    <w:p>
      <w:pPr>
        <w:pStyle w:val="27"/>
        <w:spacing w:before="360" w:after="120" w:line="360" w:lineRule="auto"/>
        <w:ind w:left="-1701"/>
        <w:jc w:val="both"/>
        <w:rPr>
          <w:rFonts w:ascii="Calibri" w:hAnsi="Calibri" w:cs="Calibri"/>
        </w:rPr>
      </w:pPr>
      <w:r>
        <w:rPr>
          <w:rFonts w:ascii="Calibri" w:hAnsi="Calibri" w:cs="Calibri"/>
        </w:rPr>
        <mc:AlternateContent>
          <mc:Choice Requires="wps">
            <w:drawing>
              <wp:inline distT="0" distB="0" distL="0" distR="0">
                <wp:extent cx="2825115" cy="359410"/>
                <wp:effectExtent l="0" t="0" r="13335" b="2540"/>
                <wp:docPr id="39" name="Retângulo 7"/>
                <wp:cNvGraphicFramePr/>
                <a:graphic xmlns:a="http://schemas.openxmlformats.org/drawingml/2006/main">
                  <a:graphicData uri="http://schemas.microsoft.com/office/word/2010/wordprocessingShape">
                    <wps:wsp>
                      <wps:cNvSpPr>
                        <a:spLocks noChangeArrowheads="1"/>
                      </wps:cNvSpPr>
                      <wps:spPr bwMode="auto">
                        <a:xfrm>
                          <a:off x="0" y="0"/>
                          <a:ext cx="2825115"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5. DO REAJUSTE</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222.45pt;v-text-anchor:middle;" fillcolor="#33608E" filled="t" stroked="f" coordsize="21600,21600" o:gfxdata="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F8GXLLXAAAABAEAAA8A&#10;AAAAAAAAAQAgAAAAIgAAAGRycy9kb3ducmV2LnhtbFBLAQIUABQAAAAIAIdO4kAdsAJcUQIAAJME&#10;AAAOAAAAAAAAAAEAIAAAACYBAABkcnMvZTJvRG9jLnhtbFBLBQYAAAAABgAGAFkBAADpBQ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5. DO REAJUSTE</w:t>
                      </w:r>
                    </w:p>
                  </w:txbxContent>
                </v:textbox>
                <w10:wrap type="none"/>
                <w10:anchorlock/>
              </v:rect>
            </w:pict>
          </mc:Fallback>
        </mc:AlternateContent>
      </w:r>
    </w:p>
    <w:p>
      <w:pPr>
        <w:pStyle w:val="10"/>
        <w:spacing w:before="120" w:after="120" w:line="360" w:lineRule="auto"/>
        <w:jc w:val="both"/>
        <w:rPr>
          <w:rFonts w:ascii="Calibri" w:hAnsi="Calibri" w:cs="Calibri"/>
        </w:rPr>
      </w:pPr>
      <w:r>
        <w:rPr>
          <w:rFonts w:ascii="Calibri" w:hAnsi="Calibri" w:cs="Calibri"/>
          <w:b/>
          <w:bCs/>
        </w:rPr>
        <w:t>5.1.</w:t>
      </w:r>
      <w:r>
        <w:rPr>
          <w:rFonts w:ascii="Calibri" w:hAnsi="Calibri" w:cs="Calibri"/>
        </w:rPr>
        <w:t xml:space="preserve"> O preço registrado nesta Ata apenas poderá ser reajustado após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pPr>
        <w:spacing w:before="120" w:after="120" w:line="360" w:lineRule="auto"/>
        <w:jc w:val="both"/>
        <w:rPr>
          <w:rFonts w:ascii="Calibri" w:hAnsi="Calibri" w:cs="Calibri"/>
          <w:sz w:val="20"/>
          <w:szCs w:val="20"/>
        </w:rPr>
      </w:pPr>
      <w:r>
        <w:rPr>
          <w:rFonts w:ascii="Calibri" w:hAnsi="Calibri" w:cs="Calibri"/>
          <w:b/>
          <w:bCs/>
          <w:sz w:val="20"/>
          <w:szCs w:val="20"/>
        </w:rPr>
        <w:t>5.2.</w:t>
      </w:r>
      <w:r>
        <w:rPr>
          <w:rFonts w:ascii="Calibri" w:hAnsi="Calibri" w:cs="Calibri"/>
          <w:sz w:val="20"/>
          <w:szCs w:val="20"/>
        </w:rPr>
        <w:t xml:space="preserve"> A </w:t>
      </w:r>
      <w:r>
        <w:rPr>
          <w:rFonts w:ascii="Calibri" w:hAnsi="Calibri" w:cs="Calibri"/>
          <w:b/>
          <w:sz w:val="20"/>
          <w:szCs w:val="20"/>
        </w:rPr>
        <w:t xml:space="preserve">DETENTORA DA ATA </w:t>
      </w:r>
      <w:r>
        <w:rPr>
          <w:rFonts w:ascii="Calibri" w:hAnsi="Calibri" w:cs="Calibri"/>
          <w:sz w:val="20"/>
          <w:szCs w:val="20"/>
        </w:rPr>
        <w:t xml:space="preserve">deverá apresentar o pedido formal de reajuste ao </w:t>
      </w:r>
      <w:r>
        <w:rPr>
          <w:rFonts w:ascii="Calibri" w:hAnsi="Calibri" w:cs="Calibri"/>
          <w:b/>
          <w:sz w:val="20"/>
          <w:szCs w:val="20"/>
        </w:rPr>
        <w:t>GERENCIADOR</w:t>
      </w:r>
      <w:r>
        <w:rPr>
          <w:rFonts w:ascii="Calibri" w:hAnsi="Calibri" w:cs="Calibri"/>
          <w:sz w:val="20"/>
          <w:szCs w:val="20"/>
        </w:rPr>
        <w:t xml:space="preserve"> durante a vigência da Ata e antes da data de eventual formalização da prorrogação do seu prazo de vigência, sob pena de preclusão do direito ao reajustamento.</w:t>
      </w:r>
    </w:p>
    <w:p>
      <w:pPr>
        <w:spacing w:before="120" w:after="120" w:line="360" w:lineRule="auto"/>
        <w:jc w:val="both"/>
        <w:rPr>
          <w:rFonts w:ascii="Calibri" w:hAnsi="Calibri" w:cs="Calibri"/>
          <w:sz w:val="20"/>
          <w:szCs w:val="20"/>
        </w:rPr>
      </w:pPr>
      <w:r>
        <w:rPr>
          <w:rFonts w:ascii="Calibri" w:hAnsi="Calibri" w:cs="Calibri"/>
          <w:b/>
          <w:bCs/>
          <w:sz w:val="20"/>
          <w:szCs w:val="20"/>
        </w:rPr>
        <w:t>5.3.</w:t>
      </w:r>
      <w:r>
        <w:rPr>
          <w:rFonts w:ascii="Calibri" w:hAnsi="Calibri" w:cs="Calibri"/>
          <w:sz w:val="20"/>
          <w:szCs w:val="20"/>
        </w:rPr>
        <w:t xml:space="preserve"> O pedido de reajuste deverá ser analisado no prazo máximo de 60 (sessenta) dias e será formalizado mediante apostilamento. </w:t>
      </w:r>
    </w:p>
    <w:p>
      <w:pPr>
        <w:spacing w:before="120" w:after="120" w:line="360" w:lineRule="auto"/>
        <w:jc w:val="both"/>
        <w:rPr>
          <w:rFonts w:ascii="Calibri" w:hAnsi="Calibri" w:cs="Calibri"/>
          <w:sz w:val="20"/>
          <w:szCs w:val="20"/>
        </w:rPr>
      </w:pPr>
      <w:r>
        <w:rPr>
          <w:rFonts w:ascii="Calibri" w:hAnsi="Calibri" w:cs="Calibri"/>
          <w:b/>
          <w:bCs/>
          <w:sz w:val="20"/>
          <w:szCs w:val="20"/>
        </w:rPr>
        <w:t>5.4.</w:t>
      </w:r>
      <w:r>
        <w:rPr>
          <w:rFonts w:ascii="Calibri" w:hAnsi="Calibri" w:cs="Calibri"/>
          <w:sz w:val="20"/>
          <w:szCs w:val="20"/>
        </w:rPr>
        <w:t xml:space="preserve"> Aplicado o reajuste na Ata, os contratos formalizados posteriormente à sua concessão já serão firmados com o preço reajustado.</w:t>
      </w:r>
    </w:p>
    <w:p>
      <w:pPr>
        <w:pStyle w:val="27"/>
        <w:spacing w:before="360" w:after="120" w:line="360" w:lineRule="auto"/>
        <w:ind w:left="-1701" w:right="-1418"/>
        <w:jc w:val="both"/>
        <w:rPr>
          <w:rFonts w:ascii="Calibri" w:hAnsi="Calibri" w:cs="Calibri"/>
        </w:rPr>
      </w:pPr>
      <w:r>
        <w:rPr>
          <w:rFonts w:ascii="Calibri" w:hAnsi="Calibri" w:cs="Calibri"/>
        </w:rPr>
        <mc:AlternateContent>
          <mc:Choice Requires="wps">
            <w:drawing>
              <wp:inline distT="0" distB="0" distL="0" distR="0">
                <wp:extent cx="4487545" cy="359410"/>
                <wp:effectExtent l="0" t="0" r="8255" b="2540"/>
                <wp:docPr id="40" name="Retângulo 7"/>
                <wp:cNvGraphicFramePr/>
                <a:graphic xmlns:a="http://schemas.openxmlformats.org/drawingml/2006/main">
                  <a:graphicData uri="http://schemas.microsoft.com/office/word/2010/wordprocessingShape">
                    <wps:wsp>
                      <wps:cNvSpPr>
                        <a:spLocks noChangeArrowheads="1"/>
                      </wps:cNvSpPr>
                      <wps:spPr bwMode="auto">
                        <a:xfrm>
                          <a:off x="0" y="0"/>
                          <a:ext cx="4487545"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6. DA REVISÃO DOS PREÇOS REGISTRADOS</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353.35pt;v-text-anchor:middle;" fillcolor="#33608E" filled="t" stroked="f" coordsize="21600,21600" o:gfxdata="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WyMRX1gAAAAQBAAAPAAAA&#10;AAAAAAEAIAAAACIAAABkcnMvZG93bnJldi54bWxQSwECFAAUAAAACACHTuJAgUXmdFACAACTBAAA&#10;DgAAAAAAAAABACAAAAAlAQAAZHJzL2Uyb0RvYy54bWxQSwUGAAAAAAYABgBZAQAA5wU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6. DA REVISÃO DOS PREÇOS REGISTRADOS</w:t>
                      </w:r>
                    </w:p>
                  </w:txbxContent>
                </v:textbox>
                <w10:wrap type="none"/>
                <w10:anchorlock/>
              </v:rect>
            </w:pict>
          </mc:Fallback>
        </mc:AlternateConten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6.1.</w:t>
      </w:r>
      <w:r>
        <w:rPr>
          <w:rFonts w:ascii="Calibri" w:hAnsi="Calibri" w:cs="Calibri"/>
          <w:sz w:val="20"/>
          <w:szCs w:val="20"/>
        </w:rPr>
        <w:t xml:space="preserve"> 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w:t>
      </w:r>
      <w:r>
        <w:rPr>
          <w:rFonts w:ascii="Calibri" w:hAnsi="Calibri" w:cs="Calibri"/>
          <w:b/>
          <w:sz w:val="20"/>
          <w:szCs w:val="20"/>
        </w:rPr>
        <w:t>GERENCIADOR</w:t>
      </w:r>
      <w:r>
        <w:rPr>
          <w:rFonts w:ascii="Calibri" w:hAnsi="Calibri" w:cs="Calibri"/>
          <w:sz w:val="20"/>
          <w:szCs w:val="20"/>
        </w:rPr>
        <w:t xml:space="preserve"> convocará a </w:t>
      </w:r>
      <w:r>
        <w:rPr>
          <w:rFonts w:ascii="Calibri" w:hAnsi="Calibri" w:cs="Calibri"/>
          <w:b/>
          <w:sz w:val="20"/>
          <w:szCs w:val="20"/>
        </w:rPr>
        <w:t>DETENTORA DA ATA</w:t>
      </w:r>
      <w:r>
        <w:rPr>
          <w:rFonts w:ascii="Calibri" w:hAnsi="Calibri" w:cs="Calibri"/>
          <w:sz w:val="20"/>
          <w:szCs w:val="20"/>
        </w:rPr>
        <w:t xml:space="preserve"> para negociar a redução do preço registrado.</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6.1.1.</w:t>
      </w:r>
      <w:r>
        <w:rPr>
          <w:rFonts w:ascii="Calibri" w:hAnsi="Calibri" w:cs="Calibri"/>
          <w:sz w:val="20"/>
          <w:szCs w:val="20"/>
        </w:rPr>
        <w:t xml:space="preserve"> A recusa da </w:t>
      </w:r>
      <w:r>
        <w:rPr>
          <w:rFonts w:ascii="Calibri" w:hAnsi="Calibri" w:cs="Calibri"/>
          <w:b/>
          <w:sz w:val="20"/>
          <w:szCs w:val="20"/>
        </w:rPr>
        <w:t>DETENTORA DA ATA</w:t>
      </w:r>
      <w:r>
        <w:rPr>
          <w:rFonts w:ascii="Calibri" w:hAnsi="Calibri" w:cs="Calibri"/>
          <w:sz w:val="20"/>
          <w:szCs w:val="20"/>
        </w:rPr>
        <w:t xml:space="preserve"> em reduzir seus preços na forma prevista no item 6.1. implicará o cancelamento parcial ou integral do registro de preços e a liberação da </w:t>
      </w:r>
      <w:r>
        <w:rPr>
          <w:rFonts w:ascii="Calibri" w:hAnsi="Calibri" w:cs="Calibri"/>
          <w:b/>
          <w:sz w:val="20"/>
          <w:szCs w:val="20"/>
        </w:rPr>
        <w:t>DETENTORA DA ATA</w:t>
      </w:r>
      <w:r>
        <w:rPr>
          <w:rFonts w:ascii="Calibri" w:hAnsi="Calibri" w:cs="Calibri"/>
          <w:sz w:val="20"/>
          <w:szCs w:val="20"/>
        </w:rPr>
        <w:t>, sem aplicação de penalidades administrativas.</w:t>
      </w:r>
    </w:p>
    <w:p>
      <w:pPr>
        <w:shd w:val="clear" w:color="auto" w:fill="FFFFFF"/>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6.2.</w:t>
      </w:r>
      <w:r>
        <w:rPr>
          <w:rFonts w:ascii="Calibri" w:hAnsi="Calibri" w:cs="Calibri"/>
          <w:sz w:val="20"/>
          <w:szCs w:val="20"/>
        </w:rPr>
        <w:t xml:space="preserve"> Quando o preço registrado se tornar superior em virtude da criação, alteração ou extinção de quaisquer tributos ou encargos legais, com comprovada repercussão sobre a Ata, o </w:t>
      </w:r>
      <w:r>
        <w:rPr>
          <w:rFonts w:ascii="Calibri" w:hAnsi="Calibri" w:cs="Calibri"/>
          <w:b/>
          <w:sz w:val="20"/>
          <w:szCs w:val="20"/>
        </w:rPr>
        <w:t>GERENCIADOR</w:t>
      </w:r>
      <w:r>
        <w:rPr>
          <w:rFonts w:ascii="Calibri" w:hAnsi="Calibri" w:cs="Calibri"/>
          <w:sz w:val="20"/>
          <w:szCs w:val="20"/>
        </w:rPr>
        <w:t xml:space="preserve"> convocará a </w:t>
      </w:r>
      <w:r>
        <w:rPr>
          <w:rFonts w:ascii="Calibri" w:hAnsi="Calibri" w:cs="Calibri"/>
          <w:b/>
          <w:sz w:val="20"/>
          <w:szCs w:val="20"/>
        </w:rPr>
        <w:t>DETENTORA</w:t>
      </w:r>
      <w:r>
        <w:rPr>
          <w:rFonts w:ascii="Calibri" w:hAnsi="Calibri" w:cs="Calibri"/>
          <w:sz w:val="20"/>
          <w:szCs w:val="20"/>
        </w:rPr>
        <w:t xml:space="preserve"> para proceder à redução dos preços de acordo com os novos encargos.</w:t>
      </w:r>
    </w:p>
    <w:p>
      <w:pPr>
        <w:shd w:val="clear" w:color="auto" w:fill="FFFFFF"/>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6.2.1.</w:t>
      </w:r>
      <w:r>
        <w:rPr>
          <w:rFonts w:ascii="Calibri" w:hAnsi="Calibri" w:cs="Calibri"/>
          <w:sz w:val="20"/>
          <w:szCs w:val="20"/>
        </w:rPr>
        <w:t xml:space="preserve"> A recusa da </w:t>
      </w:r>
      <w:r>
        <w:rPr>
          <w:rFonts w:ascii="Calibri" w:hAnsi="Calibri" w:cs="Calibri"/>
          <w:b/>
          <w:sz w:val="20"/>
          <w:szCs w:val="20"/>
        </w:rPr>
        <w:t>DETENTORA DA ATA</w:t>
      </w:r>
      <w:r>
        <w:rPr>
          <w:rFonts w:ascii="Calibri" w:hAnsi="Calibri" w:cs="Calibri"/>
          <w:sz w:val="20"/>
          <w:szCs w:val="20"/>
        </w:rPr>
        <w:t xml:space="preserve"> em reduzir seus preços na forma prevista no item 6.2 implicará o cancelamento parcial ou integral do registro de preços, com aplicação das penalidades administrativas previstas em lei e nesta Ata.</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6.3.</w:t>
      </w:r>
      <w:r>
        <w:rPr>
          <w:rFonts w:ascii="Calibri" w:hAnsi="Calibri" w:cs="Calibri"/>
          <w:sz w:val="20"/>
          <w:szCs w:val="20"/>
        </w:rPr>
        <w:t xml:space="preserve"> Quando o preço de mercado se tornar superior ao preço registrado, é facultado à </w:t>
      </w:r>
      <w:r>
        <w:rPr>
          <w:rFonts w:ascii="Calibri" w:hAnsi="Calibri" w:cs="Calibri"/>
          <w:b/>
          <w:sz w:val="20"/>
          <w:szCs w:val="20"/>
        </w:rPr>
        <w:t>DETENTORA DA ATA</w:t>
      </w:r>
      <w:r>
        <w:rPr>
          <w:rFonts w:ascii="Calibri" w:hAnsi="Calibri" w:cs="Calibri"/>
          <w:sz w:val="20"/>
          <w:szCs w:val="20"/>
        </w:rPr>
        <w:t xml:space="preserve"> requerer a revisão dos valores, desde que atendidos os seguintes requisitos:</w:t>
      </w:r>
    </w:p>
    <w:p>
      <w:pPr>
        <w:numPr>
          <w:ilvl w:val="0"/>
          <w:numId w:val="7"/>
        </w:numPr>
        <w:spacing w:before="120" w:after="120" w:line="360" w:lineRule="auto"/>
        <w:ind w:left="-11" w:leftChars="-5" w:firstLine="10" w:firstLineChars="5"/>
        <w:jc w:val="both"/>
        <w:rPr>
          <w:rFonts w:ascii="Calibri" w:hAnsi="Calibri" w:cs="Calibri"/>
          <w:sz w:val="20"/>
          <w:szCs w:val="20"/>
        </w:rPr>
      </w:pPr>
      <w:r>
        <w:rPr>
          <w:rFonts w:ascii="Calibri" w:hAnsi="Calibri" w:cs="Calibri"/>
          <w:sz w:val="20"/>
          <w:szCs w:val="20"/>
        </w:rPr>
        <w:t>Comprovação do motivo superveniente decorrente de força maior, caso fortuito, fato do príncipe, fato da Administração ou fato imprevisível ou previsível de efeitos incalculáveis;</w:t>
      </w:r>
    </w:p>
    <w:p>
      <w:pPr>
        <w:numPr>
          <w:ilvl w:val="0"/>
          <w:numId w:val="7"/>
        </w:numPr>
        <w:spacing w:before="120" w:after="120" w:line="360" w:lineRule="auto"/>
        <w:ind w:left="-11" w:leftChars="-5" w:firstLine="10" w:firstLineChars="5"/>
        <w:jc w:val="both"/>
        <w:rPr>
          <w:rFonts w:ascii="Calibri" w:hAnsi="Calibri" w:cs="Calibri"/>
          <w:sz w:val="20"/>
          <w:szCs w:val="20"/>
        </w:rPr>
      </w:pPr>
      <w:r>
        <w:rPr>
          <w:rFonts w:ascii="Calibri" w:hAnsi="Calibri" w:cs="Calibr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pPr>
        <w:shd w:val="clear" w:color="auto" w:fill="FFFFFF"/>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6.3.1.</w:t>
      </w:r>
      <w:r>
        <w:rPr>
          <w:rFonts w:ascii="Calibri" w:hAnsi="Calibri" w:cs="Calibri"/>
          <w:sz w:val="20"/>
          <w:szCs w:val="20"/>
        </w:rPr>
        <w:t xml:space="preserve"> O </w:t>
      </w:r>
      <w:r>
        <w:rPr>
          <w:rFonts w:ascii="Calibri" w:hAnsi="Calibri" w:cs="Calibri"/>
          <w:b/>
          <w:sz w:val="20"/>
          <w:szCs w:val="20"/>
        </w:rPr>
        <w:t>GERENCIADOR</w:t>
      </w:r>
      <w:r>
        <w:rPr>
          <w:rFonts w:ascii="Calibri" w:hAnsi="Calibri" w:cs="Calibri"/>
          <w:sz w:val="20"/>
          <w:szCs w:val="20"/>
        </w:rPr>
        <w:t xml:space="preserve"> decidirá sobre o pedido de revisão no prazo máximo de 60 (sessenta) dias, a contar da data de conclusão da instrução do requerimento. </w:t>
      </w:r>
    </w:p>
    <w:p>
      <w:pPr>
        <w:shd w:val="clear" w:color="auto" w:fill="FFFFFF"/>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6.3.2.</w:t>
      </w:r>
      <w:r>
        <w:rPr>
          <w:rFonts w:ascii="Calibri" w:hAnsi="Calibri" w:cs="Calibri"/>
          <w:sz w:val="20"/>
          <w:szCs w:val="20"/>
        </w:rPr>
        <w:t xml:space="preserve"> Durante o período de análise do pedido, o </w:t>
      </w:r>
      <w:r>
        <w:rPr>
          <w:rFonts w:ascii="Calibri" w:hAnsi="Calibri" w:cs="Calibri"/>
          <w:b/>
          <w:sz w:val="20"/>
          <w:szCs w:val="20"/>
        </w:rPr>
        <w:t>GERENCIADOR</w:t>
      </w:r>
      <w:r>
        <w:rPr>
          <w:rFonts w:ascii="Calibri" w:hAnsi="Calibri" w:cs="Calibri"/>
          <w:sz w:val="20"/>
          <w:szCs w:val="20"/>
        </w:rPr>
        <w:t xml:space="preserve">, mediante solicitação da </w:t>
      </w:r>
      <w:r>
        <w:rPr>
          <w:rFonts w:ascii="Calibri" w:hAnsi="Calibri" w:cs="Calibri"/>
          <w:b/>
          <w:sz w:val="20"/>
          <w:szCs w:val="20"/>
        </w:rPr>
        <w:t>DETENTORA DA ATA</w:t>
      </w:r>
      <w:r>
        <w:rPr>
          <w:rFonts w:ascii="Calibri" w:hAnsi="Calibri" w:cs="Calibri"/>
          <w:sz w:val="20"/>
          <w:szCs w:val="20"/>
        </w:rPr>
        <w:t>, poderá suspender as novas autorizações de consumo/adesão à Ata de Registro de Preços.</w:t>
      </w:r>
    </w:p>
    <w:p>
      <w:pPr>
        <w:shd w:val="clear" w:color="auto" w:fill="FFFFFF"/>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6.3.3.</w:t>
      </w:r>
      <w:r>
        <w:rPr>
          <w:rFonts w:ascii="Calibri" w:hAnsi="Calibri" w:cs="Calibri"/>
          <w:sz w:val="20"/>
          <w:szCs w:val="20"/>
        </w:rPr>
        <w:t xml:space="preserve"> Indeferido o pedido de revisão, por ausência de prova efetiva dos requisitos previstos no item 6.3, a </w:t>
      </w:r>
      <w:r>
        <w:rPr>
          <w:rFonts w:ascii="Calibri" w:hAnsi="Calibri" w:cs="Calibri"/>
          <w:b/>
          <w:sz w:val="20"/>
          <w:szCs w:val="20"/>
        </w:rPr>
        <w:t>DENTENTORA DA ATA</w:t>
      </w:r>
      <w:r>
        <w:rPr>
          <w:rFonts w:ascii="Calibri" w:hAnsi="Calibri" w:cs="Calibri"/>
          <w:sz w:val="20"/>
          <w:szCs w:val="20"/>
        </w:rPr>
        <w:t xml:space="preserve"> fica obrigada a manter os compromissos assumidos pelos preços originalmente registrados, sob pena de cancelamento do registro de preços e aplicação das penalidades administrativas previstas em lei e nesta Ata. </w:t>
      </w:r>
    </w:p>
    <w:p>
      <w:pPr>
        <w:shd w:val="clear" w:color="auto" w:fill="FFFFFF"/>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6.3.4.</w:t>
      </w:r>
      <w:r>
        <w:rPr>
          <w:rFonts w:ascii="Calibri" w:hAnsi="Calibri" w:cs="Calibri"/>
          <w:sz w:val="20"/>
          <w:szCs w:val="20"/>
        </w:rPr>
        <w:t xml:space="preserve"> Comprovada a desatualização dos preços registrados, a Ata poderá ser revisada e, caso a </w:t>
      </w:r>
      <w:r>
        <w:rPr>
          <w:rFonts w:ascii="Calibri" w:hAnsi="Calibri" w:cs="Calibri"/>
          <w:b/>
          <w:sz w:val="20"/>
          <w:szCs w:val="20"/>
        </w:rPr>
        <w:t>DETENTORA DA ATA</w:t>
      </w:r>
      <w:r>
        <w:rPr>
          <w:rFonts w:ascii="Calibri" w:hAnsi="Calibri" w:cs="Calibri"/>
          <w:sz w:val="20"/>
          <w:szCs w:val="20"/>
        </w:rPr>
        <w:t xml:space="preserve"> não aceite os novos preços indicados, o Registro de Preços será, parcial ou integralmente, cancelado e a </w:t>
      </w:r>
      <w:r>
        <w:rPr>
          <w:rFonts w:ascii="Calibri" w:hAnsi="Calibri" w:cs="Calibri"/>
          <w:b/>
          <w:sz w:val="20"/>
          <w:szCs w:val="20"/>
        </w:rPr>
        <w:t>DETENTORA DA ATA</w:t>
      </w:r>
      <w:r>
        <w:rPr>
          <w:rFonts w:ascii="Calibri" w:hAnsi="Calibri" w:cs="Calibri"/>
          <w:sz w:val="20"/>
          <w:szCs w:val="20"/>
        </w:rPr>
        <w:t xml:space="preserve"> liberada do compromisso assumido, sem aplicação de penalidades administrativas.</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6.4.</w:t>
      </w:r>
      <w:r>
        <w:rPr>
          <w:rFonts w:ascii="Calibri" w:hAnsi="Calibri" w:cs="Calibri"/>
          <w:sz w:val="20"/>
          <w:szCs w:val="20"/>
        </w:rPr>
        <w:t xml:space="preserve"> O registro de preços também poderá ser revisado se a </w:t>
      </w:r>
      <w:r>
        <w:rPr>
          <w:rFonts w:ascii="Calibri" w:hAnsi="Calibri" w:cs="Calibri"/>
          <w:b/>
          <w:sz w:val="20"/>
          <w:szCs w:val="20"/>
        </w:rPr>
        <w:t>DETENTORA DA ATA</w:t>
      </w:r>
      <w:r>
        <w:rPr>
          <w:rFonts w:ascii="Calibri" w:hAnsi="Calibri" w:cs="Calibri"/>
          <w:sz w:val="20"/>
          <w:szCs w:val="20"/>
        </w:rPr>
        <w:t xml:space="preserve"> formular proposta superveniente para redução dos preços registrados. </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sz w:val="20"/>
          <w:szCs w:val="20"/>
        </w:rPr>
        <w:t>6.4.1.</w:t>
      </w:r>
      <w:r>
        <w:rPr>
          <w:rFonts w:ascii="Calibri" w:hAnsi="Calibri" w:cs="Calibri"/>
          <w:sz w:val="20"/>
          <w:szCs w:val="20"/>
        </w:rPr>
        <w:t xml:space="preserve"> A redução de preços proposta não repercutirá na ordem de preferência de itens espelhados, que considerará os preços finais apresentados no certame.</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6.5.</w:t>
      </w:r>
      <w:r>
        <w:rPr>
          <w:rFonts w:ascii="Calibri" w:hAnsi="Calibri" w:cs="Calibr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pPr>
        <w:spacing w:before="120" w:after="120" w:line="360" w:lineRule="auto"/>
        <w:ind w:left="-11" w:leftChars="-5" w:firstLine="10" w:firstLineChars="5"/>
        <w:jc w:val="both"/>
        <w:rPr>
          <w:rFonts w:ascii="Calibri" w:hAnsi="Calibri" w:cs="Calibri"/>
        </w:rPr>
      </w:pPr>
      <w:r>
        <w:rPr>
          <w:rFonts w:ascii="Calibri" w:hAnsi="Calibri" w:cs="Calibri"/>
          <w:b/>
          <w:bCs/>
          <w:sz w:val="20"/>
          <w:szCs w:val="20"/>
        </w:rPr>
        <w:t>6.6.</w:t>
      </w:r>
      <w:r>
        <w:rPr>
          <w:rFonts w:ascii="Calibri" w:hAnsi="Calibri" w:cs="Calibri"/>
          <w:sz w:val="20"/>
          <w:szCs w:val="20"/>
        </w:rPr>
        <w:t xml:space="preserve"> A revisão dos preços registrados em Ata será aplicada automaticamente aos contratos formalizados posteriormente à sua implantação.</w:t>
      </w:r>
    </w:p>
    <w:p>
      <w:pPr>
        <w:pStyle w:val="27"/>
        <w:spacing w:before="360" w:after="120" w:line="360" w:lineRule="auto"/>
        <w:ind w:left="-1701"/>
        <w:jc w:val="both"/>
        <w:rPr>
          <w:rFonts w:ascii="Calibri" w:hAnsi="Calibri" w:cs="Calibri"/>
          <w:b/>
          <w:bCs/>
          <w:sz w:val="20"/>
          <w:szCs w:val="20"/>
        </w:rPr>
      </w:pPr>
      <w:r>
        <w:rPr>
          <w:rFonts w:ascii="Calibri" w:hAnsi="Calibri" w:cs="Calibri"/>
        </w:rPr>
        <mc:AlternateContent>
          <mc:Choice Requires="wps">
            <w:drawing>
              <wp:inline distT="0" distB="0" distL="0" distR="0">
                <wp:extent cx="5781675" cy="359410"/>
                <wp:effectExtent l="0" t="0" r="9525" b="2540"/>
                <wp:docPr id="48" name="Retângulo 7"/>
                <wp:cNvGraphicFramePr/>
                <a:graphic xmlns:a="http://schemas.openxmlformats.org/drawingml/2006/main">
                  <a:graphicData uri="http://schemas.microsoft.com/office/word/2010/wordprocessingShape">
                    <wps:wsp>
                      <wps:cNvSpPr>
                        <a:spLocks noChangeArrowheads="1"/>
                      </wps:cNvSpPr>
                      <wps:spPr bwMode="auto">
                        <a:xfrm>
                          <a:off x="0" y="0"/>
                          <a:ext cx="5781675"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7. DAS CONTRATAÇÕES DECORRENTES DA ATA DE REGISTRO DE PREÇO</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455.25pt;v-text-anchor:middle;" fillcolor="#33608E" filled="t" stroked="f" coordsize="21600,21600" o:gfxdata="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PJaPN9YAAAAEAQAADwAA&#10;AAAAAAABACAAAAAiAAAAZHJzL2Rvd25yZXYueG1sUEsBAhQAFAAAAAgAh07iQF+5jh5RAgAAkwQA&#10;AA4AAAAAAAAAAQAgAAAAJQEAAGRycy9lMm9Eb2MueG1sUEsFBgAAAAAGAAYAWQEAAOgFA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7. DAS CONTRATAÇÕES DECORRENTES DA ATA DE REGISTRO DE PREÇO</w:t>
                      </w:r>
                    </w:p>
                  </w:txbxContent>
                </v:textbox>
                <w10:wrap type="none"/>
                <w10:anchorlock/>
              </v:rect>
            </w:pict>
          </mc:Fallback>
        </mc:AlternateConten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7.1.</w:t>
      </w:r>
      <w:r>
        <w:rPr>
          <w:rFonts w:ascii="Calibri" w:hAnsi="Calibri" w:cs="Calibri"/>
          <w:sz w:val="20"/>
          <w:szCs w:val="20"/>
        </w:rPr>
        <w:t xml:space="preserve"> A </w:t>
      </w:r>
      <w:r>
        <w:rPr>
          <w:rFonts w:ascii="Calibri" w:hAnsi="Calibri" w:cs="Calibri"/>
          <w:b/>
          <w:sz w:val="20"/>
          <w:szCs w:val="20"/>
        </w:rPr>
        <w:t>DETENTORA DA ATA</w:t>
      </w:r>
      <w:r>
        <w:rPr>
          <w:rFonts w:ascii="Calibri" w:hAnsi="Calibri" w:cs="Calibri"/>
          <w:sz w:val="20"/>
          <w:szCs w:val="20"/>
        </w:rPr>
        <w:t xml:space="preserve"> está obrigada a celebrar as contratações que dela poderão advir, observadas as condições estabelecidas no Edital, em seus anexos e nesta Ata.</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7.2.</w:t>
      </w:r>
      <w:r>
        <w:rPr>
          <w:rFonts w:ascii="Calibri" w:hAnsi="Calibri" w:cs="Calibri"/>
          <w:sz w:val="20"/>
          <w:szCs w:val="20"/>
        </w:rPr>
        <w:t xml:space="preserve"> As contratações decorrentes desta Ata de Registro de Preços serão formalizadas mediante a retirada da ordem de fornecimento, conforme modelo constante do Anexo IV do Edital, respeitado o prazo de vigência da Ata.</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7.3.</w:t>
      </w:r>
      <w:r>
        <w:rPr>
          <w:rFonts w:ascii="Calibri" w:hAnsi="Calibri" w:cs="Calibri"/>
          <w:sz w:val="20"/>
          <w:szCs w:val="20"/>
        </w:rPr>
        <w:t xml:space="preserve"> A </w:t>
      </w:r>
      <w:r>
        <w:rPr>
          <w:rFonts w:ascii="Calibri" w:hAnsi="Calibri" w:cs="Calibri"/>
          <w:b/>
          <w:sz w:val="20"/>
          <w:szCs w:val="20"/>
        </w:rPr>
        <w:t xml:space="preserve">DETENTORA DA ATA </w:t>
      </w:r>
      <w:r>
        <w:rPr>
          <w:rFonts w:ascii="Calibri" w:hAnsi="Calibri" w:cs="Calibri"/>
          <w:sz w:val="20"/>
          <w:szCs w:val="20"/>
        </w:rPr>
        <w:t>será convocada para retirada da ordem de fornecimento no prazo de 5 (cinco) dias úteis a contar da convocação, sob pena de decair o direito à contratação.</w:t>
      </w:r>
    </w:p>
    <w:p>
      <w:pPr>
        <w:keepNext w:val="0"/>
        <w:keepLines w:val="0"/>
        <w:widowControl/>
        <w:suppressLineNumbers w:val="0"/>
        <w:jc w:val="left"/>
        <w:rPr>
          <w:rFonts w:ascii="Calibri" w:hAnsi="Calibri" w:cs="Calibri"/>
          <w:sz w:val="20"/>
          <w:szCs w:val="20"/>
        </w:rPr>
      </w:pPr>
      <w:r>
        <w:rPr>
          <w:rFonts w:ascii="Calibri" w:hAnsi="Calibri" w:cs="Calibri"/>
          <w:b/>
          <w:bCs/>
          <w:sz w:val="20"/>
          <w:szCs w:val="20"/>
        </w:rPr>
        <w:t>7.4.</w:t>
      </w:r>
      <w:r>
        <w:rPr>
          <w:rFonts w:ascii="Calibri" w:hAnsi="Calibri" w:cs="Calibri"/>
          <w:sz w:val="20"/>
          <w:szCs w:val="20"/>
        </w:rPr>
        <w:t xml:space="preserve"> </w:t>
      </w:r>
      <w:r>
        <w:rPr>
          <w:rFonts w:hint="default" w:cs="Calibri" w:asciiTheme="minorAscii" w:hAnsiTheme="minorAscii"/>
          <w:color w:val="auto"/>
          <w:sz w:val="20"/>
          <w:szCs w:val="20"/>
        </w:rPr>
        <w:t xml:space="preserve">O prazo </w:t>
      </w:r>
      <w:r>
        <w:rPr>
          <w:rFonts w:hint="default" w:cs="Calibri" w:asciiTheme="minorAscii" w:hAnsiTheme="minorAscii"/>
          <w:color w:val="auto"/>
          <w:sz w:val="20"/>
          <w:szCs w:val="20"/>
          <w:lang w:val="pt-BR"/>
        </w:rPr>
        <w:t>de retirada</w:t>
      </w:r>
      <w:r>
        <w:rPr>
          <w:rFonts w:hint="default" w:eastAsia="Segoe UI Light" w:cs="Segoe UI Light" w:asciiTheme="minorAscii" w:hAnsiTheme="minorAscii"/>
          <w:color w:val="auto"/>
          <w:kern w:val="0"/>
          <w:sz w:val="20"/>
          <w:szCs w:val="20"/>
          <w:lang w:val="en-US" w:eastAsia="zh-CN" w:bidi="ar"/>
        </w:rPr>
        <w:t xml:space="preserve">da ordem de fornecimento </w:t>
      </w:r>
      <w:r>
        <w:rPr>
          <w:rFonts w:hint="default" w:cs="Calibri" w:asciiTheme="minorAscii" w:hAnsiTheme="minorAscii"/>
          <w:color w:val="auto"/>
          <w:sz w:val="20"/>
          <w:szCs w:val="20"/>
          <w:lang w:val="pt-BR"/>
        </w:rPr>
        <w:t xml:space="preserve"> </w:t>
      </w:r>
      <w:r>
        <w:rPr>
          <w:rFonts w:hint="default" w:cs="Calibri" w:asciiTheme="minorAscii" w:hAnsiTheme="minorAscii"/>
          <w:color w:val="auto"/>
          <w:sz w:val="20"/>
          <w:szCs w:val="20"/>
        </w:rPr>
        <w:t xml:space="preserve">poderá ser prorrogado uma única vez, por igual período, mediante solicitação da </w:t>
      </w:r>
      <w:r>
        <w:rPr>
          <w:rFonts w:hint="default" w:cs="Calibri" w:asciiTheme="minorAscii" w:hAnsiTheme="minorAscii"/>
          <w:b/>
          <w:color w:val="auto"/>
          <w:sz w:val="20"/>
          <w:szCs w:val="20"/>
        </w:rPr>
        <w:t>DETENTORA DA ATA</w:t>
      </w:r>
      <w:r>
        <w:rPr>
          <w:rFonts w:hint="default" w:cs="Calibri" w:asciiTheme="minorAscii" w:hAnsiTheme="minorAscii"/>
          <w:color w:val="auto"/>
          <w:sz w:val="20"/>
          <w:szCs w:val="20"/>
        </w:rPr>
        <w:t xml:space="preserve"> antes do decurso do prazo assinalado e desde que ocorra motivo justo, aceito pela Administraçã</w:t>
      </w:r>
      <w:r>
        <w:rPr>
          <w:rFonts w:ascii="Calibri" w:hAnsi="Calibri" w:cs="Calibri"/>
          <w:sz w:val="20"/>
          <w:szCs w:val="20"/>
        </w:rPr>
        <w:t>o.</w:t>
      </w:r>
    </w:p>
    <w:p>
      <w:pPr>
        <w:pStyle w:val="27"/>
        <w:spacing w:before="120" w:after="120" w:line="360" w:lineRule="auto"/>
        <w:ind w:left="-11" w:leftChars="-5" w:firstLine="10" w:firstLineChars="5"/>
        <w:jc w:val="both"/>
        <w:rPr>
          <w:rFonts w:ascii="Calibri" w:hAnsi="Calibri" w:cs="Calibri"/>
        </w:rPr>
      </w:pPr>
      <w:r>
        <w:rPr>
          <w:rFonts w:ascii="Calibri" w:hAnsi="Calibri" w:eastAsia="Times New Roman" w:cs="Calibri"/>
          <w:b/>
          <w:bCs/>
        </w:rPr>
        <w:t>7.5.</w:t>
      </w:r>
      <w:r>
        <w:rPr>
          <w:rFonts w:ascii="Calibri" w:hAnsi="Calibri" w:eastAsia="Times New Roman" w:cs="Calibri"/>
        </w:rPr>
        <w:t xml:space="preserve"> O não comparecimento ou a recusa in</w:t>
      </w:r>
      <w:r>
        <w:rPr>
          <w:rFonts w:ascii="Calibri" w:hAnsi="Calibri" w:cs="Calibri"/>
        </w:rPr>
        <w:t xml:space="preserve">justificada da </w:t>
      </w:r>
      <w:r>
        <w:rPr>
          <w:rFonts w:ascii="Calibri" w:hAnsi="Calibri" w:cs="Calibri"/>
          <w:b/>
        </w:rPr>
        <w:t>DETENTORA DA ATA</w:t>
      </w:r>
      <w:r>
        <w:rPr>
          <w:rFonts w:hint="default" w:ascii="Calibri" w:hAnsi="Calibri" w:cs="Calibri"/>
          <w:b/>
          <w:lang w:val="pt-BR"/>
        </w:rPr>
        <w:t xml:space="preserve"> </w:t>
      </w:r>
      <w:r>
        <w:rPr>
          <w:rFonts w:hint="default" w:ascii="Calibri" w:hAnsi="Calibri" w:cs="Calibri"/>
          <w:strike w:val="0"/>
          <w:lang w:val="pt-BR"/>
        </w:rPr>
        <w:t xml:space="preserve">para </w:t>
      </w:r>
      <w:r>
        <w:rPr>
          <w:rFonts w:ascii="Calibri" w:hAnsi="Calibri" w:cs="Calibri"/>
        </w:rPr>
        <w:t xml:space="preserve"> retirar a ordem de fornecimento no prazo assinalado enseja o cancelamento do registro de preços e a aplicação das penalidades previstas nesta Ata.</w:t>
      </w:r>
    </w:p>
    <w:p>
      <w:pPr>
        <w:shd w:val="clear" w:color="auto" w:fill="FFFFFF"/>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7.5.1.</w:t>
      </w:r>
      <w:r>
        <w:rPr>
          <w:rFonts w:ascii="Calibri" w:hAnsi="Calibri" w:cs="Calibri"/>
          <w:sz w:val="20"/>
          <w:szCs w:val="20"/>
        </w:rPr>
        <w:t xml:space="preserve"> A instauração do processo de apuração e de aplicação de penalidades compete ao órgão ou entidade interessada na contratação.</w:t>
      </w:r>
    </w:p>
    <w:p>
      <w:pPr>
        <w:pStyle w:val="27"/>
        <w:spacing w:before="120" w:after="120" w:line="360" w:lineRule="auto"/>
        <w:ind w:left="-11" w:leftChars="-5" w:firstLine="10" w:firstLineChars="5"/>
        <w:jc w:val="both"/>
        <w:rPr>
          <w:rFonts w:ascii="Calibri" w:hAnsi="Calibri" w:cs="Calibri"/>
        </w:rPr>
      </w:pPr>
      <w:r>
        <w:rPr>
          <w:rFonts w:ascii="Calibri" w:hAnsi="Calibri" w:cs="Calibri"/>
          <w:b/>
          <w:bCs/>
        </w:rPr>
        <w:t xml:space="preserve">7.6. </w:t>
      </w:r>
      <w:r>
        <w:rPr>
          <w:rFonts w:ascii="Calibri" w:hAnsi="Calibri" w:cs="Calibri"/>
        </w:rPr>
        <w:t xml:space="preserve">Por ocasião da convocação para assinatura do contrato ou para retirada da ordem de fornecimento, o órgão ou entidade interessada na contratação deverá consultar a regularidade da </w:t>
      </w:r>
      <w:r>
        <w:rPr>
          <w:rFonts w:ascii="Calibri" w:hAnsi="Calibri" w:cs="Calibri"/>
          <w:b/>
        </w:rPr>
        <w:t>DETENTORA DA ATA</w:t>
      </w:r>
      <w:r>
        <w:rPr>
          <w:rFonts w:ascii="Calibri" w:hAnsi="Calibri" w:cs="Calibri"/>
        </w:rPr>
        <w:t xml:space="preserve"> perante o </w:t>
      </w:r>
      <w:r>
        <w:rPr>
          <w:rFonts w:ascii="Calibri" w:hAnsi="Calibri" w:eastAsia="Bookman Old Style" w:cs="Calibri"/>
        </w:rPr>
        <w:t xml:space="preserve">Cadastro Nacional de Empresas Inidôneas e Suspensas (Ceis) e o Cadastro Nacional de Empresas Punidas (Cnep) e verificar a validade dos </w:t>
      </w:r>
      <w:r>
        <w:rPr>
          <w:rFonts w:ascii="Calibri" w:hAnsi="Calibri" w:cs="Calibri"/>
        </w:rPr>
        <w:t xml:space="preserve">documentos de habitação fiscal, social e trabalhista apresentados na licitação, por meio de consulta aos sítios eletrônicos oficiais, certificando nos autos a regularidade e anexando os documentos obtidos. </w:t>
      </w:r>
    </w:p>
    <w:p>
      <w:pPr>
        <w:pStyle w:val="27"/>
        <w:spacing w:before="120" w:after="120" w:line="360" w:lineRule="auto"/>
        <w:ind w:left="-11" w:leftChars="-5" w:firstLine="10" w:firstLineChars="5"/>
        <w:jc w:val="both"/>
        <w:rPr>
          <w:rFonts w:ascii="Calibri" w:hAnsi="Calibri" w:cs="Calibri"/>
        </w:rPr>
      </w:pPr>
      <w:r>
        <w:rPr>
          <w:rFonts w:ascii="Calibri" w:hAnsi="Calibri" w:cs="Calibri"/>
          <w:b/>
          <w:bCs/>
        </w:rPr>
        <w:t>7.6.1.</w:t>
      </w:r>
      <w:r>
        <w:rPr>
          <w:rFonts w:ascii="Calibri" w:hAnsi="Calibri" w:cs="Calibri"/>
        </w:rPr>
        <w:t xml:space="preserve"> Se não for possível atualizar os documentos por meio eletrônico, a </w:t>
      </w:r>
      <w:r>
        <w:rPr>
          <w:rFonts w:ascii="Calibri" w:hAnsi="Calibri" w:cs="Calibri"/>
          <w:b/>
        </w:rPr>
        <w:t>DETENTORA DA ATA</w:t>
      </w:r>
      <w:r>
        <w:rPr>
          <w:rFonts w:ascii="Calibri" w:hAnsi="Calibri" w:cs="Calibri"/>
        </w:rPr>
        <w:t xml:space="preserve"> será notificada para, no prazo de 02 (dois) dias úteis, comprovar a sua situação de regularidade, mediante a apresentação das respectivas certidões vigentes, sob pena de decair do direito à contratação e haver o cancelamento do registro de preços.</w:t>
      </w:r>
    </w:p>
    <w:p>
      <w:pPr>
        <w:spacing w:before="120" w:after="120" w:line="360" w:lineRule="auto"/>
        <w:ind w:left="-11" w:leftChars="-5" w:firstLine="10" w:firstLineChars="5"/>
        <w:jc w:val="both"/>
        <w:rPr>
          <w:rFonts w:ascii="Calibri" w:hAnsi="Calibri" w:cs="Calibri"/>
          <w:sz w:val="20"/>
          <w:szCs w:val="20"/>
        </w:rPr>
      </w:pPr>
      <w:r>
        <w:rPr>
          <w:rFonts w:ascii="Calibri" w:hAnsi="Calibri" w:cs="Calibri"/>
          <w:b/>
          <w:bCs/>
          <w:sz w:val="20"/>
          <w:szCs w:val="20"/>
        </w:rPr>
        <w:t>7.7.</w:t>
      </w:r>
      <w:r>
        <w:rPr>
          <w:rFonts w:ascii="Calibri" w:hAnsi="Calibri" w:cs="Calibri"/>
          <w:sz w:val="20"/>
          <w:szCs w:val="20"/>
        </w:rPr>
        <w:t xml:space="preserve"> Nas hipóteses do item 8.5 e 8.6, o </w:t>
      </w:r>
      <w:r>
        <w:rPr>
          <w:rFonts w:ascii="Calibri" w:hAnsi="Calibri" w:cs="Calibri"/>
          <w:b/>
          <w:sz w:val="20"/>
          <w:szCs w:val="20"/>
        </w:rPr>
        <w:t>GERENCIADOR</w:t>
      </w:r>
      <w:r>
        <w:rPr>
          <w:rFonts w:ascii="Calibri" w:hAnsi="Calibri" w:cs="Calibri"/>
          <w:sz w:val="20"/>
          <w:szCs w:val="20"/>
        </w:rPr>
        <w:t xml:space="preserve"> poderá convocar os integrantes do cadastro de reserva, se houver, ou os licitantes remanescentes, na ordem de classificação, para negociação e assinatura de nova Ata, observado o disposto no art. 90, §§ 2º e 4º da Lei 14.133, de 2021. </w:t>
      </w:r>
    </w:p>
    <w:p>
      <w:pPr>
        <w:pStyle w:val="27"/>
        <w:spacing w:before="360" w:after="120" w:line="360" w:lineRule="auto"/>
        <w:ind w:left="-1701"/>
        <w:jc w:val="both"/>
        <w:rPr>
          <w:rFonts w:ascii="Calibri" w:hAnsi="Calibri" w:cs="Calibri"/>
        </w:rPr>
      </w:pPr>
      <w:r>
        <w:rPr>
          <w:rFonts w:ascii="Calibri" w:hAnsi="Calibri" w:cs="Calibri"/>
        </w:rPr>
        <mc:AlternateContent>
          <mc:Choice Requires="wps">
            <w:drawing>
              <wp:inline distT="0" distB="0" distL="0" distR="0">
                <wp:extent cx="4794250" cy="359410"/>
                <wp:effectExtent l="0" t="0" r="6350" b="2540"/>
                <wp:docPr id="37" name="Retângulo 7"/>
                <wp:cNvGraphicFramePr/>
                <a:graphic xmlns:a="http://schemas.openxmlformats.org/drawingml/2006/main">
                  <a:graphicData uri="http://schemas.microsoft.com/office/word/2010/wordprocessingShape">
                    <wps:wsp>
                      <wps:cNvSpPr>
                        <a:spLocks noChangeArrowheads="1"/>
                      </wps:cNvSpPr>
                      <wps:spPr bwMode="auto">
                        <a:xfrm>
                          <a:off x="0" y="0"/>
                          <a:ext cx="4794250"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8. DAS OBRIGAÇÕES DO ÓRGÃO GERENCIADOR DA ATA</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377.5pt;v-text-anchor:middle;" fillcolor="#33608E" filled="t" stroked="f" coordsize="21600,21600" o:gfxdata="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sdl62dYAAAAEAQAADwAA&#10;AAAAAAABACAAAAAiAAAAZHJzL2Rvd25yZXYueG1sUEsBAhQAFAAAAAgAh07iQHL2jvtRAgAAkwQA&#10;AA4AAAAAAAAAAQAgAAAAJQEAAGRycy9lMm9Eb2MueG1sUEsFBgAAAAAGAAYAWQEAAOgFA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8. DAS OBRIGAÇÕES DO ÓRGÃO GERENCIADOR DA ATA</w:t>
                      </w:r>
                    </w:p>
                  </w:txbxContent>
                </v:textbox>
                <w10:wrap type="none"/>
                <w10:anchorlock/>
              </v:rect>
            </w:pict>
          </mc:Fallback>
        </mc:AlternateContent>
      </w:r>
    </w:p>
    <w:p>
      <w:pPr>
        <w:spacing w:before="120" w:after="120" w:line="360" w:lineRule="auto"/>
        <w:jc w:val="both"/>
        <w:rPr>
          <w:rFonts w:ascii="Calibri" w:hAnsi="Calibri" w:cs="Calibri"/>
          <w:sz w:val="20"/>
          <w:szCs w:val="20"/>
        </w:rPr>
      </w:pPr>
      <w:r>
        <w:rPr>
          <w:rFonts w:ascii="Calibri" w:hAnsi="Calibri" w:cs="Calibri"/>
          <w:b/>
          <w:bCs/>
          <w:sz w:val="20"/>
          <w:szCs w:val="20"/>
        </w:rPr>
        <w:t>8.1.</w:t>
      </w:r>
      <w:r>
        <w:rPr>
          <w:rFonts w:ascii="Calibri" w:hAnsi="Calibri" w:cs="Calibri"/>
          <w:sz w:val="20"/>
          <w:szCs w:val="20"/>
        </w:rPr>
        <w:t xml:space="preserve"> O </w:t>
      </w:r>
      <w:r>
        <w:rPr>
          <w:rFonts w:ascii="Calibri" w:hAnsi="Calibri" w:cs="Calibri"/>
          <w:b/>
          <w:sz w:val="20"/>
          <w:szCs w:val="20"/>
        </w:rPr>
        <w:t>ÓRGÃO GERENCIADOR</w:t>
      </w:r>
      <w:r>
        <w:rPr>
          <w:rFonts w:ascii="Calibri" w:hAnsi="Calibri" w:cs="Calibri"/>
          <w:sz w:val="20"/>
          <w:szCs w:val="20"/>
        </w:rPr>
        <w:t xml:space="preserve"> deverá:</w:t>
      </w:r>
    </w:p>
    <w:p>
      <w:pPr>
        <w:spacing w:before="120" w:after="120" w:line="360" w:lineRule="auto"/>
        <w:jc w:val="both"/>
        <w:rPr>
          <w:rFonts w:ascii="Calibri" w:hAnsi="Calibri" w:cs="Calibri"/>
          <w:sz w:val="20"/>
          <w:szCs w:val="20"/>
        </w:rPr>
      </w:pPr>
      <w:r>
        <w:rPr>
          <w:rFonts w:ascii="Calibri" w:hAnsi="Calibri" w:cs="Calibri"/>
          <w:b/>
          <w:bCs/>
          <w:sz w:val="20"/>
          <w:szCs w:val="20"/>
        </w:rPr>
        <w:t>8.1.1.</w:t>
      </w:r>
      <w:r>
        <w:rPr>
          <w:rFonts w:ascii="Calibri" w:hAnsi="Calibri" w:cs="Calibri"/>
          <w:sz w:val="20"/>
          <w:szCs w:val="20"/>
        </w:rPr>
        <w:t xml:space="preserve"> Assinar, gerenciar e fiscalizar a Ata de Registro de Preços;</w:t>
      </w:r>
    </w:p>
    <w:p>
      <w:pPr>
        <w:spacing w:before="120" w:after="120" w:line="360" w:lineRule="auto"/>
        <w:jc w:val="both"/>
        <w:rPr>
          <w:rFonts w:ascii="Calibri" w:hAnsi="Calibri" w:cs="Calibri"/>
          <w:sz w:val="20"/>
          <w:szCs w:val="20"/>
        </w:rPr>
      </w:pPr>
      <w:r>
        <w:rPr>
          <w:rFonts w:ascii="Calibri" w:hAnsi="Calibri" w:cs="Calibri"/>
          <w:b/>
          <w:bCs/>
          <w:sz w:val="20"/>
          <w:szCs w:val="20"/>
        </w:rPr>
        <w:t>8.1.2.</w:t>
      </w:r>
      <w:r>
        <w:rPr>
          <w:rFonts w:ascii="Calibri" w:hAnsi="Calibri" w:cs="Calibri"/>
          <w:sz w:val="20"/>
          <w:szCs w:val="20"/>
        </w:rPr>
        <w:t xml:space="preserve"> Divulgar a Ata e suas eventuais alterações, durante toda a sua vigência, no Sistema PE Integrado e no Portal Nacional de Contratações Públicas;</w:t>
      </w:r>
    </w:p>
    <w:p>
      <w:pPr>
        <w:spacing w:before="120" w:after="120" w:line="360" w:lineRule="auto"/>
        <w:jc w:val="both"/>
        <w:rPr>
          <w:rFonts w:ascii="Calibri" w:hAnsi="Calibri" w:cs="Calibri"/>
          <w:sz w:val="20"/>
          <w:szCs w:val="20"/>
        </w:rPr>
      </w:pPr>
      <w:r>
        <w:rPr>
          <w:rFonts w:ascii="Calibri" w:hAnsi="Calibri" w:cs="Calibri"/>
          <w:b/>
          <w:bCs/>
          <w:sz w:val="20"/>
          <w:szCs w:val="20"/>
        </w:rPr>
        <w:t>8.1.3.</w:t>
      </w:r>
      <w:r>
        <w:rPr>
          <w:rFonts w:ascii="Calibri" w:hAnsi="Calibri" w:cs="Calibri"/>
          <w:sz w:val="20"/>
          <w:szCs w:val="20"/>
        </w:rPr>
        <w:t xml:space="preserve"> Autorizar e gerenciar pedidos de consumo dos órgãos participantes e pedidos de adesão dos não participantes;</w:t>
      </w:r>
    </w:p>
    <w:p>
      <w:pPr>
        <w:spacing w:before="120" w:after="120" w:line="360" w:lineRule="auto"/>
        <w:jc w:val="both"/>
        <w:rPr>
          <w:rFonts w:ascii="Calibri" w:hAnsi="Calibri" w:cs="Calibri"/>
          <w:sz w:val="20"/>
          <w:szCs w:val="20"/>
        </w:rPr>
      </w:pPr>
      <w:r>
        <w:rPr>
          <w:rFonts w:ascii="Calibri" w:hAnsi="Calibri" w:cs="Calibri"/>
          <w:b/>
          <w:bCs/>
          <w:sz w:val="20"/>
          <w:szCs w:val="20"/>
        </w:rPr>
        <w:t>8.1.4.</w:t>
      </w:r>
      <w:r>
        <w:rPr>
          <w:rFonts w:ascii="Calibri" w:hAnsi="Calibri" w:cs="Calibri"/>
          <w:sz w:val="20"/>
          <w:szCs w:val="20"/>
        </w:rPr>
        <w:t xml:space="preserve"> Observar os quantitativos e limites estabelecidos para os órgãos participantes e não participantes;</w:t>
      </w:r>
    </w:p>
    <w:p>
      <w:pPr>
        <w:spacing w:before="120" w:after="120" w:line="360" w:lineRule="auto"/>
        <w:jc w:val="both"/>
        <w:rPr>
          <w:rFonts w:ascii="Calibri" w:hAnsi="Calibri" w:cs="Calibri"/>
          <w:sz w:val="20"/>
          <w:szCs w:val="20"/>
        </w:rPr>
      </w:pPr>
      <w:r>
        <w:rPr>
          <w:rFonts w:ascii="Calibri" w:hAnsi="Calibri" w:cs="Calibri"/>
          <w:b/>
          <w:bCs/>
          <w:sz w:val="20"/>
          <w:szCs w:val="20"/>
        </w:rPr>
        <w:t>8.1.5.</w:t>
      </w:r>
      <w:r>
        <w:rPr>
          <w:rFonts w:ascii="Calibri" w:hAnsi="Calibri" w:cs="Calibri"/>
          <w:sz w:val="20"/>
          <w:szCs w:val="20"/>
        </w:rPr>
        <w:t xml:space="preserve"> Remanejar os quantitativos da Ata, quando cabível;</w:t>
      </w:r>
    </w:p>
    <w:p>
      <w:pPr>
        <w:spacing w:before="120" w:after="120" w:line="360" w:lineRule="auto"/>
        <w:jc w:val="both"/>
        <w:rPr>
          <w:rFonts w:ascii="Calibri" w:hAnsi="Calibri" w:cs="Calibri"/>
          <w:sz w:val="20"/>
          <w:szCs w:val="20"/>
        </w:rPr>
      </w:pPr>
      <w:r>
        <w:rPr>
          <w:rFonts w:ascii="Calibri" w:hAnsi="Calibri" w:cs="Calibri"/>
          <w:b/>
          <w:bCs/>
          <w:sz w:val="20"/>
          <w:szCs w:val="20"/>
        </w:rPr>
        <w:t>8.1.6.</w:t>
      </w:r>
      <w:r>
        <w:rPr>
          <w:rFonts w:ascii="Calibri" w:hAnsi="Calibri" w:cs="Calibri"/>
          <w:sz w:val="20"/>
          <w:szCs w:val="20"/>
        </w:rPr>
        <w:t xml:space="preserve"> Analisar pedidos de reajuste e revisão dos preços registrados, conduzindo as renegociações necessárias;</w:t>
      </w:r>
    </w:p>
    <w:p>
      <w:pPr>
        <w:spacing w:before="120" w:after="120" w:line="360" w:lineRule="auto"/>
        <w:jc w:val="both"/>
        <w:rPr>
          <w:rFonts w:ascii="Calibri" w:hAnsi="Calibri" w:cs="Calibri"/>
          <w:sz w:val="20"/>
          <w:szCs w:val="20"/>
        </w:rPr>
      </w:pPr>
      <w:r>
        <w:rPr>
          <w:rFonts w:ascii="Calibri" w:hAnsi="Calibri" w:cs="Calibri"/>
          <w:b/>
          <w:bCs/>
          <w:sz w:val="20"/>
          <w:szCs w:val="20"/>
        </w:rPr>
        <w:t>8.1.7.</w:t>
      </w:r>
      <w:r>
        <w:rPr>
          <w:rFonts w:ascii="Calibri" w:hAnsi="Calibri" w:cs="Calibri"/>
          <w:sz w:val="20"/>
          <w:szCs w:val="20"/>
        </w:rPr>
        <w:t xml:space="preserve"> Instaurar processo de apuração e aplicação de penalidade, garantida a ampla defesa e o contraditório, </w:t>
      </w:r>
      <w:bookmarkStart w:id="46" w:name="_Hlk131420375"/>
      <w:r>
        <w:rPr>
          <w:rFonts w:ascii="Calibri" w:hAnsi="Calibri" w:cs="Calibri"/>
          <w:sz w:val="20"/>
          <w:szCs w:val="20"/>
        </w:rPr>
        <w:t>em caso de cometimento de ilícitos decorrentes da Ata de Registro de Preços;</w:t>
      </w:r>
    </w:p>
    <w:bookmarkEnd w:id="46"/>
    <w:p>
      <w:pPr>
        <w:spacing w:before="120" w:after="120" w:line="360" w:lineRule="auto"/>
        <w:jc w:val="both"/>
        <w:rPr>
          <w:rFonts w:ascii="Calibri" w:hAnsi="Calibri" w:cs="Calibri"/>
          <w:sz w:val="20"/>
          <w:szCs w:val="20"/>
        </w:rPr>
      </w:pPr>
      <w:r>
        <w:rPr>
          <w:rFonts w:ascii="Calibri" w:hAnsi="Calibri" w:cs="Calibri"/>
          <w:b/>
          <w:bCs/>
          <w:sz w:val="20"/>
          <w:szCs w:val="20"/>
        </w:rPr>
        <w:t>8.1.8.</w:t>
      </w:r>
      <w:r>
        <w:rPr>
          <w:rFonts w:ascii="Calibri" w:hAnsi="Calibri" w:cs="Calibri"/>
          <w:sz w:val="20"/>
          <w:szCs w:val="20"/>
        </w:rPr>
        <w:t xml:space="preserve"> Formalizar a prorrogação do prazo de vigência da Ata, quando cabível;</w:t>
      </w:r>
    </w:p>
    <w:p>
      <w:pPr>
        <w:spacing w:before="120" w:after="120" w:line="360" w:lineRule="auto"/>
        <w:jc w:val="both"/>
        <w:rPr>
          <w:rFonts w:ascii="Calibri" w:hAnsi="Calibri" w:cs="Calibri"/>
          <w:sz w:val="20"/>
          <w:szCs w:val="20"/>
        </w:rPr>
      </w:pPr>
      <w:r>
        <w:rPr>
          <w:rFonts w:ascii="Calibri" w:hAnsi="Calibri" w:cs="Calibri"/>
          <w:b/>
          <w:bCs/>
          <w:sz w:val="20"/>
          <w:szCs w:val="20"/>
        </w:rPr>
        <w:t>8.1.9.</w:t>
      </w:r>
      <w:r>
        <w:rPr>
          <w:rFonts w:ascii="Calibri" w:hAnsi="Calibri" w:cs="Calibri"/>
          <w:sz w:val="20"/>
          <w:szCs w:val="20"/>
        </w:rPr>
        <w:t xml:space="preserve"> Convocar os integrantes do Cadastro de Reserva, se houver, em caso de cancelamento parcial ou integral do registro de preços;</w:t>
      </w:r>
    </w:p>
    <w:p>
      <w:pPr>
        <w:pStyle w:val="27"/>
        <w:spacing w:before="360" w:after="120" w:line="360" w:lineRule="auto"/>
        <w:ind w:left="-1701" w:right="-1276"/>
        <w:jc w:val="both"/>
        <w:rPr>
          <w:rFonts w:ascii="Calibri" w:hAnsi="Calibri" w:cs="Calibri"/>
        </w:rPr>
      </w:pPr>
      <w:r>
        <w:rPr>
          <w:rFonts w:ascii="Calibri" w:hAnsi="Calibri" w:cs="Calibri"/>
        </w:rPr>
        <mc:AlternateContent>
          <mc:Choice Requires="wps">
            <w:drawing>
              <wp:inline distT="0" distB="0" distL="0" distR="0">
                <wp:extent cx="4601845" cy="359410"/>
                <wp:effectExtent l="0" t="0" r="8255" b="2540"/>
                <wp:docPr id="50" name="Retângulo 7"/>
                <wp:cNvGraphicFramePr/>
                <a:graphic xmlns:a="http://schemas.openxmlformats.org/drawingml/2006/main">
                  <a:graphicData uri="http://schemas.microsoft.com/office/word/2010/wordprocessingShape">
                    <wps:wsp>
                      <wps:cNvSpPr>
                        <a:spLocks noChangeArrowheads="1"/>
                      </wps:cNvSpPr>
                      <wps:spPr bwMode="auto">
                        <a:xfrm>
                          <a:off x="0" y="0"/>
                          <a:ext cx="4601845"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9. DAS OBRIGAÇÕES DA DETENTORA DA ATA</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362.35pt;v-text-anchor:middle;" fillcolor="#33608E" filled="t" stroked="f" coordsize="21600,21600" o:gfxdata="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jWCZrtYAAAAEAQAADwAAAAAA&#10;AAABACAAAAAiAAAAZHJzL2Rvd25yZXYueG1sUEsBAhQAFAAAAAgAh07iQG9K4kxOAgAAkwQAAA4A&#10;AAAAAAAAAQAgAAAAJQEAAGRycy9lMm9Eb2MueG1sUEsFBgAAAAAGAAYAWQEAAOUFA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9. DAS OBRIGAÇÕES DA DETENTORA DA ATA</w:t>
                      </w:r>
                    </w:p>
                  </w:txbxContent>
                </v:textbox>
                <w10:wrap type="none"/>
                <w10:anchorlock/>
              </v:rect>
            </w:pict>
          </mc:Fallback>
        </mc:AlternateContent>
      </w:r>
    </w:p>
    <w:p>
      <w:pPr>
        <w:spacing w:before="120" w:after="120" w:line="360" w:lineRule="auto"/>
        <w:jc w:val="both"/>
        <w:rPr>
          <w:rFonts w:ascii="Calibri" w:hAnsi="Calibri" w:cs="Calibri"/>
          <w:sz w:val="20"/>
          <w:szCs w:val="20"/>
        </w:rPr>
      </w:pPr>
      <w:r>
        <w:rPr>
          <w:rFonts w:ascii="Calibri" w:hAnsi="Calibri" w:cs="Calibri"/>
          <w:b/>
          <w:bCs/>
          <w:sz w:val="20"/>
          <w:szCs w:val="20"/>
        </w:rPr>
        <w:t>9.1.</w:t>
      </w:r>
      <w:r>
        <w:rPr>
          <w:rFonts w:ascii="Calibri" w:hAnsi="Calibri" w:cs="Calibri"/>
          <w:sz w:val="20"/>
          <w:szCs w:val="20"/>
        </w:rPr>
        <w:t xml:space="preserve"> A </w:t>
      </w:r>
      <w:r>
        <w:rPr>
          <w:rFonts w:ascii="Calibri" w:hAnsi="Calibri" w:cs="Calibri"/>
          <w:b/>
          <w:sz w:val="20"/>
          <w:szCs w:val="20"/>
        </w:rPr>
        <w:t>DETENTORA DA ATA</w:t>
      </w:r>
      <w:r>
        <w:rPr>
          <w:rFonts w:ascii="Calibri" w:hAnsi="Calibri" w:cs="Calibri"/>
          <w:sz w:val="20"/>
          <w:szCs w:val="20"/>
        </w:rPr>
        <w:t xml:space="preserve"> obriga-se a:</w:t>
      </w:r>
    </w:p>
    <w:p>
      <w:pPr>
        <w:spacing w:before="120" w:after="120" w:line="360" w:lineRule="auto"/>
        <w:jc w:val="both"/>
        <w:rPr>
          <w:rFonts w:ascii="Calibri" w:hAnsi="Calibri" w:cs="Calibri"/>
          <w:sz w:val="20"/>
          <w:szCs w:val="20"/>
        </w:rPr>
      </w:pPr>
      <w:r>
        <w:rPr>
          <w:rFonts w:ascii="Calibri" w:hAnsi="Calibri" w:cs="Calibri"/>
          <w:b/>
          <w:bCs/>
          <w:sz w:val="20"/>
          <w:szCs w:val="20"/>
        </w:rPr>
        <w:t>9.1.1.</w:t>
      </w:r>
      <w:r>
        <w:rPr>
          <w:rFonts w:ascii="Calibri" w:hAnsi="Calibri" w:cs="Calibri"/>
          <w:sz w:val="20"/>
          <w:szCs w:val="20"/>
        </w:rPr>
        <w:t xml:space="preserve"> Manter o preço registrado e demais condições previstas durante todo o prazo de vigência da Ata de Registro de Preços;</w:t>
      </w:r>
    </w:p>
    <w:p>
      <w:pPr>
        <w:spacing w:before="120" w:after="120" w:line="360" w:lineRule="auto"/>
        <w:jc w:val="both"/>
        <w:rPr>
          <w:rFonts w:ascii="Calibri" w:hAnsi="Calibri" w:cs="Calibri"/>
          <w:sz w:val="20"/>
          <w:szCs w:val="20"/>
        </w:rPr>
      </w:pPr>
      <w:r>
        <w:rPr>
          <w:rFonts w:ascii="Calibri" w:hAnsi="Calibri" w:cs="Calibri"/>
          <w:b/>
          <w:bCs/>
          <w:sz w:val="20"/>
          <w:szCs w:val="20"/>
        </w:rPr>
        <w:t>9.1.2.</w:t>
      </w:r>
      <w:r>
        <w:rPr>
          <w:rFonts w:ascii="Calibri" w:hAnsi="Calibri" w:cs="Calibr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pPr>
        <w:spacing w:before="120" w:after="120" w:line="360" w:lineRule="auto"/>
        <w:jc w:val="both"/>
        <w:rPr>
          <w:rFonts w:ascii="Calibri" w:hAnsi="Calibri" w:cs="Calibri"/>
          <w:sz w:val="20"/>
          <w:szCs w:val="20"/>
        </w:rPr>
      </w:pPr>
      <w:r>
        <w:rPr>
          <w:rFonts w:ascii="Calibri" w:hAnsi="Calibri" w:cs="Calibri"/>
          <w:b/>
          <w:bCs/>
          <w:sz w:val="20"/>
          <w:szCs w:val="20"/>
        </w:rPr>
        <w:t>9.1.3.</w:t>
      </w:r>
      <w:r>
        <w:rPr>
          <w:rFonts w:ascii="Calibri" w:hAnsi="Calibri" w:cs="Calibri"/>
          <w:sz w:val="20"/>
          <w:szCs w:val="20"/>
        </w:rPr>
        <w:t xml:space="preserve"> Assinar os contratos ou retirar as ordens de fornecimento decorrentes desta Ata da Registro de Preços no prazo assinalado.</w:t>
      </w:r>
    </w:p>
    <w:p>
      <w:pPr>
        <w:spacing w:before="120" w:after="120" w:line="360" w:lineRule="auto"/>
        <w:jc w:val="both"/>
        <w:rPr>
          <w:rFonts w:ascii="Calibri" w:hAnsi="Calibri" w:cs="Calibri"/>
          <w:sz w:val="20"/>
          <w:szCs w:val="20"/>
        </w:rPr>
      </w:pPr>
      <w:r>
        <w:rPr>
          <w:rFonts w:ascii="Calibri" w:hAnsi="Calibri" w:cs="Calibri"/>
          <w:b/>
          <w:bCs/>
          <w:sz w:val="20"/>
          <w:szCs w:val="20"/>
        </w:rPr>
        <w:t>9.1.4.</w:t>
      </w:r>
      <w:r>
        <w:rPr>
          <w:rFonts w:ascii="Calibri" w:hAnsi="Calibri" w:cs="Calibri"/>
          <w:sz w:val="20"/>
          <w:szCs w:val="20"/>
        </w:rPr>
        <w:t xml:space="preserve"> Prestar as informações solicitadas pelo </w:t>
      </w:r>
      <w:r>
        <w:rPr>
          <w:rFonts w:ascii="Calibri" w:hAnsi="Calibri" w:cs="Calibri"/>
          <w:b/>
          <w:sz w:val="20"/>
          <w:szCs w:val="20"/>
        </w:rPr>
        <w:t>GERENCIADOR</w:t>
      </w:r>
      <w:r>
        <w:rPr>
          <w:rFonts w:ascii="Calibri" w:hAnsi="Calibri" w:cs="Calibri"/>
          <w:sz w:val="20"/>
          <w:szCs w:val="20"/>
        </w:rPr>
        <w:t>, durante o prazo de vigência da Ata de Registro de Preços, no prazo máximo de 05 (cinco) dias úteis após o recebimento da solicitação.</w:t>
      </w:r>
    </w:p>
    <w:p>
      <w:pPr>
        <w:spacing w:before="120" w:after="120" w:line="360" w:lineRule="auto"/>
        <w:jc w:val="both"/>
        <w:rPr>
          <w:rFonts w:ascii="Calibri" w:hAnsi="Calibri" w:cs="Calibri"/>
          <w:sz w:val="20"/>
          <w:szCs w:val="20"/>
        </w:rPr>
      </w:pPr>
      <w:r>
        <w:rPr>
          <w:rFonts w:ascii="Calibri" w:hAnsi="Calibri" w:cs="Calibri"/>
          <w:b/>
          <w:bCs/>
          <w:sz w:val="20"/>
          <w:szCs w:val="20"/>
        </w:rPr>
        <w:t>9.1.5.</w:t>
      </w:r>
      <w:r>
        <w:rPr>
          <w:rFonts w:ascii="Calibri" w:hAnsi="Calibri" w:cs="Calibri"/>
          <w:sz w:val="20"/>
          <w:szCs w:val="20"/>
        </w:rPr>
        <w:t xml:space="preserve"> Designar preposto para representá-la perante o </w:t>
      </w:r>
      <w:r>
        <w:rPr>
          <w:rFonts w:ascii="Calibri" w:hAnsi="Calibri" w:cs="Calibri"/>
          <w:b/>
          <w:sz w:val="20"/>
          <w:szCs w:val="20"/>
        </w:rPr>
        <w:t>GERENCIADOR</w:t>
      </w:r>
      <w:r>
        <w:rPr>
          <w:rFonts w:ascii="Calibri" w:hAnsi="Calibri" w:cs="Calibri"/>
          <w:sz w:val="20"/>
          <w:szCs w:val="20"/>
        </w:rPr>
        <w:t>, sempre que for necessário.</w:t>
      </w:r>
    </w:p>
    <w:p>
      <w:pPr>
        <w:pStyle w:val="27"/>
        <w:spacing w:before="360" w:after="120" w:line="360" w:lineRule="auto"/>
        <w:ind w:left="-1701" w:right="-1276"/>
        <w:jc w:val="both"/>
        <w:rPr>
          <w:rFonts w:ascii="Calibri" w:hAnsi="Calibri" w:cs="Calibri"/>
        </w:rPr>
      </w:pPr>
      <w:r>
        <w:rPr>
          <w:rFonts w:ascii="Calibri" w:hAnsi="Calibri" w:cs="Calibri"/>
        </w:rPr>
        <mc:AlternateContent>
          <mc:Choice Requires="wps">
            <w:drawing>
              <wp:inline distT="0" distB="0" distL="0" distR="0">
                <wp:extent cx="6479540" cy="359410"/>
                <wp:effectExtent l="0" t="0" r="16510" b="2540"/>
                <wp:docPr id="38" name="Retângulo 7"/>
                <wp:cNvGraphicFramePr/>
                <a:graphic xmlns:a="http://schemas.openxmlformats.org/drawingml/2006/main">
                  <a:graphicData uri="http://schemas.microsoft.com/office/word/2010/wordprocessingShape">
                    <wps:wsp>
                      <wps:cNvSpPr>
                        <a:spLocks noChangeArrowheads="1"/>
                      </wps:cNvSpPr>
                      <wps:spPr bwMode="auto">
                        <a:xfrm>
                          <a:off x="0" y="0"/>
                          <a:ext cx="6480000"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10. DA ADESÃO À ATA DE REGISTRO DE PREÇOS POR ÓRGÃOS NÃO PARTICIPANTES</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510.2pt;v-text-anchor:middle;" fillcolor="#33608E" filled="t" stroked="f" coordsize="21600,21600" o:gfxdata="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8xJYbWAAAABQEAAA8AAAAA&#10;AAAAAQAgAAAAIgAAAGRycy9kb3ducmV2LnhtbFBLAQIUABQAAAAIAIdO4kDuTMTsTwIAAJMEAAAO&#10;AAAAAAAAAAEAIAAAACUBAABkcnMvZTJvRG9jLnhtbFBLBQYAAAAABgAGAFkBAADmBQ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10. DA ADESÃO À ATA DE REGISTRO DE PREÇOS POR ÓRGÃOS NÃO PARTICIPANTES</w:t>
                      </w:r>
                    </w:p>
                  </w:txbxContent>
                </v:textbox>
                <w10:wrap type="none"/>
                <w10:anchorlock/>
              </v:rect>
            </w:pict>
          </mc:Fallback>
        </mc:AlternateContent>
      </w:r>
    </w:p>
    <w:p>
      <w:pPr>
        <w:pStyle w:val="27"/>
        <w:spacing w:before="120" w:after="120" w:line="360" w:lineRule="auto"/>
        <w:jc w:val="both"/>
        <w:rPr>
          <w:rFonts w:ascii="Calibri" w:hAnsi="Calibri" w:cs="Calibri"/>
        </w:rPr>
      </w:pPr>
      <w:r>
        <w:rPr>
          <w:rFonts w:ascii="Calibri" w:hAnsi="Calibri" w:cs="Calibri"/>
          <w:b/>
        </w:rPr>
        <w:t>10.1.</w:t>
      </w:r>
      <w:r>
        <w:rPr>
          <w:rFonts w:ascii="Calibri" w:hAnsi="Calibri" w:cs="Calibri"/>
        </w:rPr>
        <w:t xml:space="preserve"> A presente Ata de Registro de Preços poderá ser utilizada por qualquer órgão ou entidade da Administração Pública que não tenha participado dos procedimentos iniciais da licitação para o registro de preços, doravante denominado </w:t>
      </w:r>
      <w:r>
        <w:rPr>
          <w:rFonts w:ascii="Calibri" w:hAnsi="Calibri" w:cs="Calibri"/>
          <w:b/>
        </w:rPr>
        <w:t>NÃO PARTICIPANTE</w:t>
      </w:r>
      <w:r>
        <w:rPr>
          <w:rFonts w:ascii="Calibri" w:hAnsi="Calibri" w:cs="Calibri"/>
        </w:rPr>
        <w:t>, mediante anuência do GERENCIADOR, atendidas as condições previstas no art. 86, §2º, da Lei nº 14.133, de 2021, e neste Edital.</w:t>
      </w:r>
    </w:p>
    <w:p>
      <w:pPr>
        <w:pStyle w:val="27"/>
        <w:spacing w:before="120" w:after="120" w:line="360" w:lineRule="auto"/>
        <w:jc w:val="both"/>
        <w:rPr>
          <w:rFonts w:ascii="Calibri" w:hAnsi="Calibri" w:cs="Calibri"/>
        </w:rPr>
      </w:pPr>
      <w:r>
        <w:rPr>
          <w:rFonts w:ascii="Calibri" w:hAnsi="Calibri" w:cs="Calibri"/>
          <w:b/>
        </w:rPr>
        <w:t>10.2</w:t>
      </w:r>
      <w:r>
        <w:rPr>
          <w:rFonts w:ascii="Calibri" w:hAnsi="Calibri" w:cs="Calibri"/>
        </w:rPr>
        <w:t xml:space="preserve">. Cada órgão ou entidade </w:t>
      </w:r>
      <w:r>
        <w:rPr>
          <w:rFonts w:ascii="Calibri" w:hAnsi="Calibri" w:cs="Calibri"/>
          <w:b/>
        </w:rPr>
        <w:t>NÃO PARTICIPANTE</w:t>
      </w:r>
      <w:r>
        <w:rPr>
          <w:rFonts w:ascii="Calibri" w:hAnsi="Calibri" w:cs="Calibri"/>
        </w:rPr>
        <w:t xml:space="preserve"> poderá aderir a até 50% (cinquenta por cento) do quantitativo dos itens registrados na Ata de Registro de Preços. </w:t>
      </w:r>
    </w:p>
    <w:p>
      <w:pPr>
        <w:pStyle w:val="27"/>
        <w:spacing w:before="120" w:after="120" w:line="360" w:lineRule="auto"/>
        <w:jc w:val="both"/>
        <w:rPr>
          <w:rFonts w:ascii="Calibri" w:hAnsi="Calibri" w:cs="Calibri"/>
        </w:rPr>
      </w:pPr>
      <w:r>
        <w:rPr>
          <w:rFonts w:ascii="Calibri" w:hAnsi="Calibri" w:cs="Calibri"/>
          <w:b/>
        </w:rPr>
        <w:t>10.3.</w:t>
      </w:r>
      <w:r>
        <w:rPr>
          <w:rFonts w:ascii="Calibri" w:hAnsi="Calibri" w:cs="Calibri"/>
        </w:rPr>
        <w:t xml:space="preserve"> A soma de todas as adesões por </w:t>
      </w:r>
      <w:r>
        <w:rPr>
          <w:rFonts w:ascii="Calibri" w:hAnsi="Calibri" w:cs="Calibri"/>
          <w:b/>
        </w:rPr>
        <w:t>NÃO PARTICIPANTES</w:t>
      </w:r>
      <w:r>
        <w:rPr>
          <w:rFonts w:ascii="Calibri" w:hAnsi="Calibri" w:cs="Calibri"/>
        </w:rPr>
        <w:t xml:space="preserve"> não poderá exceder ao dobro do quantitativo de cada item registrado, independentemente do número de órgãos não participantes que aderirem.</w:t>
      </w:r>
    </w:p>
    <w:p>
      <w:pPr>
        <w:pStyle w:val="27"/>
        <w:spacing w:before="120" w:after="120" w:line="360" w:lineRule="auto"/>
        <w:jc w:val="both"/>
        <w:rPr>
          <w:rFonts w:ascii="Calibri" w:hAnsi="Calibri" w:cs="Calibri"/>
        </w:rPr>
      </w:pPr>
      <w:r>
        <w:rPr>
          <w:rFonts w:ascii="Calibri" w:hAnsi="Calibri" w:cs="Calibri"/>
          <w:b/>
        </w:rPr>
        <w:t>10.4.</w:t>
      </w:r>
      <w:r>
        <w:rPr>
          <w:rFonts w:ascii="Calibri" w:hAnsi="Calibri" w:cs="Calibri"/>
        </w:rPr>
        <w:t xml:space="preserve"> A adesão do </w:t>
      </w:r>
      <w:r>
        <w:rPr>
          <w:rFonts w:ascii="Calibri" w:hAnsi="Calibri" w:cs="Calibri"/>
          <w:b/>
        </w:rPr>
        <w:t>NÃO PARTICIPANTE</w:t>
      </w:r>
      <w:r>
        <w:rPr>
          <w:rFonts w:ascii="Calibri" w:hAnsi="Calibri" w:cs="Calibri"/>
        </w:rPr>
        <w:t xml:space="preserve"> requer anuência do </w:t>
      </w:r>
      <w:r>
        <w:rPr>
          <w:rFonts w:ascii="Calibri" w:hAnsi="Calibri" w:cs="Calibri"/>
          <w:b/>
        </w:rPr>
        <w:t>GERENCIADOR</w:t>
      </w:r>
      <w:r>
        <w:rPr>
          <w:rFonts w:ascii="Calibri" w:hAnsi="Calibri" w:cs="Calibri"/>
        </w:rPr>
        <w:t xml:space="preserve"> e da </w:t>
      </w:r>
      <w:r>
        <w:rPr>
          <w:rFonts w:ascii="Calibri" w:hAnsi="Calibri" w:cs="Calibri"/>
          <w:b/>
        </w:rPr>
        <w:t>DETENTORA DA ATA</w:t>
      </w:r>
      <w:r>
        <w:rPr>
          <w:rFonts w:ascii="Calibri" w:hAnsi="Calibri" w:cs="Calibri"/>
        </w:rPr>
        <w:t xml:space="preserve"> e será autorizada desde que não haja prejuízo para as obrigações decorrentes desta Ata.</w:t>
      </w:r>
    </w:p>
    <w:p>
      <w:pPr>
        <w:pStyle w:val="27"/>
        <w:spacing w:before="120" w:after="120" w:line="360" w:lineRule="auto"/>
        <w:jc w:val="both"/>
        <w:rPr>
          <w:rFonts w:ascii="Calibri" w:hAnsi="Calibri" w:cs="Calibri"/>
        </w:rPr>
      </w:pPr>
      <w:r>
        <w:rPr>
          <w:rFonts w:ascii="Calibri" w:hAnsi="Calibri" w:cs="Calibri"/>
          <w:b/>
        </w:rPr>
        <w:t>10.5</w:t>
      </w:r>
      <w:r>
        <w:rPr>
          <w:rFonts w:ascii="Calibri" w:hAnsi="Calibri" w:cs="Calibri"/>
        </w:rPr>
        <w:t xml:space="preserve">. A adesão deverá seguir as condições previstas no Edital e seus anexos, sendo efetivada na forma prevista no item 7.2, em até 90 (noventa) dias a contar da autorização do </w:t>
      </w:r>
      <w:r>
        <w:rPr>
          <w:rFonts w:ascii="Calibri" w:hAnsi="Calibri" w:cs="Calibri"/>
          <w:b/>
        </w:rPr>
        <w:t>GERENCIADOR</w:t>
      </w:r>
      <w:r>
        <w:rPr>
          <w:rFonts w:ascii="Calibri" w:hAnsi="Calibri" w:cs="Calibri"/>
        </w:rPr>
        <w:t>, admitida a prorrogação excepcional e justificada, desde que observado o prazo de vigência desta Ata.</w:t>
      </w:r>
    </w:p>
    <w:p>
      <w:pPr>
        <w:pStyle w:val="27"/>
        <w:spacing w:before="120" w:after="120" w:line="360" w:lineRule="auto"/>
        <w:jc w:val="both"/>
        <w:rPr>
          <w:rFonts w:ascii="Calibri" w:hAnsi="Calibri" w:cs="Calibri"/>
        </w:rPr>
      </w:pPr>
      <w:r>
        <w:rPr>
          <w:rFonts w:ascii="Calibri" w:hAnsi="Calibri" w:cs="Calibri"/>
          <w:b/>
        </w:rPr>
        <w:t>10.6</w:t>
      </w:r>
      <w:r>
        <w:rPr>
          <w:rFonts w:ascii="Calibri" w:hAnsi="Calibri" w:cs="Calibri"/>
        </w:rPr>
        <w:t xml:space="preserve">. Os </w:t>
      </w:r>
      <w:r>
        <w:rPr>
          <w:rFonts w:ascii="Calibri" w:hAnsi="Calibri" w:cs="Calibri"/>
          <w:b/>
        </w:rPr>
        <w:t xml:space="preserve">PARTICIPANTES </w:t>
      </w:r>
      <w:r>
        <w:rPr>
          <w:rFonts w:ascii="Calibri" w:hAnsi="Calibri" w:cs="Calibri"/>
        </w:rPr>
        <w:t xml:space="preserve">poderão utilizar o quantitativo passível de adesão previsto nos itens 10.2 e 10.3, após exaurido o quantitativo total registrado, desde que haja concordância da </w:t>
      </w:r>
      <w:r>
        <w:rPr>
          <w:rFonts w:ascii="Calibri" w:hAnsi="Calibri" w:cs="Calibri"/>
          <w:b/>
        </w:rPr>
        <w:t>DENTENTORA DA ATA</w:t>
      </w:r>
      <w:r>
        <w:rPr>
          <w:rFonts w:ascii="Calibri" w:hAnsi="Calibri" w:cs="Calibri"/>
        </w:rPr>
        <w:t>.</w:t>
      </w:r>
    </w:p>
    <w:p>
      <w:pPr>
        <w:pStyle w:val="27"/>
        <w:spacing w:before="360" w:after="120" w:line="360" w:lineRule="auto"/>
        <w:ind w:left="-1701" w:right="-1276"/>
        <w:jc w:val="both"/>
        <w:rPr>
          <w:rFonts w:ascii="Calibri" w:hAnsi="Calibri" w:cs="Calibri"/>
          <w:b/>
          <w:bCs/>
        </w:rPr>
      </w:pPr>
      <w:r>
        <w:rPr>
          <w:rFonts w:ascii="Calibri" w:hAnsi="Calibri" w:cs="Calibri"/>
        </w:rPr>
        <mc:AlternateContent>
          <mc:Choice Requires="wps">
            <w:drawing>
              <wp:inline distT="0" distB="0" distL="0" distR="0">
                <wp:extent cx="4679950" cy="359410"/>
                <wp:effectExtent l="0" t="0" r="6350" b="2540"/>
                <wp:docPr id="42" name="Retângulo 7"/>
                <wp:cNvGraphicFramePr/>
                <a:graphic xmlns:a="http://schemas.openxmlformats.org/drawingml/2006/main">
                  <a:graphicData uri="http://schemas.microsoft.com/office/word/2010/wordprocessingShape">
                    <wps:wsp>
                      <wps:cNvSpPr>
                        <a:spLocks noChangeArrowheads="1"/>
                      </wps:cNvSpPr>
                      <wps:spPr bwMode="auto">
                        <a:xfrm>
                          <a:off x="0" y="0"/>
                          <a:ext cx="4680000" cy="360000"/>
                        </a:xfrm>
                        <a:prstGeom prst="rect">
                          <a:avLst/>
                        </a:prstGeom>
                        <a:solidFill>
                          <a:srgbClr val="33608E"/>
                        </a:solidFill>
                        <a:ln w="12700" cap="flat" cmpd="sng" algn="ctr">
                          <a:noFill/>
                          <a:prstDash val="solid"/>
                          <a:miter lim="800000"/>
                        </a:ln>
                      </wps:spPr>
                      <wps:txbx>
                        <w:txbxContent>
                          <w:p>
                            <w:pPr>
                              <w:spacing w:after="0"/>
                              <w:ind w:left="510" w:right="283" w:firstLine="840" w:firstLineChars="35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11. DO CANCELAMENTO DO REGISTRO DE PREÇOS</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368.5pt;v-text-anchor:middle;" fillcolor="#33608E" filled="t" stroked="f" coordsize="21600,21600" o:gfxdata="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LzcEvWAAAABAEAAA8AAAAA&#10;AAAAAQAgAAAAIgAAAGRycy9kb3ducmV2LnhtbFBLAQIUABQAAAAIAIdO4kAvEc60TwIAAJMEAAAO&#10;AAAAAAAAAAEAIAAAACUBAABkcnMvZTJvRG9jLnhtbFBLBQYAAAAABgAGAFkBAADmBQAAAAA=&#10;">
                <v:fill on="t" focussize="0,0"/>
                <v:stroke on="f" weight="1pt" miterlimit="8" joinstyle="miter"/>
                <v:imagedata o:title=""/>
                <o:lock v:ext="edit" aspectratio="f"/>
                <v:textbox>
                  <w:txbxContent>
                    <w:p>
                      <w:pPr>
                        <w:spacing w:after="0"/>
                        <w:ind w:left="510" w:right="283" w:firstLine="840" w:firstLineChars="35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11. DO CANCELAMENTO DO REGISTRO DE PREÇOS</w:t>
                      </w:r>
                    </w:p>
                  </w:txbxContent>
                </v:textbox>
                <w10:wrap type="none"/>
                <w10:anchorlock/>
              </v:rect>
            </w:pict>
          </mc:Fallback>
        </mc:AlternateContent>
      </w:r>
    </w:p>
    <w:p>
      <w:pPr>
        <w:pStyle w:val="27"/>
        <w:spacing w:before="120" w:after="120" w:line="360" w:lineRule="auto"/>
        <w:jc w:val="both"/>
        <w:rPr>
          <w:rFonts w:ascii="Calibri" w:hAnsi="Calibri" w:cs="Calibri"/>
        </w:rPr>
      </w:pPr>
      <w:r>
        <w:rPr>
          <w:rFonts w:ascii="Calibri" w:hAnsi="Calibri" w:cs="Calibri"/>
          <w:b/>
          <w:bCs/>
        </w:rPr>
        <w:t>11.1.</w:t>
      </w:r>
      <w:r>
        <w:rPr>
          <w:rFonts w:ascii="Calibri" w:hAnsi="Calibri" w:cs="Calibri"/>
        </w:rPr>
        <w:t xml:space="preserve"> O registro de preços da </w:t>
      </w:r>
      <w:r>
        <w:rPr>
          <w:rFonts w:ascii="Calibri" w:hAnsi="Calibri" w:cs="Calibri"/>
          <w:b/>
        </w:rPr>
        <w:t xml:space="preserve">DETENTORA DA ATA </w:t>
      </w:r>
      <w:r>
        <w:rPr>
          <w:rFonts w:ascii="Calibri" w:hAnsi="Calibri" w:cs="Calibri"/>
        </w:rPr>
        <w:t>será cancelado quando esta:</w:t>
      </w:r>
    </w:p>
    <w:p>
      <w:pPr>
        <w:pStyle w:val="27"/>
        <w:spacing w:before="120" w:after="120" w:line="360" w:lineRule="auto"/>
        <w:jc w:val="both"/>
        <w:rPr>
          <w:rFonts w:ascii="Calibri" w:hAnsi="Calibri" w:cs="Calibri"/>
        </w:rPr>
      </w:pPr>
      <w:r>
        <w:rPr>
          <w:rFonts w:ascii="Calibri" w:hAnsi="Calibri" w:cs="Calibri"/>
          <w:b/>
          <w:bCs/>
        </w:rPr>
        <w:t>11.1.1.</w:t>
      </w:r>
      <w:r>
        <w:rPr>
          <w:rFonts w:ascii="Calibri" w:hAnsi="Calibri" w:cs="Calibri"/>
        </w:rPr>
        <w:t xml:space="preserve"> Descumprir as condições nela previstas;</w:t>
      </w:r>
    </w:p>
    <w:p>
      <w:pPr>
        <w:pStyle w:val="27"/>
        <w:spacing w:before="120" w:after="120" w:line="360" w:lineRule="auto"/>
        <w:jc w:val="both"/>
        <w:rPr>
          <w:rFonts w:ascii="Calibri" w:hAnsi="Calibri" w:cs="Calibri"/>
        </w:rPr>
      </w:pPr>
      <w:r>
        <w:rPr>
          <w:rFonts w:ascii="Calibri" w:hAnsi="Calibri" w:cs="Calibri"/>
          <w:b/>
          <w:bCs/>
        </w:rPr>
        <w:t>11.1.2.</w:t>
      </w:r>
      <w:r>
        <w:rPr>
          <w:rFonts w:ascii="Calibri" w:hAnsi="Calibri" w:cs="Calibri"/>
        </w:rPr>
        <w:t xml:space="preserve"> Não mantiver as condições de habilitação exigidas na licitação;</w:t>
      </w:r>
    </w:p>
    <w:p>
      <w:pPr>
        <w:pStyle w:val="27"/>
        <w:spacing w:before="120" w:after="120" w:line="360" w:lineRule="auto"/>
        <w:jc w:val="both"/>
        <w:rPr>
          <w:rFonts w:ascii="Calibri" w:hAnsi="Calibri" w:cs="Calibri"/>
        </w:rPr>
      </w:pPr>
      <w:r>
        <w:rPr>
          <w:rFonts w:ascii="Calibri" w:hAnsi="Calibri" w:cs="Calibri"/>
          <w:b/>
          <w:bCs/>
        </w:rPr>
        <w:t>11.1.3.</w:t>
      </w:r>
      <w:r>
        <w:rPr>
          <w:rFonts w:ascii="Calibri" w:hAnsi="Calibri" w:cs="Calibri"/>
        </w:rPr>
        <w:t xml:space="preserve"> Recusar-se injustificadamente a assinar os contratos decorrentes desta Ata;</w:t>
      </w:r>
    </w:p>
    <w:p>
      <w:pPr>
        <w:spacing w:before="120" w:after="120" w:line="360" w:lineRule="auto"/>
        <w:jc w:val="both"/>
        <w:rPr>
          <w:rFonts w:ascii="Calibri" w:hAnsi="Calibri" w:cs="Calibri"/>
          <w:sz w:val="20"/>
          <w:szCs w:val="20"/>
        </w:rPr>
      </w:pPr>
      <w:r>
        <w:rPr>
          <w:rFonts w:ascii="Calibri" w:hAnsi="Calibri" w:cs="Calibri"/>
          <w:b/>
          <w:bCs/>
          <w:sz w:val="20"/>
          <w:szCs w:val="20"/>
        </w:rPr>
        <w:t>11.1.4.</w:t>
      </w:r>
      <w:r>
        <w:rPr>
          <w:rFonts w:ascii="Calibri" w:hAnsi="Calibri" w:cs="Calibri"/>
          <w:sz w:val="20"/>
          <w:szCs w:val="20"/>
        </w:rPr>
        <w:t xml:space="preserve"> Recusar-se a reduzir o preço registrado, na hipótese de este tornar-se superior àqueles praticados no mercado;</w:t>
      </w:r>
    </w:p>
    <w:p>
      <w:pPr>
        <w:spacing w:before="120" w:after="120" w:line="360" w:lineRule="auto"/>
        <w:jc w:val="both"/>
        <w:rPr>
          <w:rFonts w:ascii="Calibri" w:hAnsi="Calibri" w:cs="Calibri"/>
          <w:sz w:val="20"/>
          <w:szCs w:val="20"/>
        </w:rPr>
      </w:pPr>
      <w:r>
        <w:rPr>
          <w:rFonts w:ascii="Calibri" w:hAnsi="Calibri" w:cs="Calibri"/>
          <w:b/>
          <w:bCs/>
          <w:sz w:val="20"/>
          <w:szCs w:val="20"/>
        </w:rPr>
        <w:t>11.1.5.</w:t>
      </w:r>
      <w:r>
        <w:rPr>
          <w:rFonts w:ascii="Calibri" w:hAnsi="Calibri" w:cs="Calibri"/>
          <w:sz w:val="20"/>
          <w:szCs w:val="20"/>
        </w:rPr>
        <w:t xml:space="preserve"> Tiver sua falência decretada ou for dissolvida;</w:t>
      </w:r>
    </w:p>
    <w:p>
      <w:pPr>
        <w:spacing w:before="120" w:after="120" w:line="360" w:lineRule="auto"/>
        <w:jc w:val="both"/>
        <w:rPr>
          <w:rFonts w:ascii="Calibri" w:hAnsi="Calibri" w:cs="Calibri"/>
          <w:sz w:val="20"/>
          <w:szCs w:val="20"/>
        </w:rPr>
      </w:pPr>
      <w:r>
        <w:rPr>
          <w:rFonts w:ascii="Calibri" w:hAnsi="Calibri" w:cs="Calibri"/>
          <w:b/>
          <w:bCs/>
          <w:sz w:val="20"/>
          <w:szCs w:val="20"/>
        </w:rPr>
        <w:t>11.1.6.</w:t>
      </w:r>
      <w:r>
        <w:rPr>
          <w:rFonts w:ascii="Calibri" w:hAnsi="Calibri" w:cs="Calibri"/>
          <w:sz w:val="20"/>
          <w:szCs w:val="20"/>
        </w:rPr>
        <w:t xml:space="preserve"> Sofrer penalidade administrativa que impeça sua contratação no âmbito da Administração Direta e Indireta do Estado de Pernambuco, salvo se a sanção não ultrapassar o prazo de vigência desta Ata e não for o </w:t>
      </w:r>
      <w:r>
        <w:rPr>
          <w:rFonts w:ascii="Calibri" w:hAnsi="Calibri" w:cs="Calibri"/>
          <w:b/>
          <w:sz w:val="20"/>
          <w:szCs w:val="20"/>
        </w:rPr>
        <w:t>GERENCIADOR</w:t>
      </w:r>
      <w:r>
        <w:rPr>
          <w:rFonts w:ascii="Calibri" w:hAnsi="Calibri" w:cs="Calibri"/>
          <w:sz w:val="20"/>
          <w:szCs w:val="20"/>
        </w:rPr>
        <w:t xml:space="preserve"> o responsável por sua aplicação, hipótese em que o registro de preços poderá ser mantido pelo prazo remanescente, após cumprida a penalidade, mediante decisão fundamentada do </w:t>
      </w:r>
      <w:r>
        <w:rPr>
          <w:rFonts w:ascii="Calibri" w:hAnsi="Calibri" w:cs="Calibri"/>
          <w:b/>
          <w:sz w:val="20"/>
          <w:szCs w:val="20"/>
        </w:rPr>
        <w:t>GERENCIADOR</w:t>
      </w:r>
      <w:r>
        <w:rPr>
          <w:rFonts w:ascii="Calibri" w:hAnsi="Calibri" w:cs="Calibri"/>
          <w:sz w:val="20"/>
          <w:szCs w:val="20"/>
        </w:rPr>
        <w:t xml:space="preserve">. </w:t>
      </w:r>
    </w:p>
    <w:p>
      <w:pPr>
        <w:spacing w:before="120" w:after="120" w:line="360" w:lineRule="auto"/>
        <w:jc w:val="both"/>
        <w:rPr>
          <w:rFonts w:ascii="Calibri" w:hAnsi="Calibri" w:cs="Calibri"/>
          <w:sz w:val="20"/>
          <w:szCs w:val="20"/>
        </w:rPr>
      </w:pPr>
      <w:r>
        <w:rPr>
          <w:rFonts w:ascii="Calibri" w:hAnsi="Calibri" w:cs="Calibri"/>
          <w:b/>
          <w:bCs/>
          <w:sz w:val="20"/>
          <w:szCs w:val="20"/>
        </w:rPr>
        <w:t>11.2.</w:t>
      </w:r>
      <w:r>
        <w:rPr>
          <w:rFonts w:ascii="Calibri" w:hAnsi="Calibri" w:cs="Calibr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pPr>
        <w:spacing w:before="120" w:after="120" w:line="360" w:lineRule="auto"/>
        <w:jc w:val="both"/>
        <w:rPr>
          <w:rFonts w:ascii="Calibri" w:hAnsi="Calibri" w:cs="Calibri"/>
          <w:sz w:val="20"/>
          <w:szCs w:val="20"/>
        </w:rPr>
      </w:pPr>
      <w:r>
        <w:rPr>
          <w:rFonts w:ascii="Calibri" w:hAnsi="Calibri" w:cs="Calibri"/>
          <w:b/>
          <w:bCs/>
          <w:sz w:val="20"/>
          <w:szCs w:val="20"/>
        </w:rPr>
        <w:t>11.3.</w:t>
      </w:r>
      <w:r>
        <w:rPr>
          <w:rFonts w:ascii="Calibri" w:hAnsi="Calibri" w:cs="Calibri"/>
          <w:sz w:val="20"/>
          <w:szCs w:val="20"/>
        </w:rPr>
        <w:t xml:space="preserve"> A </w:t>
      </w:r>
      <w:r>
        <w:rPr>
          <w:rFonts w:ascii="Calibri" w:hAnsi="Calibri" w:cs="Calibri"/>
          <w:b/>
          <w:bCs/>
          <w:sz w:val="20"/>
          <w:szCs w:val="20"/>
        </w:rPr>
        <w:t>ATA DE REGISTRO DE PREÇOS</w:t>
      </w:r>
      <w:r>
        <w:rPr>
          <w:rFonts w:ascii="Calibri" w:hAnsi="Calibri" w:cs="Calibri"/>
          <w:sz w:val="20"/>
          <w:szCs w:val="20"/>
        </w:rPr>
        <w:t xml:space="preserve"> poderá ser cancelada em caso de extinção antecipada do contrato dela decorrente firmado pelo </w:t>
      </w:r>
      <w:r>
        <w:rPr>
          <w:rFonts w:ascii="Calibri" w:hAnsi="Calibri" w:cs="Calibri"/>
          <w:b/>
          <w:sz w:val="20"/>
          <w:szCs w:val="20"/>
        </w:rPr>
        <w:t>GERENCIADOR</w:t>
      </w:r>
      <w:r>
        <w:rPr>
          <w:rFonts w:ascii="Calibri" w:hAnsi="Calibri" w:cs="Calibri"/>
          <w:sz w:val="20"/>
          <w:szCs w:val="20"/>
        </w:rPr>
        <w:t>.</w:t>
      </w:r>
    </w:p>
    <w:p>
      <w:pPr>
        <w:spacing w:before="120" w:after="120" w:line="360" w:lineRule="auto"/>
        <w:jc w:val="both"/>
        <w:rPr>
          <w:rFonts w:ascii="Calibri" w:hAnsi="Calibri" w:cs="Calibri"/>
          <w:sz w:val="20"/>
          <w:szCs w:val="20"/>
        </w:rPr>
      </w:pPr>
      <w:r>
        <w:rPr>
          <w:rFonts w:ascii="Calibri" w:hAnsi="Calibri" w:cs="Calibri"/>
          <w:b/>
          <w:bCs/>
          <w:sz w:val="20"/>
          <w:szCs w:val="20"/>
        </w:rPr>
        <w:t>11.4.</w:t>
      </w:r>
      <w:r>
        <w:rPr>
          <w:rFonts w:ascii="Calibri" w:hAnsi="Calibri" w:cs="Calibri"/>
          <w:sz w:val="20"/>
          <w:szCs w:val="20"/>
        </w:rPr>
        <w:t xml:space="preserve"> Será assegurado o contraditório e a ampla defesa antes do cancelamento do registro de preços, ressalvada a hipótese de que trata o item 11.1.6.</w:t>
      </w:r>
    </w:p>
    <w:p>
      <w:pPr>
        <w:pStyle w:val="27"/>
        <w:spacing w:before="360" w:after="120" w:line="360" w:lineRule="auto"/>
        <w:ind w:left="-1701" w:right="-1276"/>
        <w:jc w:val="both"/>
        <w:rPr>
          <w:rFonts w:ascii="Calibri" w:hAnsi="Calibri" w:cs="Calibri"/>
          <w:b/>
          <w:bCs/>
        </w:rPr>
      </w:pPr>
      <w:r>
        <w:rPr>
          <w:rFonts w:ascii="Calibri" w:hAnsi="Calibri" w:cs="Calibri"/>
        </w:rPr>
        <mc:AlternateContent>
          <mc:Choice Requires="wps">
            <w:drawing>
              <wp:inline distT="0" distB="0" distL="0" distR="0">
                <wp:extent cx="4732020" cy="359410"/>
                <wp:effectExtent l="0" t="0" r="11430" b="2540"/>
                <wp:docPr id="43" name="Retângulo 7"/>
                <wp:cNvGraphicFramePr/>
                <a:graphic xmlns:a="http://schemas.openxmlformats.org/drawingml/2006/main">
                  <a:graphicData uri="http://schemas.microsoft.com/office/word/2010/wordprocessingShape">
                    <wps:wsp>
                      <wps:cNvSpPr>
                        <a:spLocks noChangeArrowheads="1"/>
                      </wps:cNvSpPr>
                      <wps:spPr bwMode="auto">
                        <a:xfrm>
                          <a:off x="0" y="0"/>
                          <a:ext cx="4732020"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12. DAS INFRAÇÕES E SANÇÕES ADMINISTRATIVAS</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372.6pt;v-text-anchor:middle;" fillcolor="#33608E" filled="t" stroked="f" coordsize="21600,21600" o:gfxdata="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ERgWcvWAAAABAEAAA8AAAAA&#10;AAAAAQAgAAAAIgAAAGRycy9kb3ducmV2LnhtbFBLAQIUABQAAAAIAIdO4kDVAzTVTwIAAJMEAAAO&#10;AAAAAAAAAAEAIAAAACUBAABkcnMvZTJvRG9jLnhtbFBLBQYAAAAABgAGAFkBAADmBQ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12. DAS INFRAÇÕES E SANÇÕES ADMINISTRATIVAS</w:t>
                      </w:r>
                    </w:p>
                  </w:txbxContent>
                </v:textbox>
                <w10:wrap type="none"/>
                <w10:anchorlock/>
              </v:rect>
            </w:pict>
          </mc:Fallback>
        </mc:AlternateContent>
      </w:r>
    </w:p>
    <w:p>
      <w:pPr>
        <w:spacing w:before="120" w:after="120" w:line="360" w:lineRule="auto"/>
        <w:jc w:val="both"/>
        <w:rPr>
          <w:rFonts w:ascii="Calibri" w:hAnsi="Calibri" w:cs="Calibri"/>
          <w:sz w:val="20"/>
          <w:szCs w:val="20"/>
        </w:rPr>
      </w:pPr>
      <w:r>
        <w:rPr>
          <w:rFonts w:ascii="Calibri" w:hAnsi="Calibri" w:cs="Calibri"/>
          <w:b/>
          <w:bCs/>
          <w:sz w:val="20"/>
          <w:szCs w:val="20"/>
        </w:rPr>
        <w:t>12.1.</w:t>
      </w:r>
      <w:r>
        <w:rPr>
          <w:rFonts w:ascii="Calibri" w:hAnsi="Calibri" w:cs="Calibri"/>
          <w:sz w:val="20"/>
          <w:szCs w:val="20"/>
        </w:rPr>
        <w:t xml:space="preserve"> Comete infração administrativa a </w:t>
      </w:r>
      <w:r>
        <w:rPr>
          <w:rFonts w:ascii="Calibri" w:hAnsi="Calibri" w:cs="Calibri"/>
          <w:b/>
          <w:sz w:val="20"/>
          <w:szCs w:val="20"/>
        </w:rPr>
        <w:t>DETENTORA DA ATA</w:t>
      </w:r>
      <w:r>
        <w:rPr>
          <w:rFonts w:ascii="Calibri" w:hAnsi="Calibri" w:cs="Calibri"/>
          <w:sz w:val="20"/>
          <w:szCs w:val="20"/>
        </w:rPr>
        <w:t xml:space="preserve"> que:</w:t>
      </w:r>
    </w:p>
    <w:p>
      <w:pPr>
        <w:spacing w:before="120" w:after="120" w:line="360" w:lineRule="auto"/>
        <w:jc w:val="both"/>
        <w:rPr>
          <w:rFonts w:ascii="Calibri" w:hAnsi="Calibri" w:cs="Calibri"/>
          <w:sz w:val="20"/>
          <w:szCs w:val="20"/>
        </w:rPr>
      </w:pPr>
      <w:r>
        <w:rPr>
          <w:rFonts w:ascii="Calibri" w:hAnsi="Calibri" w:cs="Calibri"/>
          <w:b/>
          <w:bCs/>
          <w:sz w:val="20"/>
          <w:szCs w:val="20"/>
        </w:rPr>
        <w:t>12.1.1.</w:t>
      </w:r>
      <w:r>
        <w:rPr>
          <w:rFonts w:ascii="Calibri" w:hAnsi="Calibri" w:cs="Calibri"/>
          <w:sz w:val="20"/>
          <w:szCs w:val="20"/>
        </w:rPr>
        <w:t xml:space="preserve"> não retirar a ordem de fornecimento ou não assinar o contrato decorrentes desta Ata dentro do prazo estipulado;</w:t>
      </w:r>
    </w:p>
    <w:p>
      <w:pPr>
        <w:spacing w:before="120" w:after="120" w:line="360" w:lineRule="auto"/>
        <w:jc w:val="both"/>
        <w:rPr>
          <w:rFonts w:ascii="Calibri" w:hAnsi="Calibri" w:cs="Calibri"/>
          <w:sz w:val="20"/>
          <w:szCs w:val="20"/>
        </w:rPr>
      </w:pPr>
      <w:r>
        <w:rPr>
          <w:rFonts w:ascii="Calibri" w:hAnsi="Calibri" w:cs="Calibri"/>
          <w:b/>
          <w:bCs/>
          <w:sz w:val="20"/>
          <w:szCs w:val="20"/>
        </w:rPr>
        <w:t>12.1.2.</w:t>
      </w:r>
      <w:r>
        <w:rPr>
          <w:rFonts w:ascii="Calibri" w:hAnsi="Calibri" w:cs="Calibri"/>
          <w:sz w:val="20"/>
          <w:szCs w:val="20"/>
        </w:rPr>
        <w:t xml:space="preserve"> recusar-se a reduzir os preços registrados diante da superveniente criação, alteração ou extinção de tributos ou encargos legais com comprovada repercussão sobre a Ata;</w:t>
      </w:r>
    </w:p>
    <w:p>
      <w:pPr>
        <w:spacing w:before="120" w:after="120" w:line="360" w:lineRule="auto"/>
        <w:jc w:val="both"/>
        <w:rPr>
          <w:rFonts w:ascii="Calibri" w:hAnsi="Calibri" w:cs="Calibri"/>
          <w:sz w:val="20"/>
          <w:szCs w:val="20"/>
        </w:rPr>
      </w:pPr>
      <w:r>
        <w:rPr>
          <w:rFonts w:ascii="Calibri" w:hAnsi="Calibri" w:cs="Calibri"/>
          <w:b/>
          <w:bCs/>
          <w:sz w:val="20"/>
          <w:szCs w:val="20"/>
        </w:rPr>
        <w:t>12.1.3.</w:t>
      </w:r>
      <w:r>
        <w:rPr>
          <w:rFonts w:ascii="Calibri" w:hAnsi="Calibri" w:cs="Calibri"/>
          <w:sz w:val="20"/>
          <w:szCs w:val="20"/>
        </w:rPr>
        <w:t xml:space="preserve"> recusar-se a manter os preços registrados após indeferimento do seu pedido de revisão. </w:t>
      </w:r>
    </w:p>
    <w:p>
      <w:pPr>
        <w:spacing w:before="120" w:after="120" w:line="360" w:lineRule="auto"/>
        <w:jc w:val="both"/>
        <w:rPr>
          <w:rFonts w:ascii="Calibri" w:hAnsi="Calibri" w:cs="Calibri"/>
          <w:sz w:val="20"/>
          <w:szCs w:val="20"/>
        </w:rPr>
      </w:pPr>
      <w:r>
        <w:rPr>
          <w:rFonts w:ascii="Calibri" w:hAnsi="Calibri" w:cs="Calibri"/>
          <w:b/>
          <w:bCs/>
          <w:sz w:val="20"/>
          <w:szCs w:val="20"/>
        </w:rPr>
        <w:t>12.2.</w:t>
      </w:r>
      <w:r>
        <w:rPr>
          <w:rFonts w:ascii="Calibri" w:hAnsi="Calibri" w:cs="Calibri"/>
          <w:sz w:val="20"/>
          <w:szCs w:val="20"/>
        </w:rPr>
        <w:t xml:space="preserve"> A penalidade de multa será aplicada de acordo com as seguintes regras:</w:t>
      </w:r>
    </w:p>
    <w:p>
      <w:pPr>
        <w:pStyle w:val="36"/>
        <w:spacing w:before="120" w:after="120" w:line="360" w:lineRule="auto"/>
        <w:ind w:left="0"/>
        <w:contextualSpacing w:val="0"/>
        <w:jc w:val="both"/>
        <w:rPr>
          <w:rStyle w:val="33"/>
          <w:rFonts w:ascii="Calibri" w:hAnsi="Calibri" w:cs="Calibri"/>
          <w:sz w:val="20"/>
          <w:szCs w:val="20"/>
        </w:rPr>
      </w:pPr>
      <w:r>
        <w:rPr>
          <w:rStyle w:val="33"/>
          <w:rFonts w:ascii="Calibri" w:hAnsi="Calibri" w:cs="Calibri"/>
          <w:b/>
          <w:bCs/>
          <w:sz w:val="20"/>
          <w:szCs w:val="20"/>
        </w:rPr>
        <w:t>12.2.1.</w:t>
      </w:r>
      <w:r>
        <w:rPr>
          <w:rStyle w:val="33"/>
          <w:rFonts w:ascii="Calibri" w:hAnsi="Calibri" w:cs="Calibri"/>
          <w:sz w:val="20"/>
          <w:szCs w:val="20"/>
        </w:rPr>
        <w:t xml:space="preserve"> Multa de 1% (um por cento) a 10% (dez por cento) sobre o valor total da Ata, observado o valor mínimo de R$ </w:t>
      </w:r>
      <w:bookmarkStart w:id="47" w:name="_Hlk129277931"/>
      <w:r>
        <w:rPr>
          <w:rStyle w:val="33"/>
          <w:rFonts w:ascii="Calibri" w:hAnsi="Calibri" w:cs="Calibri"/>
          <w:sz w:val="20"/>
          <w:szCs w:val="20"/>
        </w:rPr>
        <w:t>10.000,00 (dez mil reais</w:t>
      </w:r>
      <w:bookmarkEnd w:id="47"/>
      <w:r>
        <w:rPr>
          <w:rStyle w:val="33"/>
          <w:rFonts w:ascii="Calibri" w:hAnsi="Calibri" w:cs="Calibri"/>
          <w:sz w:val="20"/>
          <w:szCs w:val="20"/>
        </w:rPr>
        <w:t>) e o máximo de R$ 100.000,00 (cem mil reais), a ser aplicada a quem cometer a infração prevista no item 12.1.1 desta Ata;</w:t>
      </w:r>
    </w:p>
    <w:p>
      <w:pPr>
        <w:pStyle w:val="36"/>
        <w:spacing w:before="120" w:after="120" w:line="360" w:lineRule="auto"/>
        <w:ind w:left="0"/>
        <w:contextualSpacing w:val="0"/>
        <w:jc w:val="both"/>
        <w:rPr>
          <w:rFonts w:ascii="Calibri" w:hAnsi="Calibri" w:cs="Calibri"/>
          <w:sz w:val="20"/>
          <w:szCs w:val="20"/>
        </w:rPr>
      </w:pPr>
      <w:r>
        <w:rPr>
          <w:rStyle w:val="33"/>
          <w:rFonts w:ascii="Calibri" w:hAnsi="Calibri" w:cs="Calibri"/>
          <w:b/>
          <w:bCs/>
          <w:sz w:val="20"/>
          <w:szCs w:val="20"/>
        </w:rPr>
        <w:t>12.2.2.</w:t>
      </w:r>
      <w:r>
        <w:rPr>
          <w:rStyle w:val="33"/>
          <w:rFonts w:ascii="Calibri" w:hAnsi="Calibri" w:cs="Calibri"/>
          <w:sz w:val="20"/>
          <w:szCs w:val="20"/>
        </w:rPr>
        <w:t xml:space="preserve"> Multa de 0,5% (cinco décimos por cento) a 5% (cinco por cento) sobre o valor total da Ata, observado o valor mínimo de R$ 5.000,00 (cinco mil reais) e máximo de R$ 50.000,00 (cinquenta mil reais), a ser aplicada em caso do cometimento das infrações previstas nos itens 12.1.2 e 12.1.3. desta Ata.</w:t>
      </w:r>
    </w:p>
    <w:p>
      <w:pPr>
        <w:pStyle w:val="36"/>
        <w:spacing w:before="120" w:after="120" w:line="360" w:lineRule="auto"/>
        <w:ind w:left="0"/>
        <w:contextualSpacing w:val="0"/>
        <w:jc w:val="both"/>
        <w:rPr>
          <w:rFonts w:ascii="Calibri" w:hAnsi="Calibri" w:cs="Calibri"/>
          <w:sz w:val="20"/>
          <w:szCs w:val="20"/>
        </w:rPr>
      </w:pPr>
      <w:r>
        <w:rPr>
          <w:rFonts w:ascii="Calibri" w:hAnsi="Calibri" w:cs="Calibri"/>
          <w:b/>
          <w:bCs/>
          <w:sz w:val="20"/>
          <w:szCs w:val="20"/>
        </w:rPr>
        <w:t>12.3.</w:t>
      </w:r>
      <w:r>
        <w:rPr>
          <w:rFonts w:ascii="Calibri" w:hAnsi="Calibri" w:cs="Calibri"/>
          <w:sz w:val="20"/>
          <w:szCs w:val="20"/>
        </w:rPr>
        <w:t xml:space="preserve"> Além da multa aplicada, é aplicável a penalidade de Impedimento de licitar e contratar com o Estado de Pernambuco, nos seguintes casos e condições:</w:t>
      </w:r>
    </w:p>
    <w:p>
      <w:pPr>
        <w:pStyle w:val="36"/>
        <w:spacing w:before="120" w:after="120" w:line="360" w:lineRule="auto"/>
        <w:ind w:left="0"/>
        <w:contextualSpacing w:val="0"/>
        <w:jc w:val="both"/>
        <w:rPr>
          <w:rFonts w:ascii="Calibri" w:hAnsi="Calibri" w:cs="Calibri"/>
          <w:sz w:val="20"/>
          <w:szCs w:val="20"/>
        </w:rPr>
      </w:pPr>
      <w:r>
        <w:rPr>
          <w:rFonts w:ascii="Calibri" w:hAnsi="Calibri" w:cs="Calibri"/>
          <w:b/>
          <w:bCs/>
          <w:sz w:val="20"/>
          <w:szCs w:val="20"/>
        </w:rPr>
        <w:t>12.3.1.</w:t>
      </w:r>
      <w:r>
        <w:rPr>
          <w:rFonts w:ascii="Calibri" w:hAnsi="Calibri" w:cs="Calibri"/>
          <w:sz w:val="20"/>
          <w:szCs w:val="20"/>
        </w:rPr>
        <w:t xml:space="preserve"> na infração prevista no item 12.1.1: de 6 a 12 meses;</w:t>
      </w:r>
    </w:p>
    <w:p>
      <w:pPr>
        <w:pStyle w:val="36"/>
        <w:spacing w:before="120" w:after="120" w:line="360" w:lineRule="auto"/>
        <w:ind w:left="0"/>
        <w:contextualSpacing w:val="0"/>
        <w:jc w:val="both"/>
        <w:rPr>
          <w:rFonts w:ascii="Calibri" w:hAnsi="Calibri" w:cs="Calibri"/>
          <w:sz w:val="20"/>
          <w:szCs w:val="20"/>
        </w:rPr>
      </w:pPr>
      <w:r>
        <w:rPr>
          <w:rFonts w:ascii="Calibri" w:hAnsi="Calibri" w:cs="Calibri"/>
          <w:b/>
          <w:sz w:val="20"/>
          <w:szCs w:val="20"/>
        </w:rPr>
        <w:t>12.3.2.</w:t>
      </w:r>
      <w:r>
        <w:rPr>
          <w:rFonts w:ascii="Calibri" w:hAnsi="Calibri" w:cs="Calibri"/>
          <w:sz w:val="20"/>
          <w:szCs w:val="20"/>
        </w:rPr>
        <w:t xml:space="preserve"> nas infrações previstas nos itens 12.1.2. e 12.1.3: até 6 meses.</w:t>
      </w:r>
    </w:p>
    <w:p>
      <w:pPr>
        <w:pStyle w:val="36"/>
        <w:spacing w:before="120" w:after="120" w:line="360" w:lineRule="auto"/>
        <w:ind w:left="0"/>
        <w:contextualSpacing w:val="0"/>
        <w:jc w:val="both"/>
        <w:rPr>
          <w:rFonts w:ascii="Calibri" w:hAnsi="Calibri" w:cs="Calibri"/>
          <w:sz w:val="20"/>
          <w:szCs w:val="20"/>
        </w:rPr>
      </w:pPr>
      <w:r>
        <w:rPr>
          <w:rFonts w:ascii="Calibri" w:hAnsi="Calibri" w:cs="Calibri"/>
          <w:b/>
          <w:bCs/>
          <w:sz w:val="20"/>
          <w:szCs w:val="20"/>
        </w:rPr>
        <w:t>12.4.</w:t>
      </w:r>
      <w:r>
        <w:rPr>
          <w:rFonts w:ascii="Calibri" w:hAnsi="Calibri" w:cs="Calibri"/>
          <w:sz w:val="20"/>
          <w:szCs w:val="20"/>
        </w:rPr>
        <w:t xml:space="preserve"> Na fixação da dosimetria das sanções previstas nesta Ata, serão observados os mesmos critérios e diretrizes fixados no edital da licitação.</w:t>
      </w:r>
    </w:p>
    <w:p>
      <w:pPr>
        <w:pStyle w:val="36"/>
        <w:spacing w:before="120" w:after="120" w:line="360" w:lineRule="auto"/>
        <w:ind w:left="0"/>
        <w:contextualSpacing w:val="0"/>
        <w:jc w:val="both"/>
        <w:rPr>
          <w:rFonts w:ascii="Calibri" w:hAnsi="Calibri" w:cs="Calibri"/>
          <w:sz w:val="20"/>
          <w:szCs w:val="20"/>
        </w:rPr>
      </w:pPr>
      <w:r>
        <w:rPr>
          <w:rFonts w:ascii="Calibri" w:hAnsi="Calibri" w:cs="Calibri"/>
          <w:b/>
          <w:bCs/>
          <w:sz w:val="20"/>
          <w:szCs w:val="20"/>
        </w:rPr>
        <w:t>12.5.</w:t>
      </w:r>
      <w:r>
        <w:rPr>
          <w:rFonts w:ascii="Calibri" w:hAnsi="Calibri" w:cs="Calibri"/>
          <w:sz w:val="20"/>
          <w:szCs w:val="20"/>
        </w:rPr>
        <w:t xml:space="preserve"> A aplicação das sanções deverá ser precedida de processo administrativo, garantidos os princípios da ampla defesa e contraditório, a ser instaurado no âmbito do órgão </w:t>
      </w:r>
      <w:r>
        <w:rPr>
          <w:rFonts w:ascii="Calibri" w:hAnsi="Calibri" w:cs="Calibri"/>
          <w:b/>
          <w:sz w:val="20"/>
          <w:szCs w:val="20"/>
        </w:rPr>
        <w:t>PARTICIPANTE</w:t>
      </w:r>
      <w:r>
        <w:rPr>
          <w:rFonts w:ascii="Calibri" w:hAnsi="Calibri" w:cs="Calibri"/>
          <w:sz w:val="20"/>
          <w:szCs w:val="20"/>
        </w:rPr>
        <w:t xml:space="preserve">, no caso de cometimento da infração prevista no item 12.1.1, e do </w:t>
      </w:r>
      <w:r>
        <w:rPr>
          <w:rFonts w:ascii="Calibri" w:hAnsi="Calibri" w:cs="Calibri"/>
          <w:b/>
          <w:sz w:val="20"/>
          <w:szCs w:val="20"/>
        </w:rPr>
        <w:t xml:space="preserve">GERENCIADOR, </w:t>
      </w:r>
      <w:r>
        <w:rPr>
          <w:rFonts w:ascii="Calibri" w:hAnsi="Calibri" w:cs="Calibri"/>
          <w:sz w:val="20"/>
          <w:szCs w:val="20"/>
        </w:rPr>
        <w:t>quando se tratar das infrações previstas nos itens 12.1.2 e 12.1.3.</w:t>
      </w:r>
    </w:p>
    <w:p>
      <w:pPr>
        <w:pStyle w:val="27"/>
        <w:spacing w:before="360" w:after="120" w:line="360" w:lineRule="auto"/>
        <w:ind w:left="-1701" w:right="-1276"/>
        <w:jc w:val="both"/>
        <w:rPr>
          <w:rFonts w:ascii="Calibri" w:hAnsi="Calibri" w:cs="Calibri"/>
        </w:rPr>
      </w:pPr>
      <w:r>
        <w:rPr>
          <w:rFonts w:ascii="Calibri" w:hAnsi="Calibri" w:cs="Calibri"/>
        </w:rPr>
        <mc:AlternateContent>
          <mc:Choice Requires="wps">
            <w:drawing>
              <wp:inline distT="0" distB="0" distL="0" distR="0">
                <wp:extent cx="2569210" cy="359410"/>
                <wp:effectExtent l="0" t="0" r="2540" b="2540"/>
                <wp:docPr id="44" name="Retângulo 7"/>
                <wp:cNvGraphicFramePr/>
                <a:graphic xmlns:a="http://schemas.openxmlformats.org/drawingml/2006/main">
                  <a:graphicData uri="http://schemas.microsoft.com/office/word/2010/wordprocessingShape">
                    <wps:wsp>
                      <wps:cNvSpPr>
                        <a:spLocks noChangeArrowheads="1"/>
                      </wps:cNvSpPr>
                      <wps:spPr bwMode="auto">
                        <a:xfrm>
                          <a:off x="0" y="0"/>
                          <a:ext cx="2569210" cy="360000"/>
                        </a:xfrm>
                        <a:prstGeom prst="rect">
                          <a:avLst/>
                        </a:prstGeom>
                        <a:solidFill>
                          <a:srgbClr val="33608E"/>
                        </a:solidFill>
                        <a:ln w="12700" cap="flat" cmpd="sng" algn="ctr">
                          <a:noFill/>
                          <a:prstDash val="solid"/>
                          <a:miter lim="800000"/>
                        </a:ln>
                      </wps:spPr>
                      <wps:txb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13. DA PUBLICAÇÃO</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202.3pt;v-text-anchor:middle;" fillcolor="#33608E" filled="t" stroked="f" coordsize="21600,21600" o:gfxdata="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G514U1gAAAAQBAAAPAAAA&#10;AAAAAAEAIAAAACIAAABkcnMvZG93bnJldi54bWxQSwECFAAUAAAACACHTuJAU6dzKVACAACTBAAA&#10;DgAAAAAAAAABACAAAAAlAQAAZHJzL2Uyb0RvYy54bWxQSwUGAAAAAAYABgBZAQAA5wUAAAAA&#10;">
                <v:fill on="t" focussize="0,0"/>
                <v:stroke on="f" weight="1pt" miterlimit="8" joinstyle="miter"/>
                <v:imagedata o:title=""/>
                <o:lock v:ext="edit" aspectratio="f"/>
                <v:textbox>
                  <w:txbxContent>
                    <w:p>
                      <w:pPr>
                        <w:spacing w:after="0"/>
                        <w:ind w:left="510" w:right="283" w:firstLine="720" w:firstLineChars="3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13. DA PUBLICAÇÃO</w:t>
                      </w:r>
                    </w:p>
                  </w:txbxContent>
                </v:textbox>
                <w10:wrap type="none"/>
                <w10:anchorlock/>
              </v:rect>
            </w:pict>
          </mc:Fallback>
        </mc:AlternateContent>
      </w:r>
    </w:p>
    <w:p>
      <w:pPr>
        <w:spacing w:before="120" w:after="120" w:line="360" w:lineRule="auto"/>
        <w:jc w:val="both"/>
        <w:rPr>
          <w:rFonts w:ascii="Calibri" w:hAnsi="Calibri" w:cs="Calibri"/>
          <w:sz w:val="20"/>
          <w:szCs w:val="20"/>
        </w:rPr>
      </w:pPr>
      <w:r>
        <w:rPr>
          <w:rFonts w:ascii="Calibri" w:hAnsi="Calibri" w:cs="Calibri"/>
          <w:b/>
          <w:bCs/>
          <w:sz w:val="20"/>
          <w:szCs w:val="20"/>
        </w:rPr>
        <w:t>13.1.</w:t>
      </w:r>
      <w:r>
        <w:rPr>
          <w:rFonts w:ascii="Calibri" w:hAnsi="Calibri" w:cs="Calibri"/>
          <w:sz w:val="20"/>
          <w:szCs w:val="20"/>
        </w:rPr>
        <w:t xml:space="preserve"> Esta Ata de Registro de Preço será publicada no Portal Nacional de Contratações Públicas (PNCP), bem como no Sistema PE-Integrado como condição de sua eficácia, devendo a sua divulgação ser mantida durante toda a vigência.</w:t>
      </w:r>
    </w:p>
    <w:p>
      <w:pPr>
        <w:pStyle w:val="27"/>
        <w:spacing w:before="360" w:after="120" w:line="360" w:lineRule="auto"/>
        <w:ind w:left="-1701" w:right="-1276"/>
        <w:jc w:val="both"/>
        <w:rPr>
          <w:rFonts w:ascii="Calibri" w:hAnsi="Calibri" w:cs="Calibri"/>
        </w:rPr>
      </w:pPr>
      <w:r>
        <w:rPr>
          <w:rFonts w:ascii="Calibri" w:hAnsi="Calibri" w:cs="Calibri"/>
        </w:rPr>
        <mc:AlternateContent>
          <mc:Choice Requires="wps">
            <w:drawing>
              <wp:inline distT="0" distB="0" distL="0" distR="0">
                <wp:extent cx="1895475" cy="359410"/>
                <wp:effectExtent l="0" t="0" r="9525" b="2540"/>
                <wp:docPr id="46" name="Retângulo 7"/>
                <wp:cNvGraphicFramePr/>
                <a:graphic xmlns:a="http://schemas.openxmlformats.org/drawingml/2006/main">
                  <a:graphicData uri="http://schemas.microsoft.com/office/word/2010/wordprocessingShape">
                    <wps:wsp>
                      <wps:cNvSpPr>
                        <a:spLocks noChangeArrowheads="1"/>
                      </wps:cNvSpPr>
                      <wps:spPr bwMode="auto">
                        <a:xfrm>
                          <a:off x="0" y="0"/>
                          <a:ext cx="1895475" cy="360000"/>
                        </a:xfrm>
                        <a:prstGeom prst="rect">
                          <a:avLst/>
                        </a:prstGeom>
                        <a:solidFill>
                          <a:srgbClr val="33608E"/>
                        </a:solidFill>
                        <a:ln w="12700" cap="flat" cmpd="sng" algn="ctr">
                          <a:noFill/>
                          <a:prstDash val="solid"/>
                          <a:miter lim="800000"/>
                        </a:ln>
                      </wps:spPr>
                      <wps:txbx>
                        <w:txbxContent>
                          <w:p>
                            <w:pPr>
                              <w:spacing w:after="0"/>
                              <w:ind w:left="510" w:right="283" w:firstLine="480" w:firstLineChars="2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14. DO FORO</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28.3pt;width:149.25pt;v-text-anchor:middle;" fillcolor="#33608E" filled="t" stroked="f" coordsize="21600,21600" o:gfxdata="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G+AK+jXAAAABAEAAA8A&#10;AAAAAAAAAQAgAAAAIgAAAGRycy9kb3ducmV2LnhtbFBLAQIUABQAAAAIAIdO4kAGeg9UUQIAAJME&#10;AAAOAAAAAAAAAAEAIAAAACYBAABkcnMvZTJvRG9jLnhtbFBLBQYAAAAABgAGAFkBAADpBQAAAAA=&#10;">
                <v:fill on="t" focussize="0,0"/>
                <v:stroke on="f" weight="1pt" miterlimit="8" joinstyle="miter"/>
                <v:imagedata o:title=""/>
                <o:lock v:ext="edit" aspectratio="f"/>
                <v:textbox>
                  <w:txbxContent>
                    <w:p>
                      <w:pPr>
                        <w:spacing w:after="0"/>
                        <w:ind w:left="510" w:right="283" w:firstLine="480" w:firstLineChars="200"/>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14. DO FORO</w:t>
                      </w:r>
                    </w:p>
                  </w:txbxContent>
                </v:textbox>
                <w10:wrap type="none"/>
                <w10:anchorlock/>
              </v:rect>
            </w:pict>
          </mc:Fallback>
        </mc:AlternateContent>
      </w:r>
    </w:p>
    <w:p>
      <w:pPr>
        <w:spacing w:before="120" w:after="120" w:line="360" w:lineRule="auto"/>
        <w:jc w:val="both"/>
        <w:rPr>
          <w:rFonts w:ascii="Calibri" w:hAnsi="Calibri" w:cs="Calibri"/>
          <w:sz w:val="20"/>
          <w:szCs w:val="20"/>
        </w:rPr>
      </w:pPr>
      <w:r>
        <w:rPr>
          <w:rFonts w:ascii="Calibri" w:hAnsi="Calibri" w:cs="Calibri"/>
          <w:b/>
          <w:bCs/>
          <w:sz w:val="20"/>
          <w:szCs w:val="20"/>
        </w:rPr>
        <w:t>14.1.</w:t>
      </w:r>
      <w:r>
        <w:rPr>
          <w:rFonts w:ascii="Calibri" w:hAnsi="Calibri" w:cs="Calibri"/>
          <w:sz w:val="20"/>
          <w:szCs w:val="20"/>
        </w:rPr>
        <w:t xml:space="preserve"> 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pPr>
        <w:tabs>
          <w:tab w:val="left" w:pos="426"/>
          <w:tab w:val="left" w:pos="1191"/>
        </w:tabs>
        <w:spacing w:after="0" w:line="240" w:lineRule="auto"/>
        <w:jc w:val="center"/>
        <w:rPr>
          <w:rFonts w:ascii="Calibri" w:hAnsi="Calibri" w:cs="Calibri"/>
          <w:bCs/>
          <w:sz w:val="20"/>
          <w:szCs w:val="20"/>
        </w:rPr>
      </w:pPr>
      <w:r>
        <w:rPr>
          <w:rFonts w:ascii="Calibri" w:hAnsi="Calibri" w:cs="Calibri"/>
          <w:bCs/>
          <w:sz w:val="20"/>
          <w:szCs w:val="20"/>
        </w:rPr>
        <w:t>Recife, XX de XXXXXXXXX de XXXX.</w:t>
      </w:r>
    </w:p>
    <w:p>
      <w:pPr>
        <w:tabs>
          <w:tab w:val="left" w:pos="426"/>
          <w:tab w:val="left" w:pos="1191"/>
        </w:tabs>
        <w:spacing w:after="0" w:line="240" w:lineRule="auto"/>
        <w:jc w:val="center"/>
        <w:rPr>
          <w:rFonts w:ascii="Calibri" w:hAnsi="Calibri" w:cs="Calibri"/>
          <w:bCs/>
          <w:sz w:val="20"/>
          <w:szCs w:val="20"/>
        </w:rPr>
      </w:pPr>
      <w:r>
        <w:rPr>
          <w:rFonts w:ascii="Calibri" w:hAnsi="Calibri" w:cs="Calibri"/>
          <w:bCs/>
          <w:sz w:val="20"/>
          <w:szCs w:val="20"/>
        </w:rPr>
        <w:t>ÓRGÃO GERENCIADOR</w:t>
      </w:r>
    </w:p>
    <w:p>
      <w:pPr>
        <w:tabs>
          <w:tab w:val="left" w:pos="426"/>
          <w:tab w:val="left" w:pos="1191"/>
        </w:tabs>
        <w:spacing w:after="0" w:line="240" w:lineRule="auto"/>
        <w:jc w:val="center"/>
        <w:rPr>
          <w:rFonts w:ascii="Calibri" w:hAnsi="Calibri" w:cs="Calibri"/>
          <w:bCs/>
          <w:sz w:val="20"/>
          <w:szCs w:val="20"/>
        </w:rPr>
      </w:pPr>
      <w:r>
        <w:rPr>
          <w:rFonts w:ascii="Calibri" w:hAnsi="Calibri" w:cs="Calibri"/>
          <w:bCs/>
          <w:sz w:val="20"/>
          <w:szCs w:val="20"/>
        </w:rPr>
        <w:t>DETENTORA DA ATA</w:t>
      </w:r>
    </w:p>
    <w:p>
      <w:pPr>
        <w:tabs>
          <w:tab w:val="left" w:pos="426"/>
          <w:tab w:val="left" w:pos="1191"/>
        </w:tabs>
        <w:spacing w:before="120" w:after="120" w:line="360" w:lineRule="auto"/>
        <w:jc w:val="center"/>
        <w:rPr>
          <w:rFonts w:ascii="Calibri" w:hAnsi="Calibri" w:cs="Calibri"/>
          <w:sz w:val="20"/>
          <w:szCs w:val="20"/>
        </w:rPr>
      </w:pPr>
    </w:p>
    <w:p>
      <w:pPr>
        <w:tabs>
          <w:tab w:val="left" w:pos="426"/>
          <w:tab w:val="left" w:pos="1191"/>
        </w:tabs>
        <w:spacing w:before="120" w:after="120" w:line="360" w:lineRule="auto"/>
        <w:jc w:val="center"/>
        <w:rPr>
          <w:rFonts w:ascii="Calibri" w:hAnsi="Calibri" w:cs="Calibri"/>
          <w:sz w:val="20"/>
          <w:szCs w:val="20"/>
        </w:rPr>
      </w:pPr>
    </w:p>
    <w:p>
      <w:pPr>
        <w:tabs>
          <w:tab w:val="left" w:pos="426"/>
          <w:tab w:val="left" w:pos="1191"/>
        </w:tabs>
        <w:spacing w:before="120" w:after="120" w:line="360" w:lineRule="auto"/>
        <w:jc w:val="center"/>
        <w:rPr>
          <w:rFonts w:ascii="Calibri" w:hAnsi="Calibri" w:cs="Calibri"/>
          <w:sz w:val="20"/>
          <w:szCs w:val="20"/>
        </w:rPr>
      </w:pPr>
    </w:p>
    <w:p>
      <w:pPr>
        <w:tabs>
          <w:tab w:val="left" w:pos="426"/>
          <w:tab w:val="left" w:pos="1191"/>
        </w:tabs>
        <w:spacing w:before="120" w:after="120" w:line="360" w:lineRule="auto"/>
        <w:jc w:val="center"/>
        <w:rPr>
          <w:rFonts w:ascii="Calibri" w:hAnsi="Calibri" w:cs="Calibri"/>
          <w:sz w:val="20"/>
          <w:szCs w:val="20"/>
        </w:rPr>
      </w:pPr>
    </w:p>
    <w:p>
      <w:pPr>
        <w:tabs>
          <w:tab w:val="left" w:pos="426"/>
          <w:tab w:val="left" w:pos="1191"/>
        </w:tabs>
        <w:spacing w:before="120" w:after="120" w:line="360" w:lineRule="auto"/>
        <w:jc w:val="center"/>
        <w:rPr>
          <w:rFonts w:ascii="Calibri" w:hAnsi="Calibri" w:cs="Calibri"/>
          <w:sz w:val="20"/>
          <w:szCs w:val="20"/>
        </w:rPr>
      </w:pPr>
    </w:p>
    <w:p>
      <w:pPr>
        <w:tabs>
          <w:tab w:val="left" w:pos="426"/>
          <w:tab w:val="left" w:pos="1191"/>
        </w:tabs>
        <w:spacing w:before="120" w:after="120" w:line="360" w:lineRule="auto"/>
        <w:jc w:val="center"/>
        <w:rPr>
          <w:rFonts w:ascii="Calibri" w:hAnsi="Calibri" w:cs="Calibri"/>
          <w:sz w:val="20"/>
          <w:szCs w:val="20"/>
        </w:rPr>
      </w:pPr>
    </w:p>
    <w:p>
      <w:pPr>
        <w:tabs>
          <w:tab w:val="left" w:pos="426"/>
          <w:tab w:val="left" w:pos="1191"/>
        </w:tabs>
        <w:spacing w:before="120" w:after="120" w:line="360" w:lineRule="auto"/>
        <w:jc w:val="center"/>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p>
    <w:p>
      <w:pPr>
        <w:tabs>
          <w:tab w:val="left" w:pos="426"/>
          <w:tab w:val="left" w:pos="1191"/>
        </w:tabs>
        <w:spacing w:before="120" w:after="120" w:line="360" w:lineRule="auto"/>
        <w:jc w:val="both"/>
        <w:rPr>
          <w:rFonts w:ascii="Calibri" w:hAnsi="Calibri" w:cs="Calibri"/>
          <w:sz w:val="20"/>
          <w:szCs w:val="20"/>
        </w:rPr>
      </w:pPr>
      <w:bookmarkStart w:id="48" w:name="_GoBack"/>
      <w:bookmarkEnd w:id="48"/>
    </w:p>
    <w:p>
      <w:pPr>
        <w:pStyle w:val="39"/>
        <w:spacing w:before="240" w:after="0" w:line="240" w:lineRule="auto"/>
        <w:jc w:val="center"/>
        <w:rPr>
          <w:rFonts w:ascii="Calibri" w:hAnsi="Calibri" w:cs="Calibri"/>
          <w:b/>
          <w:bCs/>
          <w:sz w:val="20"/>
          <w:szCs w:val="20"/>
        </w:rPr>
      </w:pPr>
      <w:r>
        <w:rPr>
          <w:rFonts w:ascii="Calibri" w:hAnsi="Calibri" w:cs="Calibri"/>
          <w:b/>
          <w:bCs/>
          <w:sz w:val="20"/>
          <w:szCs w:val="20"/>
        </w:rPr>
        <w:t xml:space="preserve">PROCESSO LICITATÓRIO Nº </w:t>
      </w:r>
      <w:r>
        <w:rPr>
          <w:rFonts w:hint="default" w:ascii="Calibri" w:hAnsi="Calibri"/>
          <w:b/>
          <w:bCs/>
          <w:sz w:val="20"/>
          <w:szCs w:val="20"/>
        </w:rPr>
        <w:t>0542.2024.AC 74.PE.0240.SAD.DASIS</w:t>
      </w:r>
    </w:p>
    <w:p>
      <w:pPr>
        <w:pStyle w:val="39"/>
        <w:spacing w:after="240" w:line="240" w:lineRule="auto"/>
        <w:jc w:val="center"/>
        <w:rPr>
          <w:rFonts w:ascii="Calibri" w:hAnsi="Calibri" w:cs="Calibri"/>
          <w:b/>
          <w:bCs/>
          <w:sz w:val="20"/>
          <w:szCs w:val="20"/>
        </w:rPr>
      </w:pPr>
      <w:r>
        <w:rPr>
          <w:rFonts w:ascii="Calibri" w:hAnsi="Calibri" w:cs="Calibri"/>
          <w:b/>
          <w:bCs/>
          <w:sz w:val="20"/>
          <w:szCs w:val="20"/>
        </w:rPr>
        <w:t>PREGÃO ELETRÔNICO PARA REGISTRO DE PREÇOS Nº</w:t>
      </w:r>
      <w:r>
        <w:rPr>
          <w:rFonts w:hint="default" w:ascii="Calibri" w:hAnsi="Calibri"/>
          <w:b/>
          <w:bCs/>
          <w:sz w:val="20"/>
          <w:szCs w:val="20"/>
        </w:rPr>
        <w:t>PE.0240.SAD.DASIS</w:t>
      </w:r>
    </w:p>
    <w:p>
      <w:pPr>
        <w:tabs>
          <w:tab w:val="left" w:pos="426"/>
          <w:tab w:val="left" w:pos="1191"/>
        </w:tabs>
        <w:spacing w:before="120" w:after="120" w:line="360" w:lineRule="auto"/>
        <w:jc w:val="both"/>
        <w:rPr>
          <w:rFonts w:ascii="Calibri" w:hAnsi="Calibri" w:cs="Calibri"/>
          <w:sz w:val="20"/>
          <w:szCs w:val="20"/>
        </w:rPr>
      </w:pPr>
    </w:p>
    <w:p>
      <w:pPr>
        <w:spacing w:before="40" w:after="0" w:line="276" w:lineRule="auto"/>
        <w:jc w:val="both"/>
        <w:rPr>
          <w:rFonts w:ascii="Calibri" w:hAnsi="Calibri" w:cs="Calibri"/>
          <w:sz w:val="20"/>
          <w:szCs w:val="20"/>
        </w:rPr>
      </w:pPr>
      <w:r>
        <w:rPr>
          <w:rFonts w:ascii="Calibri" w:hAnsi="Calibri" w:cs="Calibri"/>
          <w:sz w:val="20"/>
          <w:szCs w:val="20"/>
          <w:lang w:eastAsia="pt-BR"/>
        </w:rPr>
        <mc:AlternateContent>
          <mc:Choice Requires="wps">
            <w:drawing>
              <wp:inline distT="0" distB="0" distL="0" distR="0">
                <wp:extent cx="6224905" cy="485775"/>
                <wp:effectExtent l="0" t="0" r="4445" b="9525"/>
                <wp:docPr id="142554435" name="Retângulo 7"/>
                <wp:cNvGraphicFramePr/>
                <a:graphic xmlns:a="http://schemas.openxmlformats.org/drawingml/2006/main">
                  <a:graphicData uri="http://schemas.microsoft.com/office/word/2010/wordprocessingShape">
                    <wps:wsp>
                      <wps:cNvSpPr>
                        <a:spLocks noChangeArrowheads="1"/>
                      </wps:cNvSpPr>
                      <wps:spPr bwMode="auto">
                        <a:xfrm>
                          <a:off x="0" y="0"/>
                          <a:ext cx="6224905" cy="485775"/>
                        </a:xfrm>
                        <a:prstGeom prst="rect">
                          <a:avLst/>
                        </a:prstGeom>
                        <a:solidFill>
                          <a:srgbClr val="33608E"/>
                        </a:solidFill>
                        <a:ln w="12700" cap="flat" cmpd="sng" algn="ctr">
                          <a:noFill/>
                          <a:prstDash val="solid"/>
                          <a:miter lim="800000"/>
                        </a:ln>
                      </wps:spPr>
                      <wps:txbx>
                        <w:txbxContent>
                          <w:p>
                            <w:pPr>
                              <w:spacing w:after="0"/>
                              <w:ind w:left="510" w:right="283"/>
                              <w:jc w:val="center"/>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ANEXO IV DO EDITAL</w:t>
                            </w:r>
                          </w:p>
                          <w:p>
                            <w:pPr>
                              <w:spacing w:after="0"/>
                              <w:ind w:left="510" w:right="283"/>
                              <w:jc w:val="center"/>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MINUTA DA ORDEM DE FORNECIMENTO</w:t>
                            </w:r>
                          </w:p>
                        </w:txbxContent>
                      </wps:txbx>
                      <wps:bodyPr rot="0" vert="horz" wrap="square" lIns="91440" tIns="45720" rIns="91440" bIns="45720" anchor="ctr" anchorCtr="0" upright="1">
                        <a:noAutofit/>
                      </wps:bodyPr>
                    </wps:wsp>
                  </a:graphicData>
                </a:graphic>
              </wp:inline>
            </w:drawing>
          </mc:Choice>
          <mc:Fallback>
            <w:pict>
              <v:rect id="Retângulo 7" o:spid="_x0000_s1026" o:spt="1" style="height:38.25pt;width:490.15pt;v-text-anchor:middle;" fillcolor="#33608E" filled="t" stroked="f" coordsize="21600,21600" o:gfxdata="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KlQnwHX&#10;AAAABAEAAA8AAAAAAAAAAQAgAAAAIgAAAGRycy9kb3ducmV2LnhtbFBLAQIUABQAAAAIAIdO4kAU&#10;etQOWgIAAJoEAAAOAAAAAAAAAAEAIAAAACYBAABkcnMvZTJvRG9jLnhtbFBLBQYAAAAABgAGAFkB&#10;AADyBQAAAAA=&#10;">
                <v:fill on="t" focussize="0,0"/>
                <v:stroke on="f" weight="1pt" miterlimit="8" joinstyle="miter"/>
                <v:imagedata o:title=""/>
                <o:lock v:ext="edit" aspectratio="f"/>
                <v:textbox>
                  <w:txbxContent>
                    <w:p>
                      <w:pPr>
                        <w:spacing w:after="0"/>
                        <w:ind w:left="510" w:right="283"/>
                        <w:jc w:val="center"/>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ANEXO IV DO EDITAL</w:t>
                      </w:r>
                    </w:p>
                    <w:p>
                      <w:pPr>
                        <w:spacing w:after="0"/>
                        <w:ind w:left="510" w:right="283"/>
                        <w:jc w:val="center"/>
                        <w:rPr>
                          <w:rFonts w:ascii="Calibri" w:hAnsi="Calibri" w:cs="Calibri"/>
                          <w:b/>
                          <w:bCs/>
                          <w:color w:val="FFFFFF" w:themeColor="background1"/>
                          <w:sz w:val="24"/>
                          <w:szCs w:val="24"/>
                          <w14:textFill>
                            <w14:solidFill>
                              <w14:schemeClr w14:val="bg1"/>
                            </w14:solidFill>
                          </w14:textFill>
                        </w:rPr>
                      </w:pPr>
                      <w:r>
                        <w:rPr>
                          <w:rFonts w:ascii="Calibri" w:hAnsi="Calibri" w:cs="Calibri"/>
                          <w:b/>
                          <w:bCs/>
                          <w:color w:val="FFFFFF" w:themeColor="background1"/>
                          <w:sz w:val="24"/>
                          <w:szCs w:val="24"/>
                          <w14:textFill>
                            <w14:solidFill>
                              <w14:schemeClr w14:val="bg1"/>
                            </w14:solidFill>
                          </w14:textFill>
                        </w:rPr>
                        <w:t>MINUTA DA ORDEM DE FORNECIMENTO</w:t>
                      </w:r>
                    </w:p>
                  </w:txbxContent>
                </v:textbox>
                <w10:wrap type="none"/>
                <w10:anchorlock/>
              </v:rect>
            </w:pict>
          </mc:Fallback>
        </mc:AlternateContent>
      </w:r>
    </w:p>
    <w:p>
      <w:pPr>
        <w:spacing w:before="100" w:beforeAutospacing="1" w:after="100" w:afterAutospacing="1"/>
        <w:jc w:val="center"/>
        <w:rPr>
          <w:rFonts w:ascii="Calibri" w:hAnsi="Calibri" w:eastAsia="Times New Roman" w:cs="Calibri"/>
          <w:b/>
          <w:bCs/>
          <w:caps/>
          <w:sz w:val="20"/>
          <w:szCs w:val="20"/>
          <w:lang w:eastAsia="pt-BR"/>
        </w:rPr>
      </w:pPr>
      <w:r>
        <w:rPr>
          <w:rFonts w:ascii="Calibri" w:hAnsi="Calibri" w:eastAsia="Times New Roman" w:cs="Calibri"/>
          <w:b/>
          <w:bCs/>
          <w:caps/>
          <w:sz w:val="20"/>
          <w:szCs w:val="20"/>
          <w:lang w:eastAsia="pt-BR"/>
        </w:rPr>
        <w:t>MINUTA DE ORDEM DE FORNECIMENTO</w:t>
      </w:r>
    </w:p>
    <w:p>
      <w:pPr>
        <w:ind w:left="15"/>
        <w:jc w:val="center"/>
        <w:rPr>
          <w:rFonts w:ascii="Calibri" w:hAnsi="Calibri" w:eastAsia="Times New Roman" w:cs="Calibri"/>
          <w:sz w:val="20"/>
          <w:szCs w:val="20"/>
          <w:lang w:eastAsia="pt-BR"/>
        </w:rPr>
      </w:pPr>
      <w:r>
        <w:rPr>
          <w:rFonts w:ascii="Calibri" w:hAnsi="Calibri" w:eastAsia="Times New Roman" w:cs="Calibri"/>
          <w:sz w:val="20"/>
          <w:szCs w:val="20"/>
          <w:lang w:eastAsia="pt-BR"/>
        </w:rPr>
        <w:t>  </w:t>
      </w:r>
    </w:p>
    <w:p>
      <w:pPr>
        <w:spacing w:before="60"/>
        <w:ind w:left="30"/>
        <w:jc w:val="both"/>
        <w:rPr>
          <w:rFonts w:ascii="Calibri" w:hAnsi="Calibri" w:eastAsia="Times New Roman" w:cs="Calibri"/>
          <w:sz w:val="20"/>
          <w:szCs w:val="20"/>
          <w:lang w:eastAsia="pt-BR"/>
        </w:rPr>
      </w:pPr>
      <w:r>
        <w:rPr>
          <w:rFonts w:ascii="Calibri" w:hAnsi="Calibri" w:eastAsia="Times New Roman" w:cs="Calibri"/>
          <w:b/>
          <w:bCs/>
          <w:sz w:val="20"/>
          <w:szCs w:val="20"/>
          <w:lang w:eastAsia="pt-BR"/>
        </w:rPr>
        <w:t>Referente à NOTA DE EMPENHO n° _________</w:t>
      </w:r>
    </w:p>
    <w:p>
      <w:pPr>
        <w:spacing w:before="60"/>
        <w:ind w:left="30"/>
        <w:jc w:val="both"/>
        <w:rPr>
          <w:rFonts w:ascii="Calibri" w:hAnsi="Calibri" w:eastAsia="Times New Roman" w:cs="Calibri"/>
          <w:sz w:val="20"/>
          <w:szCs w:val="20"/>
          <w:lang w:eastAsia="pt-BR"/>
        </w:rPr>
      </w:pPr>
      <w:r>
        <w:rPr>
          <w:rFonts w:ascii="Calibri" w:hAnsi="Calibri" w:eastAsia="Times New Roman" w:cs="Calibri"/>
          <w:sz w:val="20"/>
          <w:szCs w:val="20"/>
          <w:lang w:eastAsia="pt-BR"/>
        </w:rPr>
        <w:t> </w:t>
      </w:r>
    </w:p>
    <w:p>
      <w:pPr>
        <w:spacing w:before="60"/>
        <w:ind w:left="30"/>
        <w:jc w:val="both"/>
        <w:rPr>
          <w:rFonts w:ascii="Calibri" w:hAnsi="Calibri" w:eastAsia="Times New Roman" w:cs="Calibri"/>
          <w:sz w:val="20"/>
          <w:szCs w:val="20"/>
          <w:lang w:eastAsia="pt-BR"/>
        </w:rPr>
      </w:pPr>
      <w:r>
        <w:rPr>
          <w:rFonts w:ascii="Calibri" w:hAnsi="Calibri" w:eastAsia="Times New Roman" w:cs="Calibri"/>
          <w:b/>
          <w:bCs/>
          <w:sz w:val="20"/>
          <w:szCs w:val="20"/>
          <w:lang w:eastAsia="pt-BR"/>
        </w:rPr>
        <w:t>OBJETO:</w:t>
      </w:r>
    </w:p>
    <w:tbl>
      <w:tblPr>
        <w:tblStyle w:val="3"/>
        <w:tblW w:w="9420" w:type="dxa"/>
        <w:tblInd w:w="0" w:type="dxa"/>
        <w:tblLayout w:type="fixed"/>
        <w:tblCellMar>
          <w:top w:w="15" w:type="dxa"/>
          <w:left w:w="15" w:type="dxa"/>
          <w:bottom w:w="15" w:type="dxa"/>
          <w:right w:w="15" w:type="dxa"/>
        </w:tblCellMar>
      </w:tblPr>
      <w:tblGrid>
        <w:gridCol w:w="945"/>
        <w:gridCol w:w="3300"/>
        <w:gridCol w:w="1920"/>
        <w:gridCol w:w="3255"/>
      </w:tblGrid>
      <w:tr>
        <w:tblPrEx>
          <w:tblCellMar>
            <w:top w:w="15" w:type="dxa"/>
            <w:left w:w="15" w:type="dxa"/>
            <w:bottom w:w="15" w:type="dxa"/>
            <w:right w:w="15" w:type="dxa"/>
          </w:tblCellMar>
        </w:tblPrEx>
        <w:trPr>
          <w:trHeight w:val="705" w:hRule="atLeast"/>
        </w:trPr>
        <w:tc>
          <w:tcPr>
            <w:tcW w:w="945" w:type="dxa"/>
            <w:tcBorders>
              <w:top w:val="single" w:color="000000" w:sz="6" w:space="0"/>
              <w:left w:val="single" w:color="000000" w:sz="6" w:space="0"/>
              <w:bottom w:val="single" w:color="000000" w:sz="6" w:space="0"/>
              <w:right w:val="single" w:color="000000" w:sz="6" w:space="0"/>
            </w:tcBorders>
            <w:shd w:val="clear" w:color="auto" w:fill="D5DCE4"/>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b/>
                <w:bCs/>
                <w:sz w:val="20"/>
                <w:szCs w:val="20"/>
                <w:lang w:eastAsia="pt-BR"/>
              </w:rPr>
              <w:t>Item</w:t>
            </w:r>
          </w:p>
        </w:tc>
        <w:tc>
          <w:tcPr>
            <w:tcW w:w="3300" w:type="dxa"/>
            <w:tcBorders>
              <w:top w:val="single" w:color="000000" w:sz="6" w:space="0"/>
              <w:left w:val="nil"/>
              <w:bottom w:val="single" w:color="000000" w:sz="6" w:space="0"/>
              <w:right w:val="single" w:color="000000" w:sz="6" w:space="0"/>
            </w:tcBorders>
            <w:shd w:val="clear" w:color="auto" w:fill="D5DCE4"/>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b/>
                <w:bCs/>
                <w:sz w:val="20"/>
                <w:szCs w:val="20"/>
                <w:lang w:eastAsia="pt-BR"/>
              </w:rPr>
              <w:t>Material</w:t>
            </w:r>
          </w:p>
        </w:tc>
        <w:tc>
          <w:tcPr>
            <w:tcW w:w="1920" w:type="dxa"/>
            <w:tcBorders>
              <w:top w:val="single" w:color="000000" w:sz="6" w:space="0"/>
              <w:left w:val="nil"/>
              <w:bottom w:val="single" w:color="000000" w:sz="6" w:space="0"/>
              <w:right w:val="single" w:color="000000" w:sz="6" w:space="0"/>
            </w:tcBorders>
            <w:shd w:val="clear" w:color="auto" w:fill="D5DCE4"/>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b/>
                <w:bCs/>
                <w:sz w:val="20"/>
                <w:szCs w:val="20"/>
                <w:lang w:eastAsia="pt-BR"/>
              </w:rPr>
              <w:t>CÓDIGO DO E-FISCO</w:t>
            </w:r>
          </w:p>
        </w:tc>
        <w:tc>
          <w:tcPr>
            <w:tcW w:w="3255" w:type="dxa"/>
            <w:tcBorders>
              <w:top w:val="single" w:color="000000" w:sz="6" w:space="0"/>
              <w:left w:val="nil"/>
              <w:bottom w:val="single" w:color="000000" w:sz="6" w:space="0"/>
              <w:right w:val="single" w:color="000000" w:sz="6" w:space="0"/>
            </w:tcBorders>
            <w:shd w:val="clear" w:color="auto" w:fill="D5DCE4"/>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b/>
                <w:bCs/>
                <w:sz w:val="20"/>
                <w:szCs w:val="20"/>
                <w:lang w:eastAsia="pt-BR"/>
              </w:rPr>
              <w:t>Quantidade</w:t>
            </w:r>
          </w:p>
          <w:p>
            <w:pPr>
              <w:jc w:val="center"/>
              <w:rPr>
                <w:rFonts w:ascii="Calibri" w:hAnsi="Calibri" w:eastAsia="Times New Roman" w:cs="Calibri"/>
                <w:sz w:val="20"/>
                <w:szCs w:val="20"/>
                <w:lang w:eastAsia="pt-BR"/>
              </w:rPr>
            </w:pPr>
            <w:r>
              <w:rPr>
                <w:rFonts w:ascii="Calibri" w:hAnsi="Calibri" w:eastAsia="Times New Roman" w:cs="Calibri"/>
                <w:b/>
                <w:bCs/>
                <w:sz w:val="20"/>
                <w:szCs w:val="20"/>
                <w:lang w:eastAsia="pt-BR"/>
              </w:rPr>
              <w:t>(Unidade de Fornecimento)</w:t>
            </w:r>
          </w:p>
        </w:tc>
      </w:tr>
      <w:tr>
        <w:tblPrEx>
          <w:tblCellMar>
            <w:top w:w="15" w:type="dxa"/>
            <w:left w:w="15" w:type="dxa"/>
            <w:bottom w:w="15" w:type="dxa"/>
            <w:right w:w="15" w:type="dxa"/>
          </w:tblCellMar>
        </w:tblPrEx>
        <w:trPr>
          <w:trHeight w:val="555" w:hRule="atLeast"/>
        </w:trPr>
        <w:tc>
          <w:tcPr>
            <w:tcW w:w="945" w:type="dxa"/>
            <w:tcBorders>
              <w:top w:val="nil"/>
              <w:left w:val="single" w:color="000000" w:sz="6" w:space="0"/>
              <w:bottom w:val="single" w:color="000000" w:sz="6" w:space="0"/>
              <w:right w:val="single" w:color="000000" w:sz="6" w:space="0"/>
            </w:tcBorders>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b/>
                <w:bCs/>
                <w:sz w:val="20"/>
                <w:szCs w:val="20"/>
                <w:lang w:eastAsia="pt-BR"/>
              </w:rPr>
              <w:t>01</w:t>
            </w:r>
          </w:p>
        </w:tc>
        <w:tc>
          <w:tcPr>
            <w:tcW w:w="3300" w:type="dxa"/>
            <w:tcBorders>
              <w:top w:val="nil"/>
              <w:left w:val="nil"/>
              <w:bottom w:val="single" w:color="000000" w:sz="6" w:space="0"/>
              <w:right w:val="single" w:color="000000" w:sz="6" w:space="0"/>
            </w:tcBorders>
            <w:tcMar>
              <w:top w:w="0" w:type="dxa"/>
              <w:left w:w="105" w:type="dxa"/>
              <w:bottom w:w="0" w:type="dxa"/>
              <w:right w:w="105" w:type="dxa"/>
            </w:tcMar>
            <w:vAlign w:val="center"/>
          </w:tcPr>
          <w:p>
            <w:pP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c>
          <w:tcPr>
            <w:tcW w:w="1920" w:type="dxa"/>
            <w:tcBorders>
              <w:top w:val="nil"/>
              <w:left w:val="nil"/>
              <w:bottom w:val="single" w:color="000000" w:sz="6" w:space="0"/>
              <w:right w:val="single" w:color="000000" w:sz="6" w:space="0"/>
            </w:tcBorders>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c>
          <w:tcPr>
            <w:tcW w:w="3255" w:type="dxa"/>
            <w:tcBorders>
              <w:top w:val="nil"/>
              <w:left w:val="nil"/>
              <w:bottom w:val="single" w:color="000000" w:sz="6" w:space="0"/>
              <w:right w:val="single" w:color="000000" w:sz="6" w:space="0"/>
            </w:tcBorders>
            <w:tcMar>
              <w:top w:w="0" w:type="dxa"/>
              <w:left w:w="105" w:type="dxa"/>
              <w:bottom w:w="0" w:type="dxa"/>
              <w:right w:w="105" w:type="dxa"/>
            </w:tcMar>
          </w:tcPr>
          <w:p>
            <w:pPr>
              <w:jc w:val="cente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r>
      <w:tr>
        <w:tblPrEx>
          <w:tblCellMar>
            <w:top w:w="15" w:type="dxa"/>
            <w:left w:w="15" w:type="dxa"/>
            <w:bottom w:w="15" w:type="dxa"/>
            <w:right w:w="15" w:type="dxa"/>
          </w:tblCellMar>
        </w:tblPrEx>
        <w:trPr>
          <w:trHeight w:val="285" w:hRule="atLeast"/>
        </w:trPr>
        <w:tc>
          <w:tcPr>
            <w:tcW w:w="945" w:type="dxa"/>
            <w:tcBorders>
              <w:top w:val="nil"/>
              <w:left w:val="single" w:color="000000" w:sz="6" w:space="0"/>
              <w:bottom w:val="nil"/>
              <w:right w:val="single" w:color="000000" w:sz="6" w:space="0"/>
            </w:tcBorders>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b/>
                <w:bCs/>
                <w:sz w:val="20"/>
                <w:szCs w:val="20"/>
                <w:lang w:eastAsia="pt-BR"/>
              </w:rPr>
              <w:t>02</w:t>
            </w:r>
          </w:p>
        </w:tc>
        <w:tc>
          <w:tcPr>
            <w:tcW w:w="3300" w:type="dxa"/>
            <w:tcBorders>
              <w:top w:val="nil"/>
              <w:left w:val="nil"/>
              <w:bottom w:val="nil"/>
              <w:right w:val="single" w:color="000000" w:sz="6" w:space="0"/>
            </w:tcBorders>
            <w:tcMar>
              <w:top w:w="0" w:type="dxa"/>
              <w:left w:w="105" w:type="dxa"/>
              <w:bottom w:w="0" w:type="dxa"/>
              <w:right w:w="105" w:type="dxa"/>
            </w:tcMar>
            <w:vAlign w:val="center"/>
          </w:tcPr>
          <w:p>
            <w:pP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c>
          <w:tcPr>
            <w:tcW w:w="1920" w:type="dxa"/>
            <w:tcBorders>
              <w:top w:val="nil"/>
              <w:left w:val="nil"/>
              <w:bottom w:val="nil"/>
              <w:right w:val="single" w:color="000000" w:sz="6" w:space="0"/>
            </w:tcBorders>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c>
          <w:tcPr>
            <w:tcW w:w="3255" w:type="dxa"/>
            <w:tcBorders>
              <w:top w:val="nil"/>
              <w:left w:val="nil"/>
              <w:bottom w:val="single" w:color="000000" w:sz="6" w:space="0"/>
              <w:right w:val="single" w:color="000000" w:sz="6" w:space="0"/>
            </w:tcBorders>
            <w:tcMar>
              <w:top w:w="0" w:type="dxa"/>
              <w:left w:w="105" w:type="dxa"/>
              <w:bottom w:w="0" w:type="dxa"/>
              <w:right w:w="105" w:type="dxa"/>
            </w:tcMar>
          </w:tcPr>
          <w:p>
            <w:pPr>
              <w:jc w:val="cente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r>
      <w:tr>
        <w:tblPrEx>
          <w:tblCellMar>
            <w:top w:w="15" w:type="dxa"/>
            <w:left w:w="15" w:type="dxa"/>
            <w:bottom w:w="15" w:type="dxa"/>
            <w:right w:w="15" w:type="dxa"/>
          </w:tblCellMar>
        </w:tblPrEx>
        <w:trPr>
          <w:trHeight w:val="285" w:hRule="atLeast"/>
        </w:trPr>
        <w:tc>
          <w:tcPr>
            <w:tcW w:w="945" w:type="dxa"/>
            <w:tcBorders>
              <w:top w:val="single" w:color="000000" w:sz="6" w:space="0"/>
              <w:left w:val="single" w:color="000000" w:sz="6" w:space="0"/>
              <w:bottom w:val="single" w:color="000000" w:sz="6" w:space="0"/>
              <w:right w:val="single" w:color="000000" w:sz="6" w:space="0"/>
            </w:tcBorders>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b/>
                <w:bCs/>
                <w:sz w:val="20"/>
                <w:szCs w:val="20"/>
                <w:lang w:eastAsia="pt-BR"/>
              </w:rPr>
              <w:t>03</w:t>
            </w:r>
          </w:p>
        </w:tc>
        <w:tc>
          <w:tcPr>
            <w:tcW w:w="3300" w:type="dxa"/>
            <w:tcBorders>
              <w:top w:val="single" w:color="000000" w:sz="6" w:space="0"/>
              <w:left w:val="nil"/>
              <w:bottom w:val="single" w:color="000000" w:sz="6" w:space="0"/>
              <w:right w:val="single" w:color="000000" w:sz="6" w:space="0"/>
            </w:tcBorders>
            <w:tcMar>
              <w:top w:w="0" w:type="dxa"/>
              <w:left w:w="105" w:type="dxa"/>
              <w:bottom w:w="0" w:type="dxa"/>
              <w:right w:w="105" w:type="dxa"/>
            </w:tcMar>
            <w:vAlign w:val="bottom"/>
          </w:tcPr>
          <w:p>
            <w:pP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c>
          <w:tcPr>
            <w:tcW w:w="1920" w:type="dxa"/>
            <w:tcBorders>
              <w:top w:val="single" w:color="000000" w:sz="6" w:space="0"/>
              <w:left w:val="nil"/>
              <w:bottom w:val="single" w:color="000000" w:sz="6" w:space="0"/>
              <w:right w:val="single" w:color="000000" w:sz="6" w:space="0"/>
            </w:tcBorders>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c>
          <w:tcPr>
            <w:tcW w:w="3255" w:type="dxa"/>
            <w:tcBorders>
              <w:top w:val="nil"/>
              <w:left w:val="nil"/>
              <w:bottom w:val="single" w:color="000000" w:sz="6" w:space="0"/>
              <w:right w:val="single" w:color="000000" w:sz="6" w:space="0"/>
            </w:tcBorders>
            <w:tcMar>
              <w:top w:w="0" w:type="dxa"/>
              <w:left w:w="105" w:type="dxa"/>
              <w:bottom w:w="0" w:type="dxa"/>
              <w:right w:w="105" w:type="dxa"/>
            </w:tcMar>
          </w:tcPr>
          <w:p>
            <w:pPr>
              <w:jc w:val="cente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r>
      <w:tr>
        <w:tblPrEx>
          <w:tblCellMar>
            <w:top w:w="15" w:type="dxa"/>
            <w:left w:w="15" w:type="dxa"/>
            <w:bottom w:w="15" w:type="dxa"/>
            <w:right w:w="15" w:type="dxa"/>
          </w:tblCellMar>
        </w:tblPrEx>
        <w:trPr>
          <w:trHeight w:val="285" w:hRule="atLeast"/>
        </w:trPr>
        <w:tc>
          <w:tcPr>
            <w:tcW w:w="945" w:type="dxa"/>
            <w:tcBorders>
              <w:top w:val="nil"/>
              <w:left w:val="single" w:color="000000" w:sz="6" w:space="0"/>
              <w:bottom w:val="single" w:color="000000" w:sz="6" w:space="0"/>
              <w:right w:val="single" w:color="000000" w:sz="6" w:space="0"/>
            </w:tcBorders>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b/>
                <w:bCs/>
                <w:sz w:val="20"/>
                <w:szCs w:val="20"/>
                <w:lang w:eastAsia="pt-BR"/>
              </w:rPr>
              <w:t>(...)</w:t>
            </w:r>
          </w:p>
        </w:tc>
        <w:tc>
          <w:tcPr>
            <w:tcW w:w="3300" w:type="dxa"/>
            <w:tcBorders>
              <w:top w:val="nil"/>
              <w:left w:val="nil"/>
              <w:bottom w:val="single" w:color="000000" w:sz="6" w:space="0"/>
              <w:right w:val="single" w:color="000000" w:sz="6" w:space="0"/>
            </w:tcBorders>
            <w:tcMar>
              <w:top w:w="0" w:type="dxa"/>
              <w:left w:w="105" w:type="dxa"/>
              <w:bottom w:w="0" w:type="dxa"/>
              <w:right w:w="105" w:type="dxa"/>
            </w:tcMar>
            <w:vAlign w:val="bottom"/>
          </w:tcPr>
          <w:p>
            <w:pP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c>
          <w:tcPr>
            <w:tcW w:w="1920" w:type="dxa"/>
            <w:tcBorders>
              <w:top w:val="nil"/>
              <w:left w:val="nil"/>
              <w:bottom w:val="single" w:color="000000" w:sz="6" w:space="0"/>
              <w:right w:val="single" w:color="000000" w:sz="6" w:space="0"/>
            </w:tcBorders>
            <w:tcMar>
              <w:top w:w="0" w:type="dxa"/>
              <w:left w:w="105" w:type="dxa"/>
              <w:bottom w:w="0" w:type="dxa"/>
              <w:right w:w="105" w:type="dxa"/>
            </w:tcMar>
            <w:vAlign w:val="center"/>
          </w:tcPr>
          <w:p>
            <w:pPr>
              <w:jc w:val="cente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c>
          <w:tcPr>
            <w:tcW w:w="3255" w:type="dxa"/>
            <w:tcBorders>
              <w:top w:val="nil"/>
              <w:left w:val="nil"/>
              <w:bottom w:val="single" w:color="000000" w:sz="6" w:space="0"/>
              <w:right w:val="single" w:color="000000" w:sz="6" w:space="0"/>
            </w:tcBorders>
            <w:tcMar>
              <w:top w:w="0" w:type="dxa"/>
              <w:left w:w="105" w:type="dxa"/>
              <w:bottom w:w="0" w:type="dxa"/>
              <w:right w:w="105" w:type="dxa"/>
            </w:tcMar>
          </w:tcPr>
          <w:p>
            <w:pPr>
              <w:jc w:val="center"/>
              <w:rPr>
                <w:rFonts w:ascii="Calibri" w:hAnsi="Calibri" w:eastAsia="Times New Roman" w:cs="Calibri"/>
                <w:sz w:val="20"/>
                <w:szCs w:val="20"/>
                <w:lang w:eastAsia="pt-BR"/>
              </w:rPr>
            </w:pPr>
            <w:r>
              <w:rPr>
                <w:rFonts w:ascii="Calibri" w:hAnsi="Calibri" w:eastAsia="Times New Roman" w:cs="Calibri"/>
                <w:sz w:val="20"/>
                <w:szCs w:val="20"/>
                <w:lang w:eastAsia="pt-BR"/>
              </w:rPr>
              <w:t> </w:t>
            </w:r>
          </w:p>
        </w:tc>
      </w:tr>
    </w:tbl>
    <w:p>
      <w:pPr>
        <w:spacing w:before="60"/>
        <w:ind w:left="30"/>
        <w:jc w:val="both"/>
        <w:rPr>
          <w:rFonts w:ascii="Calibri" w:hAnsi="Calibri" w:eastAsia="Times New Roman" w:cs="Calibri"/>
          <w:sz w:val="20"/>
          <w:szCs w:val="20"/>
          <w:lang w:eastAsia="pt-BR"/>
        </w:rPr>
      </w:pPr>
      <w:r>
        <w:rPr>
          <w:rFonts w:ascii="Calibri" w:hAnsi="Calibri" w:eastAsia="Times New Roman" w:cs="Calibri"/>
          <w:sz w:val="20"/>
          <w:szCs w:val="20"/>
          <w:lang w:eastAsia="pt-BR"/>
        </w:rPr>
        <w:t> </w:t>
      </w:r>
    </w:p>
    <w:p>
      <w:pPr>
        <w:spacing w:before="60"/>
        <w:ind w:left="30"/>
        <w:jc w:val="both"/>
        <w:rPr>
          <w:rFonts w:ascii="Calibri" w:hAnsi="Calibri" w:eastAsia="Times New Roman" w:cs="Calibri"/>
          <w:sz w:val="20"/>
          <w:szCs w:val="20"/>
          <w:lang w:eastAsia="pt-BR"/>
        </w:rPr>
      </w:pPr>
      <w:r>
        <w:rPr>
          <w:rFonts w:ascii="Calibri" w:hAnsi="Calibri" w:eastAsia="Times New Roman" w:cs="Calibri"/>
          <w:b/>
          <w:bCs/>
          <w:sz w:val="20"/>
          <w:szCs w:val="20"/>
          <w:lang w:eastAsia="pt-BR"/>
        </w:rPr>
        <w:t>VALOR:</w:t>
      </w:r>
    </w:p>
    <w:p>
      <w:pPr>
        <w:spacing w:before="60"/>
        <w:ind w:left="30"/>
        <w:jc w:val="both"/>
        <w:rPr>
          <w:rFonts w:ascii="Calibri" w:hAnsi="Calibri" w:eastAsia="Times New Roman" w:cs="Calibri"/>
          <w:sz w:val="20"/>
          <w:szCs w:val="20"/>
          <w:lang w:eastAsia="pt-BR"/>
        </w:rPr>
      </w:pPr>
      <w:r>
        <w:rPr>
          <w:rFonts w:ascii="Calibri" w:hAnsi="Calibri" w:eastAsia="Times New Roman" w:cs="Calibri"/>
          <w:b/>
          <w:bCs/>
          <w:sz w:val="20"/>
          <w:szCs w:val="20"/>
          <w:lang w:eastAsia="pt-BR"/>
        </w:rPr>
        <w:t>PRAZO DE ENTREGA:</w:t>
      </w:r>
    </w:p>
    <w:p>
      <w:pPr>
        <w:spacing w:before="60"/>
        <w:ind w:left="30"/>
        <w:jc w:val="both"/>
        <w:rPr>
          <w:rFonts w:ascii="Calibri" w:hAnsi="Calibri" w:eastAsia="Times New Roman" w:cs="Calibri"/>
          <w:sz w:val="20"/>
          <w:szCs w:val="20"/>
          <w:lang w:eastAsia="pt-BR"/>
        </w:rPr>
      </w:pPr>
      <w:r>
        <w:rPr>
          <w:rFonts w:ascii="Calibri" w:hAnsi="Calibri" w:eastAsia="Times New Roman" w:cs="Calibri"/>
          <w:b/>
          <w:bCs/>
          <w:sz w:val="20"/>
          <w:szCs w:val="20"/>
          <w:lang w:eastAsia="pt-BR"/>
        </w:rPr>
        <w:t>LOCAL E HORÁRIO DE ENTREGA:</w:t>
      </w:r>
    </w:p>
    <w:p>
      <w:pPr>
        <w:spacing w:before="60"/>
        <w:ind w:left="30"/>
        <w:jc w:val="both"/>
        <w:rPr>
          <w:rFonts w:ascii="Calibri" w:hAnsi="Calibri" w:eastAsia="Times New Roman" w:cs="Calibri"/>
          <w:sz w:val="20"/>
          <w:szCs w:val="20"/>
          <w:lang w:eastAsia="pt-BR"/>
        </w:rPr>
      </w:pPr>
      <w:r>
        <w:rPr>
          <w:rFonts w:ascii="Calibri" w:hAnsi="Calibri" w:eastAsia="Times New Roman" w:cs="Calibri"/>
          <w:b/>
          <w:bCs/>
          <w:sz w:val="20"/>
          <w:szCs w:val="20"/>
          <w:lang w:eastAsia="pt-BR"/>
        </w:rPr>
        <w:t>SERVIDOR DESIGNADO PARA RECEBIMENTO:</w:t>
      </w:r>
    </w:p>
    <w:p>
      <w:pPr>
        <w:spacing w:before="60"/>
        <w:ind w:left="30"/>
        <w:jc w:val="both"/>
        <w:rPr>
          <w:rFonts w:ascii="Calibri" w:hAnsi="Calibri" w:eastAsia="Times New Roman" w:cs="Calibri"/>
          <w:sz w:val="20"/>
          <w:szCs w:val="20"/>
          <w:lang w:eastAsia="pt-BR"/>
        </w:rPr>
      </w:pPr>
      <w:r>
        <w:rPr>
          <w:rFonts w:ascii="Calibri" w:hAnsi="Calibri" w:eastAsia="Times New Roman" w:cs="Calibri"/>
          <w:sz w:val="20"/>
          <w:szCs w:val="20"/>
          <w:lang w:eastAsia="pt-BR"/>
        </w:rPr>
        <w:t> </w:t>
      </w:r>
    </w:p>
    <w:p>
      <w:pPr>
        <w:jc w:val="both"/>
        <w:rPr>
          <w:rFonts w:ascii="Calibri" w:hAnsi="Calibri" w:eastAsia="Times New Roman" w:cs="Calibri"/>
          <w:sz w:val="20"/>
          <w:szCs w:val="20"/>
          <w:lang w:eastAsia="pt-BR"/>
        </w:rPr>
      </w:pPr>
      <w:r>
        <w:rPr>
          <w:rFonts w:ascii="Calibri" w:hAnsi="Calibri" w:eastAsia="Times New Roman" w:cs="Calibri"/>
          <w:sz w:val="20"/>
          <w:szCs w:val="20"/>
          <w:lang w:eastAsia="pt-BR"/>
        </w:rPr>
        <w:t>Os bens deverão ser entregues em conformidade com as especificações técnicas e demais condições exigidas no Termo de Referência.</w:t>
      </w:r>
    </w:p>
    <w:p>
      <w:pPr>
        <w:jc w:val="both"/>
        <w:rPr>
          <w:rFonts w:ascii="Calibri" w:hAnsi="Calibri" w:eastAsia="Times New Roman" w:cs="Calibri"/>
          <w:sz w:val="20"/>
          <w:szCs w:val="20"/>
          <w:lang w:eastAsia="pt-BR"/>
        </w:rPr>
      </w:pPr>
      <w:r>
        <w:rPr>
          <w:rFonts w:ascii="Calibri" w:hAnsi="Calibri" w:eastAsia="Times New Roman" w:cs="Calibri"/>
          <w:sz w:val="20"/>
          <w:szCs w:val="20"/>
          <w:lang w:eastAsia="pt-BR"/>
        </w:rPr>
        <w:t xml:space="preserve">Integram este instrumento o Edital de Pregão Eletrônico n.º </w:t>
      </w:r>
      <w:r>
        <w:rPr>
          <w:rFonts w:hint="default" w:ascii="Calibri" w:hAnsi="Calibri"/>
          <w:b/>
          <w:bCs/>
          <w:sz w:val="20"/>
          <w:szCs w:val="20"/>
        </w:rPr>
        <w:t>PE.0240.SAD.DASIS</w:t>
      </w:r>
      <w:r>
        <w:rPr>
          <w:rFonts w:ascii="Calibri" w:hAnsi="Calibri" w:eastAsia="Times New Roman" w:cs="Calibri"/>
          <w:sz w:val="20"/>
          <w:szCs w:val="20"/>
          <w:lang w:eastAsia="pt-BR"/>
        </w:rPr>
        <w:t xml:space="preserve"> e seus Anexos, bem como a Proposta apresentada na licitação, independentemente de transcrição.</w:t>
      </w:r>
    </w:p>
    <w:p>
      <w:pPr>
        <w:jc w:val="both"/>
        <w:rPr>
          <w:rFonts w:ascii="Calibri" w:hAnsi="Calibri" w:eastAsia="Times New Roman" w:cs="Calibri"/>
          <w:sz w:val="20"/>
          <w:szCs w:val="20"/>
          <w:lang w:eastAsia="pt-BR"/>
        </w:rPr>
      </w:pP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PRIMEIRO:</w:t>
      </w:r>
      <w:r>
        <w:rPr>
          <w:rFonts w:asciiTheme="minorHAnsi" w:hAnsiTheme="minorHAnsi" w:eastAsiaTheme="minorEastAsia" w:cstheme="minorEastAsia"/>
          <w:color w:val="auto"/>
          <w:sz w:val="20"/>
          <w:szCs w:val="20"/>
        </w:rPr>
        <w:t> Comete infração administrativa, nos termos da Lei nº 14.133, de 2021,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que:</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w:t>
      </w:r>
      <w:r>
        <w:rPr>
          <w:rFonts w:asciiTheme="minorHAnsi" w:hAnsiTheme="minorHAnsi" w:eastAsiaTheme="minorEastAsia" w:cstheme="minorEastAsia"/>
          <w:color w:val="auto"/>
          <w:sz w:val="20"/>
          <w:szCs w:val="20"/>
        </w:rPr>
        <w:t> der causa à inexecução parcial da </w:t>
      </w:r>
      <w:r>
        <w:rPr>
          <w:rFonts w:asciiTheme="minorHAnsi" w:hAnsiTheme="minorHAnsi" w:eastAsiaTheme="minorEastAsia" w:cstheme="minorEastAsia"/>
          <w:b/>
          <w:bCs/>
          <w:color w:val="auto"/>
          <w:sz w:val="20"/>
          <w:szCs w:val="20"/>
        </w:rPr>
        <w:t>CONTRATAÇÃO, </w:t>
      </w:r>
      <w:r>
        <w:rPr>
          <w:rFonts w:asciiTheme="minorHAnsi" w:hAnsiTheme="minorHAnsi" w:eastAsiaTheme="minorEastAsia" w:cstheme="minorEastAsia"/>
          <w:color w:val="auto"/>
          <w:sz w:val="20"/>
          <w:szCs w:val="20"/>
        </w:rPr>
        <w:t>deixando de cumprir as obrigações assumidas no presente instrumento;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b)</w:t>
      </w:r>
      <w:r>
        <w:rPr>
          <w:rFonts w:asciiTheme="minorHAnsi" w:hAnsiTheme="minorHAnsi" w:eastAsiaTheme="minorEastAsia" w:cstheme="minorEastAsia"/>
          <w:color w:val="auto"/>
          <w:sz w:val="20"/>
          <w:szCs w:val="20"/>
        </w:rPr>
        <w:t> der causa à inexecução parcial da </w:t>
      </w:r>
      <w:r>
        <w:rPr>
          <w:rFonts w:asciiTheme="minorHAnsi" w:hAnsiTheme="minorHAnsi" w:eastAsiaTheme="minorEastAsia" w:cstheme="minorEastAsia"/>
          <w:b/>
          <w:bCs/>
          <w:color w:val="auto"/>
          <w:sz w:val="20"/>
          <w:szCs w:val="20"/>
        </w:rPr>
        <w:t>CONTRATAÇÃO</w:t>
      </w:r>
      <w:r>
        <w:rPr>
          <w:rFonts w:asciiTheme="minorHAnsi" w:hAnsiTheme="minorHAnsi" w:eastAsiaTheme="minorEastAsia" w:cstheme="minorEastAsia"/>
          <w:color w:val="auto"/>
          <w:sz w:val="20"/>
          <w:szCs w:val="20"/>
        </w:rPr>
        <w:t> que cause grave dano à Administração ou ao funcionamento dos serviços públicos ou ao interesse coletivo;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c)</w:t>
      </w:r>
      <w:r>
        <w:rPr>
          <w:rFonts w:asciiTheme="minorHAnsi" w:hAnsiTheme="minorHAnsi" w:eastAsiaTheme="minorEastAsia" w:cstheme="minorEastAsia"/>
          <w:color w:val="auto"/>
          <w:sz w:val="20"/>
          <w:szCs w:val="20"/>
        </w:rPr>
        <w:t> der causa à inexecução total da </w:t>
      </w:r>
      <w:r>
        <w:rPr>
          <w:rFonts w:asciiTheme="minorHAnsi" w:hAnsiTheme="minorHAnsi" w:eastAsiaTheme="minorEastAsia" w:cstheme="minorEastAsia"/>
          <w:b/>
          <w:bCs/>
          <w:color w:val="auto"/>
          <w:sz w:val="20"/>
          <w:szCs w:val="20"/>
        </w:rPr>
        <w:t>CONTRATAÇÂO</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w:t>
      </w:r>
      <w:r>
        <w:rPr>
          <w:rFonts w:asciiTheme="minorHAnsi" w:hAnsiTheme="minorHAnsi" w:eastAsiaTheme="minorEastAsia" w:cstheme="minorEastAsia"/>
          <w:color w:val="auto"/>
          <w:sz w:val="20"/>
          <w:szCs w:val="20"/>
        </w:rPr>
        <w:t> ensejar o retardamento da execução ou da entrega do objeto da contratação sem motivo justificado;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w:t>
      </w:r>
      <w:r>
        <w:rPr>
          <w:rFonts w:asciiTheme="minorHAnsi" w:hAnsiTheme="minorHAnsi" w:eastAsiaTheme="minorEastAsia" w:cstheme="minorEastAsia"/>
          <w:color w:val="auto"/>
          <w:sz w:val="20"/>
          <w:szCs w:val="20"/>
        </w:rPr>
        <w:t> apresentar documentação falsa ou prestar declaração falsa durante a execução da </w:t>
      </w:r>
      <w:r>
        <w:rPr>
          <w:rFonts w:asciiTheme="minorHAnsi" w:hAnsiTheme="minorHAnsi" w:eastAsiaTheme="minorEastAsia" w:cstheme="minorEastAsia"/>
          <w:b/>
          <w:bCs/>
          <w:color w:val="auto"/>
          <w:sz w:val="20"/>
          <w:szCs w:val="20"/>
        </w:rPr>
        <w:t>CONTRATAÇÂO</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f)</w:t>
      </w:r>
      <w:r>
        <w:rPr>
          <w:rFonts w:asciiTheme="minorHAnsi" w:hAnsiTheme="minorHAnsi" w:eastAsiaTheme="minorEastAsia" w:cstheme="minorEastAsia"/>
          <w:color w:val="auto"/>
          <w:sz w:val="20"/>
          <w:szCs w:val="20"/>
        </w:rPr>
        <w:t> praticar ato fraudulento na execução da </w:t>
      </w:r>
      <w:r>
        <w:rPr>
          <w:rFonts w:asciiTheme="minorHAnsi" w:hAnsiTheme="minorHAnsi" w:eastAsiaTheme="minorEastAsia" w:cstheme="minorEastAsia"/>
          <w:b/>
          <w:bCs/>
          <w:color w:val="auto"/>
          <w:sz w:val="20"/>
          <w:szCs w:val="20"/>
        </w:rPr>
        <w:t>CONTRATAÇÃO</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g)</w:t>
      </w:r>
      <w:r>
        <w:rPr>
          <w:rFonts w:asciiTheme="minorHAnsi" w:hAnsiTheme="minorHAnsi" w:eastAsiaTheme="minorEastAsia" w:cstheme="minorEastAsia"/>
          <w:color w:val="auto"/>
          <w:sz w:val="20"/>
          <w:szCs w:val="20"/>
        </w:rPr>
        <w:t> comportar-se de modo inidôneo ou cometer fraude de qualquer natureza;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h)</w:t>
      </w:r>
      <w:r>
        <w:rPr>
          <w:rFonts w:asciiTheme="minorHAnsi" w:hAnsiTheme="minorHAnsi" w:eastAsiaTheme="minorEastAsia" w:cstheme="minorEastAsia"/>
          <w:color w:val="auto"/>
          <w:sz w:val="20"/>
          <w:szCs w:val="20"/>
        </w:rPr>
        <w:t> praticar ato lesivo previsto no art. 5º da Lei nº 12.846, de 1º de agosto de 2013;</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SEGUNDO:</w:t>
      </w:r>
      <w:r>
        <w:rPr>
          <w:rFonts w:asciiTheme="minorHAnsi" w:hAnsiTheme="minorHAnsi" w:eastAsiaTheme="minorEastAsia" w:cstheme="minorEastAsia"/>
          <w:color w:val="auto"/>
          <w:sz w:val="20"/>
          <w:szCs w:val="20"/>
        </w:rPr>
        <w:t> Será aplicável a sanção de advertência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deveres instrumentais ou der causa à inexecução parcial do contrato que não acarrete dano à Administração e que não justifique a imposição de penalidade mais grave, em especial pelo descumprimento das obrigações previstas nos subitens </w:t>
      </w:r>
      <w:r>
        <w:rPr>
          <w:rStyle w:val="4"/>
          <w:rFonts w:asciiTheme="minorHAnsi" w:hAnsiTheme="minorHAnsi" w:eastAsiaTheme="minorEastAsia" w:cstheme="minorEastAsia"/>
          <w:color w:val="auto"/>
          <w:sz w:val="20"/>
          <w:szCs w:val="20"/>
        </w:rPr>
        <w:t>7.4.9., 7.4.10., 7.4.11., 7.4.12. e 7.4.13.,</w:t>
      </w:r>
      <w:r>
        <w:rPr>
          <w:rFonts w:asciiTheme="minorHAnsi" w:hAnsiTheme="minorHAnsi" w:eastAsiaTheme="minorEastAsia" w:cstheme="minorEastAsia"/>
          <w:color w:val="auto"/>
          <w:sz w:val="20"/>
          <w:szCs w:val="20"/>
        </w:rPr>
        <w:t> do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TERCEIRO:</w:t>
      </w:r>
      <w:r>
        <w:rPr>
          <w:rFonts w:asciiTheme="minorHAnsi" w:hAnsiTheme="minorHAnsi" w:eastAsiaTheme="minorEastAsia" w:cstheme="minorEastAsia"/>
          <w:color w:val="auto"/>
          <w:sz w:val="20"/>
          <w:szCs w:val="20"/>
        </w:rPr>
        <w:t> Será aplicada multa moratória em razão do atraso no cumprimento das obrigações previstas nesta </w:t>
      </w:r>
      <w:r>
        <w:rPr>
          <w:rFonts w:asciiTheme="minorHAnsi" w:hAnsiTheme="minorHAnsi" w:eastAsiaTheme="minorEastAsia" w:cstheme="minorEastAsia"/>
          <w:b/>
          <w:bCs/>
          <w:color w:val="auto"/>
          <w:sz w:val="20"/>
          <w:szCs w:val="20"/>
        </w:rPr>
        <w:t>CONTRATAÇÃO</w:t>
      </w:r>
      <w:r>
        <w:rPr>
          <w:rFonts w:asciiTheme="minorHAnsi" w:hAnsiTheme="minorHAnsi" w:eastAsiaTheme="minorEastAsia" w:cstheme="minorEastAsia"/>
          <w:color w:val="auto"/>
          <w:sz w:val="20"/>
          <w:szCs w:val="20"/>
        </w:rPr>
        <w:t>, em especial as elencadas nos subitens</w:t>
      </w:r>
      <w:r>
        <w:rPr>
          <w:rStyle w:val="4"/>
          <w:rFonts w:asciiTheme="minorHAnsi" w:hAnsiTheme="minorHAnsi" w:eastAsiaTheme="minorEastAsia" w:cstheme="minorEastAsia"/>
          <w:color w:val="auto"/>
          <w:sz w:val="20"/>
          <w:szCs w:val="20"/>
        </w:rPr>
        <w:t> 7.4.3. e 7.4.4.</w:t>
      </w:r>
      <w:r>
        <w:rPr>
          <w:rFonts w:asciiTheme="minorHAnsi" w:hAnsiTheme="minorHAnsi" w:eastAsiaTheme="minorEastAsia" w:cstheme="minorEastAsia"/>
          <w:color w:val="auto"/>
          <w:sz w:val="20"/>
          <w:szCs w:val="20"/>
        </w:rPr>
        <w:t>, do Termo de Referência,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QUARTO:</w:t>
      </w:r>
      <w:r>
        <w:rPr>
          <w:rFonts w:asciiTheme="minorHAnsi" w:hAnsiTheme="minorHAnsi" w:eastAsiaTheme="minorEastAsia" w:cstheme="minorEastAsia"/>
          <w:color w:val="auto"/>
          <w:sz w:val="20"/>
          <w:szCs w:val="20"/>
        </w:rPr>
        <w:t>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QUINTO:</w:t>
      </w:r>
      <w:r>
        <w:rPr>
          <w:rFonts w:asciiTheme="minorHAnsi" w:hAnsiTheme="minorHAnsi" w:eastAsiaTheme="minorEastAsia" w:cstheme="minorEastAsia"/>
          <w:color w:val="auto"/>
          <w:sz w:val="20"/>
          <w:szCs w:val="20"/>
        </w:rPr>
        <w:t> A penalidade de multa compensatória será aplicada nos casos de descumprimento das obrigações contratuais pela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sempre que deles decorrer inexecução parcial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que cause grave dano à Administração, ao funcionamento dos serviços públicos ou ao interesse coletivo, bem como retardamento injustificado à execução ou entrega do objeto contratado, nos termos das alíneas “b” e “d”, respectivamente, do </w:t>
      </w:r>
      <w:r>
        <w:rPr>
          <w:rFonts w:asciiTheme="minorHAnsi" w:hAnsiTheme="minorHAnsi" w:eastAsiaTheme="minorEastAsia" w:cstheme="minorEastAsia"/>
          <w:b/>
          <w:bCs/>
          <w:color w:val="auto"/>
          <w:sz w:val="20"/>
          <w:szCs w:val="20"/>
        </w:rPr>
        <w:t>PARÁGRAFO PRIMEIRO</w:t>
      </w:r>
      <w:r>
        <w:rPr>
          <w:rFonts w:asciiTheme="minorHAnsi" w:hAnsiTheme="minorHAnsi" w:eastAsiaTheme="minorEastAsia" w:cstheme="minorEastAsia"/>
          <w:color w:val="auto"/>
          <w:sz w:val="20"/>
          <w:szCs w:val="20"/>
        </w:rPr>
        <w:t>, de acordo com as seguintes regras: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w:t>
      </w:r>
      <w:r>
        <w:rPr>
          <w:rFonts w:asciiTheme="minorHAnsi" w:hAnsiTheme="minorHAnsi" w:eastAsiaTheme="minorEastAsia" w:cstheme="minorEastAsia"/>
          <w:color w:val="auto"/>
          <w:sz w:val="20"/>
          <w:szCs w:val="20"/>
        </w:rPr>
        <w:t> 1% (um por cento) a 5% (cinco por cento) sobre do valor total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observado o valor mínimo de R$ 10.000,00 (dez mil reais) e o máximo de R$ 100.000,00 (cem mil reais), a ser aplicada a quem sofreu a penalidade de advertência e reincidiu pelo(s) mesmo(s) motivo(s);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II. </w:t>
      </w:r>
      <w:r>
        <w:rPr>
          <w:rFonts w:asciiTheme="minorHAnsi" w:hAnsiTheme="minorHAnsi" w:eastAsiaTheme="minorEastAsia" w:cstheme="minorEastAsia"/>
          <w:color w:val="auto"/>
          <w:sz w:val="20"/>
          <w:szCs w:val="20"/>
        </w:rPr>
        <w:t>10% (dez por cento) a 20% (vinte por cento), calculada sobre o valor da entrega/remessa inadimplida,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 obrigação prevista nos subitens </w:t>
      </w:r>
      <w:r>
        <w:rPr>
          <w:rStyle w:val="4"/>
          <w:rFonts w:asciiTheme="minorHAnsi" w:hAnsiTheme="minorHAnsi" w:eastAsiaTheme="minorEastAsia" w:cstheme="minorEastAsia"/>
          <w:color w:val="auto"/>
          <w:sz w:val="20"/>
          <w:szCs w:val="20"/>
        </w:rPr>
        <w:t>7.4.1. e 7.4.2</w:t>
      </w:r>
      <w:r>
        <w:rPr>
          <w:rFonts w:asciiTheme="minorHAnsi" w:hAnsiTheme="minorHAnsi" w:eastAsiaTheme="minorEastAsia" w:cstheme="minorEastAsia"/>
          <w:color w:val="auto"/>
          <w:sz w:val="20"/>
          <w:szCs w:val="20"/>
        </w:rPr>
        <w:t>. do Termo de Referência quando a situação não se enquadrar em obrigação contratual específica</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III</w:t>
      </w:r>
      <w:r>
        <w:rPr>
          <w:rFonts w:asciiTheme="minorHAnsi" w:hAnsiTheme="minorHAnsi" w:eastAsiaTheme="minorEastAsia" w:cstheme="minorEastAsia"/>
          <w:color w:val="auto"/>
          <w:sz w:val="20"/>
          <w:szCs w:val="20"/>
        </w:rPr>
        <w:t>.</w:t>
      </w:r>
      <w:r>
        <w:rPr>
          <w:rFonts w:asciiTheme="minorHAnsi" w:hAnsiTheme="minorHAnsi" w:eastAsiaTheme="minorEastAsia" w:cstheme="minorEastAsia"/>
          <w:b/>
          <w:bCs/>
          <w:color w:val="auto"/>
          <w:sz w:val="20"/>
          <w:szCs w:val="20"/>
        </w:rPr>
        <w:t> </w:t>
      </w:r>
      <w:r>
        <w:rPr>
          <w:rFonts w:asciiTheme="minorHAnsi" w:hAnsiTheme="minorHAnsi" w:eastAsiaTheme="minorEastAsia" w:cstheme="minorEastAsia"/>
          <w:color w:val="auto"/>
          <w:sz w:val="20"/>
          <w:szCs w:val="20"/>
        </w:rPr>
        <w:t>0,5% (cinco décimos por cento) a 2% (dois por cento), calculada sobre valor da entrega,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 obrigação prevista no subitem 7.4.5. do Termo de Referência</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IV.</w:t>
      </w:r>
      <w:r>
        <w:rPr>
          <w:rFonts w:asciiTheme="minorHAnsi" w:hAnsiTheme="minorHAnsi" w:eastAsiaTheme="minorEastAsia" w:cstheme="minorEastAsia"/>
          <w:color w:val="auto"/>
          <w:sz w:val="20"/>
          <w:szCs w:val="20"/>
        </w:rPr>
        <w:t> 5% (cinco por cento) a 10% (dez por cento), calculada sobre o valor da entrega</w:t>
      </w:r>
      <w:r>
        <w:rPr>
          <w:rFonts w:asciiTheme="minorHAnsi" w:hAnsiTheme="minorHAnsi" w:eastAsiaTheme="minorEastAsia" w:cstheme="minorEastAsia"/>
          <w:b/>
          <w:bCs/>
          <w:color w:val="auto"/>
          <w:sz w:val="20"/>
          <w:szCs w:val="20"/>
        </w:rPr>
        <w:t>,</w:t>
      </w:r>
      <w:r>
        <w:rPr>
          <w:rFonts w:asciiTheme="minorHAnsi" w:hAnsiTheme="minorHAnsi" w:eastAsiaTheme="minorEastAsia" w:cstheme="minorEastAsia"/>
          <w:color w:val="auto"/>
          <w:sz w:val="20"/>
          <w:szCs w:val="20"/>
        </w:rPr>
        <w:t> quando a </w:t>
      </w:r>
      <w:r>
        <w:rPr>
          <w:rFonts w:asciiTheme="minorHAnsi" w:hAnsiTheme="minorHAnsi" w:eastAsiaTheme="minorEastAsia" w:cstheme="minorEastAsia"/>
          <w:b/>
          <w:bCs/>
          <w:color w:val="auto"/>
          <w:sz w:val="20"/>
          <w:szCs w:val="20"/>
        </w:rPr>
        <w:t>CONTRATADA </w:t>
      </w:r>
      <w:r>
        <w:rPr>
          <w:rFonts w:asciiTheme="minorHAnsi" w:hAnsiTheme="minorHAnsi" w:eastAsiaTheme="minorEastAsia" w:cstheme="minorEastAsia"/>
          <w:color w:val="auto"/>
          <w:sz w:val="20"/>
          <w:szCs w:val="20"/>
        </w:rPr>
        <w:t>deixar de cumprir a obrigação prevista no subitem 7.4.7. do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w:t>
      </w:r>
      <w:r>
        <w:rPr>
          <w:rFonts w:asciiTheme="minorHAnsi" w:hAnsiTheme="minorHAnsi" w:eastAsiaTheme="minorEastAsia" w:cstheme="minorEastAsia"/>
          <w:color w:val="auto"/>
          <w:sz w:val="20"/>
          <w:szCs w:val="20"/>
        </w:rPr>
        <w:t> 5% (cinco por cento) a 10% (dez por cento), calculada sobre o valor da parcela transferida,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 obrigação prevista no subitem 7.4.8. do Termo de Referência;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VI.</w:t>
      </w:r>
      <w:r>
        <w:rPr>
          <w:rFonts w:asciiTheme="minorHAnsi" w:hAnsiTheme="minorHAnsi" w:eastAsiaTheme="minorEastAsia" w:cstheme="minorEastAsia"/>
          <w:color w:val="auto"/>
          <w:sz w:val="20"/>
          <w:szCs w:val="20"/>
        </w:rPr>
        <w:t> 0,5% (cinco décimos por cento) a 2% (dois por cento), calculada sobre o valor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 obrigação prevista no subitem 7.4.14. do Termo de Referência</w:t>
      </w:r>
      <w:r>
        <w:rPr>
          <w:rFonts w:asciiTheme="minorHAnsi" w:hAnsiTheme="minorHAnsi" w:eastAsiaTheme="minorEastAsia" w:cstheme="minorEastAsia"/>
          <w:b/>
          <w:bCs/>
          <w:color w:val="auto"/>
          <w:sz w:val="20"/>
          <w:szCs w:val="20"/>
        </w:rPr>
        <w:t> </w:t>
      </w:r>
      <w:r>
        <w:rPr>
          <w:rFonts w:asciiTheme="minorHAnsi" w:hAnsiTheme="minorHAnsi" w:eastAsiaTheme="minorEastAsia" w:cstheme="minorEastAsia"/>
          <w:color w:val="auto"/>
          <w:sz w:val="20"/>
          <w:szCs w:val="20"/>
        </w:rPr>
        <w:t>e não sanar a pendência no prazo estipulado</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VII. </w:t>
      </w:r>
      <w:r>
        <w:rPr>
          <w:rFonts w:asciiTheme="minorHAnsi" w:hAnsiTheme="minorHAnsi" w:eastAsiaTheme="minorEastAsia" w:cstheme="minorEastAsia"/>
          <w:color w:val="auto"/>
          <w:sz w:val="20"/>
          <w:szCs w:val="20"/>
        </w:rPr>
        <w:t>1% (um por cento) a 5% (cinco por cento), calculada sobre o valor mensal/parcela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a ser aplicada quando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descumprir as obrigações previstas no subitem 7.4.15. do Termo de Referência </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SEXTO: </w:t>
      </w:r>
      <w:r>
        <w:rPr>
          <w:rFonts w:asciiTheme="minorHAnsi" w:hAnsiTheme="minorHAnsi" w:eastAsiaTheme="minorEastAsia" w:cstheme="minorEastAsia"/>
          <w:color w:val="auto"/>
          <w:sz w:val="20"/>
          <w:szCs w:val="20"/>
        </w:rPr>
        <w:t>As sanções de multa previstas no </w:t>
      </w:r>
      <w:r>
        <w:rPr>
          <w:rFonts w:asciiTheme="minorHAnsi" w:hAnsiTheme="minorHAnsi" w:eastAsiaTheme="minorEastAsia" w:cstheme="minorEastAsia"/>
          <w:b/>
          <w:bCs/>
          <w:color w:val="auto"/>
          <w:sz w:val="20"/>
          <w:szCs w:val="20"/>
        </w:rPr>
        <w:t>PARÁGRAFO QUINTO</w:t>
      </w:r>
      <w:r>
        <w:rPr>
          <w:rFonts w:asciiTheme="minorHAnsi" w:hAnsiTheme="minorHAnsi" w:eastAsiaTheme="minorEastAsia" w:cstheme="minorEastAsia"/>
          <w:color w:val="auto"/>
          <w:sz w:val="20"/>
          <w:szCs w:val="20"/>
        </w:rPr>
        <w:t> poderão ser aplicadas cumulativamente com a penalidade de impedimento de licitar e contratar com a Administração Direta e Indireta do Estado de Pernambuco, pelo prazo de 06 (seis) a 18 (dezoito) meses.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SÉTIMO:</w:t>
      </w:r>
      <w:r>
        <w:rPr>
          <w:rFonts w:asciiTheme="minorHAnsi" w:hAnsiTheme="minorHAnsi" w:eastAsiaTheme="minorEastAsia" w:cstheme="minorEastAsia"/>
          <w:color w:val="auto"/>
          <w:sz w:val="20"/>
          <w:szCs w:val="20"/>
        </w:rPr>
        <w:t> Na hipótese de inexecução total do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prevista na alínea “c” do </w:t>
      </w:r>
      <w:r>
        <w:rPr>
          <w:rFonts w:asciiTheme="minorHAnsi" w:hAnsiTheme="minorHAnsi" w:eastAsiaTheme="minorEastAsia" w:cstheme="minorEastAsia"/>
          <w:b/>
          <w:bCs/>
          <w:color w:val="auto"/>
          <w:sz w:val="20"/>
          <w:szCs w:val="20"/>
        </w:rPr>
        <w:t>PARÁGRAFO PRIMEIRO</w:t>
      </w:r>
      <w:r>
        <w:rPr>
          <w:rFonts w:asciiTheme="minorHAnsi" w:hAnsiTheme="minorHAnsi" w:eastAsiaTheme="minorEastAsia" w:cstheme="minorEastAsia"/>
          <w:color w:val="auto"/>
          <w:sz w:val="20"/>
          <w:szCs w:val="20"/>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OITAVO: </w:t>
      </w:r>
      <w:r>
        <w:rPr>
          <w:rFonts w:asciiTheme="minorHAnsi" w:hAnsiTheme="minorHAnsi" w:eastAsiaTheme="minorEastAsia" w:cstheme="minorEastAsia"/>
          <w:color w:val="auto"/>
          <w:sz w:val="20"/>
          <w:szCs w:val="20"/>
        </w:rPr>
        <w:t>Quando do cometimento das infrações previstas nas alíneas “e”, “f”, “g” e “h” do </w:t>
      </w:r>
      <w:r>
        <w:rPr>
          <w:rFonts w:asciiTheme="minorHAnsi" w:hAnsiTheme="minorHAnsi" w:eastAsiaTheme="minorEastAsia" w:cstheme="minorEastAsia"/>
          <w:b/>
          <w:bCs/>
          <w:color w:val="auto"/>
          <w:sz w:val="20"/>
          <w:szCs w:val="20"/>
        </w:rPr>
        <w:t>PARÁGRAFO PRIMEIRO</w:t>
      </w:r>
      <w:r>
        <w:rPr>
          <w:rFonts w:asciiTheme="minorHAnsi" w:hAnsiTheme="minorHAnsi" w:eastAsiaTheme="minorEastAsia" w:cstheme="minorEastAsia"/>
          <w:color w:val="auto"/>
          <w:sz w:val="20"/>
          <w:szCs w:val="20"/>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NONO:</w:t>
      </w:r>
      <w:r>
        <w:rPr>
          <w:rFonts w:asciiTheme="minorHAnsi" w:hAnsiTheme="minorHAnsi" w:eastAsiaTheme="minorEastAsia" w:cstheme="minorEastAsia"/>
          <w:color w:val="auto"/>
          <w:sz w:val="20"/>
          <w:szCs w:val="20"/>
        </w:rPr>
        <w:t> A aplicação das sanções previstas neste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não exclui, em hipótese alguma, a obrigação de reparação integral do dano causado à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w:t>
      </w:r>
      <w:r>
        <w:rPr>
          <w:rFonts w:asciiTheme="minorHAnsi" w:hAnsiTheme="minorHAnsi" w:eastAsiaTheme="minorEastAsia" w:cstheme="minorEastAsia"/>
          <w:color w:val="auto"/>
          <w:sz w:val="20"/>
          <w:szCs w:val="20"/>
        </w:rPr>
        <w:t> O valor da multa aplicada e das indenizações cabíveis será objeto de compensação com os pagamentos eventualmente devidos pelo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decorrentes do mesmo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ou de outros contratos administrativos que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possua com 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PRIMEIRO: </w:t>
      </w:r>
      <w:r>
        <w:rPr>
          <w:rFonts w:asciiTheme="minorHAnsi" w:hAnsiTheme="minorHAnsi" w:eastAsiaTheme="minorEastAsia" w:cstheme="minorEastAsia"/>
          <w:color w:val="auto"/>
          <w:sz w:val="20"/>
          <w:szCs w:val="20"/>
        </w:rPr>
        <w:t>Se o valor da multa for superior ao dos pagamentos devidos pelo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a diferença será descontada da garantia contratual prestada, se houver, ou será cobrada administrativamente na forma prevista na Lei Estadual nº 13.178, de 2006.</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SEGUNDO:</w:t>
      </w:r>
      <w:r>
        <w:rPr>
          <w:rFonts w:asciiTheme="minorHAnsi" w:hAnsiTheme="minorHAnsi" w:eastAsiaTheme="minorEastAsia" w:cstheme="minorEastAsia"/>
          <w:color w:val="auto"/>
          <w:sz w:val="20"/>
          <w:szCs w:val="20"/>
        </w:rPr>
        <w:t> Não havendo o pagamento integral da multa em sede administrativa, a processo será encaminhado à Procuradoria Geral do Estado para inscrição em Dívida Ativa e cobrança.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TERCEIRO:</w:t>
      </w:r>
      <w:r>
        <w:rPr>
          <w:rFonts w:asciiTheme="minorHAnsi" w:hAnsiTheme="minorHAnsi" w:eastAsiaTheme="minorEastAsia" w:cstheme="minorEastAsia"/>
          <w:color w:val="auto"/>
          <w:sz w:val="20"/>
          <w:szCs w:val="20"/>
        </w:rPr>
        <w:t> A aplicação das sanções realizar-se-á em processo administrativo que assegure o contraditório e a ampla defesa à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observando-se o procedimento previsto no Decreto Estadual.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QUARTO: </w:t>
      </w:r>
      <w:r>
        <w:rPr>
          <w:rFonts w:asciiTheme="minorHAnsi" w:hAnsiTheme="minorHAnsi" w:eastAsiaTheme="minorEastAsia" w:cstheme="minorEastAsia"/>
          <w:color w:val="auto"/>
          <w:sz w:val="20"/>
          <w:szCs w:val="20"/>
        </w:rPr>
        <w:t>Na fixação das penalidades, dentro das faixas de multa estabelecidas neste Edital, bem como dos prazos previstos para as demais sanções deverão ser observadas: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a)</w:t>
      </w:r>
      <w:r>
        <w:rPr>
          <w:rFonts w:asciiTheme="minorHAnsi" w:hAnsiTheme="minorHAnsi" w:eastAsiaTheme="minorEastAsia" w:cstheme="minorEastAsia"/>
          <w:color w:val="auto"/>
          <w:sz w:val="20"/>
          <w:szCs w:val="20"/>
        </w:rPr>
        <w:t> a natureza e a gravidade da infração cometida;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b)</w:t>
      </w:r>
      <w:r>
        <w:rPr>
          <w:rFonts w:asciiTheme="minorHAnsi" w:hAnsiTheme="minorHAnsi" w:eastAsiaTheme="minorEastAsia" w:cstheme="minorEastAsia"/>
          <w:color w:val="auto"/>
          <w:sz w:val="20"/>
          <w:szCs w:val="20"/>
        </w:rPr>
        <w:t> as peculiaridades do caso concreto;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c)</w:t>
      </w:r>
      <w:r>
        <w:rPr>
          <w:rFonts w:asciiTheme="minorHAnsi" w:hAnsiTheme="minorHAnsi" w:eastAsiaTheme="minorEastAsia" w:cstheme="minorEastAsia"/>
          <w:color w:val="auto"/>
          <w:sz w:val="20"/>
          <w:szCs w:val="20"/>
        </w:rPr>
        <w:t> as circunstâncias agravantes ou atenuantes;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d)</w:t>
      </w:r>
      <w:r>
        <w:rPr>
          <w:rFonts w:asciiTheme="minorHAnsi" w:hAnsiTheme="minorHAnsi" w:eastAsiaTheme="minorEastAsia" w:cstheme="minorEastAsia"/>
          <w:color w:val="auto"/>
          <w:sz w:val="20"/>
          <w:szCs w:val="20"/>
        </w:rPr>
        <w:t> os danos que o cometimento da infração ocasionar ao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ao funcionamento dos serviços públicos, aos seus usuários ou ao interesse coletivo</w:t>
      </w:r>
      <w:r>
        <w:rPr>
          <w:rFonts w:asciiTheme="minorHAnsi" w:hAnsiTheme="minorHAnsi" w:eastAsiaTheme="minorEastAsia" w:cstheme="minorEastAsia"/>
          <w:b/>
          <w:bCs/>
          <w:color w:val="auto"/>
          <w:sz w:val="20"/>
          <w:szCs w:val="20"/>
        </w:rPr>
        <w:t>;</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e) </w:t>
      </w:r>
      <w:r>
        <w:rPr>
          <w:rFonts w:asciiTheme="minorHAnsi" w:hAnsiTheme="minorHAnsi" w:eastAsiaTheme="minorEastAsia" w:cstheme="minorEastAsia"/>
          <w:color w:val="auto"/>
          <w:sz w:val="20"/>
          <w:szCs w:val="20"/>
        </w:rPr>
        <w:t>a vantagem auferida em virtude da infração;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f)</w:t>
      </w:r>
      <w:r>
        <w:rPr>
          <w:rFonts w:asciiTheme="minorHAnsi" w:hAnsiTheme="minorHAnsi" w:eastAsiaTheme="minorEastAsia" w:cstheme="minorEastAsia"/>
          <w:color w:val="auto"/>
          <w:sz w:val="20"/>
          <w:szCs w:val="20"/>
        </w:rPr>
        <w:t> a implantação ou o aperfeiçoamento de programa de integridade, conforme normas e orientações dos órgãos de controle interno.</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QUINTO: </w:t>
      </w:r>
      <w:r>
        <w:rPr>
          <w:rFonts w:asciiTheme="minorHAnsi" w:hAnsiTheme="minorHAnsi" w:eastAsiaTheme="minorEastAsia" w:cstheme="minorEastAsia"/>
          <w:color w:val="auto"/>
          <w:sz w:val="20"/>
          <w:szCs w:val="20"/>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SEXTO: </w:t>
      </w:r>
      <w:r>
        <w:rPr>
          <w:rFonts w:asciiTheme="minorHAnsi" w:hAnsiTheme="minorHAnsi" w:eastAsiaTheme="minorEastAsia" w:cstheme="minorEastAsia"/>
          <w:color w:val="auto"/>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Federal nº 12.846, de 2013.</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SÉTIMO: </w:t>
      </w:r>
      <w:r>
        <w:rPr>
          <w:rFonts w:asciiTheme="minorHAnsi" w:hAnsiTheme="minorHAnsi" w:eastAsiaTheme="minorEastAsia" w:cstheme="minorEastAsia"/>
          <w:color w:val="auto"/>
          <w:sz w:val="20"/>
          <w:szCs w:val="20"/>
        </w:rPr>
        <w:t>A personalidade jurídica da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poderá ser desconsiderada sempre que utilizada com abuso do direito para facilitar, encobrir ou dissimular a prática dos atos ilícitos previstos neste </w:t>
      </w:r>
      <w:r>
        <w:rPr>
          <w:rFonts w:asciiTheme="minorHAnsi" w:hAnsiTheme="minorHAnsi" w:eastAsiaTheme="minorEastAsia" w:cstheme="minorEastAsia"/>
          <w:b/>
          <w:bCs/>
          <w:color w:val="auto"/>
          <w:sz w:val="20"/>
          <w:szCs w:val="20"/>
        </w:rPr>
        <w:t>CONTRATO</w:t>
      </w:r>
      <w:r>
        <w:rPr>
          <w:rFonts w:asciiTheme="minorHAnsi" w:hAnsiTheme="minorHAnsi" w:eastAsiaTheme="minorEastAsia" w:cstheme="minorEastAsia"/>
          <w:color w:val="auto"/>
          <w:sz w:val="20"/>
          <w:szCs w:val="20"/>
        </w:rPr>
        <w:t>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observados, em todos os casos, o contraditório, a ampla defesa e a obrigatoriedade de análise jurídica prévia.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b/>
          <w:bCs/>
          <w:color w:val="auto"/>
          <w:sz w:val="20"/>
          <w:szCs w:val="20"/>
        </w:rPr>
        <w:t>PARÁGRAFO DÉCIMO OITAVO: </w:t>
      </w:r>
      <w:r>
        <w:rPr>
          <w:rFonts w:asciiTheme="minorHAnsi" w:hAnsiTheme="minorHAnsi" w:eastAsiaTheme="minorEastAsia" w:cstheme="minorEastAsia"/>
          <w:color w:val="auto"/>
          <w:sz w:val="20"/>
          <w:szCs w:val="20"/>
        </w:rPr>
        <w:t>A </w:t>
      </w:r>
      <w:r>
        <w:rPr>
          <w:rFonts w:asciiTheme="minorHAnsi" w:hAnsiTheme="minorHAnsi" w:eastAsiaTheme="minorEastAsia" w:cstheme="minorEastAsia"/>
          <w:b/>
          <w:bCs/>
          <w:color w:val="auto"/>
          <w:sz w:val="20"/>
          <w:szCs w:val="20"/>
        </w:rPr>
        <w:t>CONTRATANTE</w:t>
      </w:r>
      <w:r>
        <w:rPr>
          <w:rFonts w:asciiTheme="minorHAnsi" w:hAnsiTheme="minorHAnsi" w:eastAsiaTheme="minorEastAsia" w:cstheme="minorEastAsia"/>
          <w:color w:val="auto"/>
          <w:sz w:val="20"/>
          <w:szCs w:val="20"/>
        </w:rPr>
        <w:t> deverá, no prazo máximo 05 (cinco) dias úteis contado da data da decisão definitiva de aplicação da sanção, comunicar à Secretaria de Administração a sanção aplicada, para fins de inclusão da </w:t>
      </w:r>
      <w:r>
        <w:rPr>
          <w:rFonts w:asciiTheme="minorHAnsi" w:hAnsiTheme="minorHAnsi" w:eastAsiaTheme="minorEastAsia" w:cstheme="minorEastAsia"/>
          <w:b/>
          <w:bCs/>
          <w:color w:val="auto"/>
          <w:sz w:val="20"/>
          <w:szCs w:val="20"/>
        </w:rPr>
        <w:t>CONTRATADA</w:t>
      </w:r>
      <w:r>
        <w:rPr>
          <w:rFonts w:asciiTheme="minorHAnsi" w:hAnsiTheme="minorHAnsi" w:eastAsiaTheme="minorEastAsia" w:cstheme="minorEastAsia"/>
          <w:color w:val="auto"/>
          <w:sz w:val="20"/>
          <w:szCs w:val="20"/>
        </w:rPr>
        <w:t> no CADFOR, no Cadastro Nacional de Empresas Inidôneas e Suspensas (Ceis) e no Cadastro Nacional de Empresas Punidas (Cnep), instituídos no âmbito do Poder Executivo Federal, observado o prazo máximo de 15 (quinze) dias úteis.</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Local, data.</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 </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Assinatura do servidor responsável</w:t>
      </w:r>
    </w:p>
    <w:p>
      <w:pPr>
        <w:pStyle w:val="14"/>
        <w:spacing w:before="120" w:beforeAutospacing="0" w:after="120"/>
        <w:ind w:left="120" w:right="120"/>
        <w:jc w:val="both"/>
        <w:rPr>
          <w:rFonts w:asciiTheme="minorHAnsi" w:hAnsiTheme="minorHAnsi" w:eastAsiaTheme="minorEastAsia" w:cstheme="minorEastAsia"/>
          <w:color w:val="auto"/>
          <w:sz w:val="20"/>
          <w:szCs w:val="20"/>
        </w:rPr>
      </w:pPr>
      <w:r>
        <w:rPr>
          <w:rFonts w:asciiTheme="minorHAnsi" w:hAnsiTheme="minorHAnsi" w:eastAsiaTheme="minorEastAsia" w:cstheme="minorEastAsia"/>
          <w:color w:val="auto"/>
          <w:sz w:val="20"/>
          <w:szCs w:val="20"/>
        </w:rPr>
        <w:t>Recife,data da assinatura eletrônica.</w:t>
      </w:r>
    </w:p>
    <w:p>
      <w:pPr>
        <w:widowControl w:val="0"/>
        <w:spacing w:before="360" w:after="120" w:line="360" w:lineRule="auto"/>
        <w:ind w:left="-1701" w:right="-1417"/>
        <w:jc w:val="both"/>
        <w:rPr>
          <w:rFonts w:ascii="Calibri" w:hAnsi="Calibri" w:cs="Calibri"/>
          <w:sz w:val="20"/>
          <w:szCs w:val="20"/>
        </w:rPr>
      </w:pPr>
    </w:p>
    <w:sectPr>
      <w:headerReference r:id="rId6" w:type="first"/>
      <w:footerReference r:id="rId8" w:type="first"/>
      <w:headerReference r:id="rId5" w:type="default"/>
      <w:footerReference r:id="rId7" w:type="default"/>
      <w:pgSz w:w="11906" w:h="16838"/>
      <w:pgMar w:top="2530" w:right="1085" w:bottom="1276" w:left="1221" w:header="610" w:footer="837" w:gutter="0"/>
      <w:cols w:space="720" w:num="1"/>
      <w:formProt w:val="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00000001" w:csb1="00000000"/>
  </w:font>
  <w:font w:name="Liberation Sans">
    <w:altName w:val="Arial"/>
    <w:panose1 w:val="00000000000000000000"/>
    <w:charset w:val="00"/>
    <w:family w:val="swiss"/>
    <w:pitch w:val="default"/>
    <w:sig w:usb0="00000000" w:usb1="00000000" w:usb2="00000021" w:usb3="00000000" w:csb0="000001BF" w:csb1="00000000"/>
  </w:font>
  <w:font w:name="Microsoft YaHei">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Liberation Serif">
    <w:altName w:val="Times New Roman"/>
    <w:panose1 w:val="00000000000000000000"/>
    <w:charset w:val="00"/>
    <w:family w:val="roman"/>
    <w:pitch w:val="default"/>
    <w:sig w:usb0="00000000" w:usb1="00000000" w:usb2="00000021" w:usb3="00000000" w:csb0="000001BF" w:csb1="00000000"/>
  </w:font>
  <w:font w:name="Mangal">
    <w:altName w:val="Segoe Print"/>
    <w:panose1 w:val="000004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Bahnschrift">
    <w:panose1 w:val="020B0502040204020203"/>
    <w:charset w:val="00"/>
    <w:family w:val="swiss"/>
    <w:pitch w:val="default"/>
    <w:sig w:usb0="A00002C7" w:usb1="00000002" w:usb2="00000000" w:usb3="00000000" w:csb0="2000019F" w:csb1="00000000"/>
  </w:font>
  <w:font w:name="Bookman Old Style">
    <w:altName w:val="Segoe Print"/>
    <w:panose1 w:val="02050604050505020204"/>
    <w:charset w:val="00"/>
    <w:family w:val="roman"/>
    <w:pitch w:val="default"/>
    <w:sig w:usb0="00000000" w:usb1="00000000" w:usb2="00000000" w:usb3="00000000" w:csb0="0000009F" w:csb1="00000000"/>
  </w:font>
  <w:font w:name="Segoe UI Light">
    <w:panose1 w:val="020B0502040204020203"/>
    <w:charset w:val="00"/>
    <w:family w:val="auto"/>
    <w:pitch w:val="default"/>
    <w:sig w:usb0="E4002EFF" w:usb1="C000E47F" w:usb2="00000009" w:usb3="00000000" w:csb0="200001FF" w:csb1="00000000"/>
  </w:font>
  <w:font w:name="TimesNewRomanPS-BoldMT">
    <w:altName w:val="Segoe Print"/>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rPr>
        <w:color w:val="33608E"/>
      </w:rPr>
    </w:pPr>
    <w:r>
      <w:rPr>
        <w:color w:val="33608E"/>
        <w:lang w:eastAsia="pt-BR"/>
      </w:rPr>
      <mc:AlternateContent>
        <mc:Choice Requires="wps">
          <w:drawing>
            <wp:anchor distT="0" distB="0" distL="0" distR="0" simplePos="0" relativeHeight="251662336" behindDoc="1" locked="0" layoutInCell="0" allowOverlap="1">
              <wp:simplePos x="0" y="0"/>
              <wp:positionH relativeFrom="margin">
                <wp:posOffset>-1085850</wp:posOffset>
              </wp:positionH>
              <wp:positionV relativeFrom="page">
                <wp:posOffset>10326370</wp:posOffset>
              </wp:positionV>
              <wp:extent cx="7574915" cy="364490"/>
              <wp:effectExtent l="0" t="0" r="0" b="2540"/>
              <wp:wrapNone/>
              <wp:docPr id="57" name="Retângulo 7"/>
              <wp:cNvGraphicFramePr/>
              <a:graphic xmlns:a="http://schemas.openxmlformats.org/drawingml/2006/main">
                <a:graphicData uri="http://schemas.microsoft.com/office/word/2010/wordprocessingShape">
                  <wps:wsp>
                    <wps:cNvSpPr/>
                    <wps:spPr>
                      <a:xfrm>
                        <a:off x="0" y="0"/>
                        <a:ext cx="7574400" cy="36396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sdt>
                          <w:sdtPr>
                            <w:rPr>
                              <w:rFonts w:ascii="Calibri" w:hAnsi="Calibri" w:cs="Calibri"/>
                              <w:sz w:val="16"/>
                              <w:szCs w:val="16"/>
                            </w:rPr>
                            <w:id w:val="1308919885"/>
                          </w:sdtPr>
                          <w:sdtEndPr>
                            <w:rPr>
                              <w:rFonts w:ascii="Calibri" w:hAnsi="Calibri" w:cs="Calibri"/>
                              <w:sz w:val="16"/>
                              <w:szCs w:val="16"/>
                            </w:rPr>
                          </w:sdtEndPr>
                          <w:sdtContent>
                            <w:p>
                              <w:pPr>
                                <w:pStyle w:val="39"/>
                                <w:spacing w:after="0"/>
                                <w:jc w:val="center"/>
                                <w:rPr>
                                  <w:rFonts w:ascii="Bahnschrift" w:hAnsi="Bahnschrift" w:cs="Arial"/>
                                  <w:b/>
                                  <w:bCs/>
                                  <w:color w:val="FFFFFF" w:themeColor="background1"/>
                                  <w:sz w:val="20"/>
                                  <w:szCs w:val="20"/>
                                  <w14:textFill>
                                    <w14:solidFill>
                                      <w14:schemeClr w14:val="bg1"/>
                                    </w14:solidFill>
                                  </w14:textFill>
                                </w:rPr>
                              </w:pPr>
                              <w:r>
                                <w:rPr>
                                  <w:rFonts w:ascii="Calibri" w:hAnsi="Calibri" w:cs="Calibri"/>
                                  <w:b/>
                                  <w:bCs/>
                                  <w:color w:val="FFFFFF" w:themeColor="background1"/>
                                  <w:sz w:val="16"/>
                                  <w:szCs w:val="16"/>
                                  <w14:textFill>
                                    <w14:solidFill>
                                      <w14:schemeClr w14:val="bg1"/>
                                    </w14:solidFill>
                                  </w14:textFill>
                                </w:rPr>
                                <w:t>ENDEREÇO: Av. Antônio de Góes, 194 - Pina, Recife - PE, 51010-000.</w:t>
                              </w:r>
                            </w:p>
                          </w:sdtContent>
                        </w:sdt>
                      </w:txbxContent>
                    </wps:txbx>
                    <wps:bodyPr anchor="ctr">
                      <a:noAutofit/>
                    </wps:bodyPr>
                  </wps:wsp>
                </a:graphicData>
              </a:graphic>
            </wp:anchor>
          </w:drawing>
        </mc:Choice>
        <mc:Fallback>
          <w:pict>
            <v:rect id="Retângulo 7" o:spid="_x0000_s1026" o:spt="1" style="position:absolute;left:0pt;margin-left:-85.5pt;margin-top:813.1pt;height:28.7pt;width:596.45pt;mso-position-horizontal-relative:margin;mso-position-vertical-relative:page;z-index:-251654144;v-text-anchor:middle;mso-width-relative:page;mso-height-relative:page;" fillcolor="#33608E" filled="t" stroked="f" coordsize="21600,21600" o:allowincell="f" o:gfxdata="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32r4J90AAAAPAQAADwAAAAAAAAABACAAAAAi&#10;AAAAZHJzL2Rvd25yZXYueG1sUEsBAhQAFAAAAAgAh07iQEU/gRjMAQAAlAMAAA4AAAAAAAAAAQAg&#10;AAAALAEAAGRycy9lMm9Eb2MueG1sUEsFBgAAAAAGAAYAWQEAAGoFAAAAAA==&#10;">
              <v:fill on="t" focussize="0,0"/>
              <v:stroke on="f" weight="1pt"/>
              <v:imagedata o:title=""/>
              <o:lock v:ext="edit" aspectratio="f"/>
              <v:textbox>
                <w:txbxContent>
                  <w:sdt>
                    <w:sdtPr>
                      <w:rPr>
                        <w:rFonts w:ascii="Calibri" w:hAnsi="Calibri" w:cs="Calibri"/>
                        <w:sz w:val="16"/>
                        <w:szCs w:val="16"/>
                      </w:rPr>
                      <w:id w:val="1308919885"/>
                    </w:sdtPr>
                    <w:sdtEndPr>
                      <w:rPr>
                        <w:rFonts w:ascii="Calibri" w:hAnsi="Calibri" w:cs="Calibri"/>
                        <w:sz w:val="16"/>
                        <w:szCs w:val="16"/>
                      </w:rPr>
                    </w:sdtEndPr>
                    <w:sdtContent>
                      <w:p>
                        <w:pPr>
                          <w:pStyle w:val="39"/>
                          <w:spacing w:after="0"/>
                          <w:jc w:val="center"/>
                          <w:rPr>
                            <w:rFonts w:ascii="Bahnschrift" w:hAnsi="Bahnschrift" w:cs="Arial"/>
                            <w:b/>
                            <w:bCs/>
                            <w:color w:val="FFFFFF" w:themeColor="background1"/>
                            <w:sz w:val="20"/>
                            <w:szCs w:val="20"/>
                            <w14:textFill>
                              <w14:solidFill>
                                <w14:schemeClr w14:val="bg1"/>
                              </w14:solidFill>
                            </w14:textFill>
                          </w:rPr>
                        </w:pPr>
                        <w:r>
                          <w:rPr>
                            <w:rFonts w:ascii="Calibri" w:hAnsi="Calibri" w:cs="Calibri"/>
                            <w:b/>
                            <w:bCs/>
                            <w:color w:val="FFFFFF" w:themeColor="background1"/>
                            <w:sz w:val="16"/>
                            <w:szCs w:val="16"/>
                            <w14:textFill>
                              <w14:solidFill>
                                <w14:schemeClr w14:val="bg1"/>
                              </w14:solidFill>
                            </w14:textFill>
                          </w:rPr>
                          <w:t>ENDEREÇO: Av. Antônio de Góes, 194 - Pina, Recife - PE, 51010-000.</w:t>
                        </w:r>
                      </w:p>
                    </w:sdtContent>
                  </w:sdt>
                </w:txbxContent>
              </v:textbox>
            </v:rect>
          </w:pict>
        </mc:Fallback>
      </mc:AlternateContent>
    </w:r>
    <w:r>
      <w:rPr>
        <w:color w:val="33608E"/>
      </w:rPr>
      <w:fldChar w:fldCharType="begin"/>
    </w:r>
    <w:r>
      <w:rPr>
        <w:color w:val="33608E"/>
      </w:rPr>
      <w:instrText xml:space="preserve">PAGE</w:instrText>
    </w:r>
    <w:r>
      <w:rPr>
        <w:color w:val="33608E"/>
      </w:rPr>
      <w:fldChar w:fldCharType="separate"/>
    </w:r>
    <w:r>
      <w:rPr>
        <w:color w:val="33608E"/>
      </w:rPr>
      <w:t>73</w:t>
    </w:r>
    <w:r>
      <w:rPr>
        <w:color w:val="33608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right" w:pos="9214"/>
        <w:tab w:val="clear" w:pos="8504"/>
      </w:tabs>
      <w:ind w:left="-3119" w:firstLine="1416"/>
      <w:jc w:val="right"/>
      <w:rPr>
        <w:color w:val="008D90"/>
      </w:rPr>
    </w:pPr>
    <w:r>
      <w:rPr>
        <w:color w:val="33608E"/>
        <w:lang w:eastAsia="pt-BR"/>
      </w:rPr>
      <mc:AlternateContent>
        <mc:Choice Requires="wps">
          <w:drawing>
            <wp:anchor distT="0" distB="0" distL="0" distR="0" simplePos="0" relativeHeight="251663360" behindDoc="1" locked="0" layoutInCell="0" allowOverlap="1">
              <wp:simplePos x="0" y="0"/>
              <wp:positionH relativeFrom="margin">
                <wp:posOffset>-1085850</wp:posOffset>
              </wp:positionH>
              <wp:positionV relativeFrom="page">
                <wp:posOffset>10329545</wp:posOffset>
              </wp:positionV>
              <wp:extent cx="7574915" cy="365125"/>
              <wp:effectExtent l="0" t="0" r="0" b="2540"/>
              <wp:wrapNone/>
              <wp:docPr id="59" name="Retângulo 7"/>
              <wp:cNvGraphicFramePr/>
              <a:graphic xmlns:a="http://schemas.openxmlformats.org/drawingml/2006/main">
                <a:graphicData uri="http://schemas.microsoft.com/office/word/2010/wordprocessingShape">
                  <wps:wsp>
                    <wps:cNvSpPr/>
                    <wps:spPr>
                      <a:xfrm>
                        <a:off x="0" y="0"/>
                        <a:ext cx="7574400" cy="364320"/>
                      </a:xfrm>
                      <a:prstGeom prst="rect">
                        <a:avLst/>
                      </a:prstGeom>
                      <a:solidFill>
                        <a:srgbClr val="33608E"/>
                      </a:solidFill>
                      <a:ln w="12600">
                        <a:noFill/>
                      </a:ln>
                    </wps:spPr>
                    <wps:style>
                      <a:lnRef idx="0">
                        <a:scrgbClr r="0" g="0" b="0"/>
                      </a:lnRef>
                      <a:fillRef idx="0">
                        <a:scrgbClr r="0" g="0" b="0"/>
                      </a:fillRef>
                      <a:effectRef idx="0">
                        <a:scrgbClr r="0" g="0" b="0"/>
                      </a:effectRef>
                      <a:fontRef idx="minor"/>
                    </wps:style>
                    <wps:txbx>
                      <w:txbxContent>
                        <w:sdt>
                          <w:sdtPr>
                            <w:id w:val="1288814198"/>
                          </w:sdtPr>
                          <w:sdtEndPr>
                            <w:rPr>
                              <w:rFonts w:ascii="Calibri" w:hAnsi="Calibri" w:cs="Calibri"/>
                              <w:sz w:val="16"/>
                              <w:szCs w:val="16"/>
                            </w:rPr>
                          </w:sdtEndPr>
                          <w:sdtContent>
                            <w:p>
                              <w:pPr>
                                <w:pStyle w:val="39"/>
                                <w:spacing w:after="0"/>
                                <w:jc w:val="center"/>
                                <w:rPr>
                                  <w:rFonts w:ascii="Calibri" w:hAnsi="Calibri" w:cs="Calibri"/>
                                  <w:b/>
                                  <w:bCs/>
                                  <w:color w:val="FFFFFF" w:themeColor="background1"/>
                                  <w:sz w:val="16"/>
                                  <w:szCs w:val="16"/>
                                  <w14:textFill>
                                    <w14:solidFill>
                                      <w14:schemeClr w14:val="bg1"/>
                                    </w14:solidFill>
                                  </w14:textFill>
                                </w:rPr>
                              </w:pPr>
                              <w:r>
                                <w:rPr>
                                  <w:rFonts w:ascii="Calibri" w:hAnsi="Calibri" w:cs="Calibri"/>
                                  <w:b/>
                                  <w:bCs/>
                                  <w:color w:val="FFFFFF" w:themeColor="background1"/>
                                  <w:sz w:val="16"/>
                                  <w:szCs w:val="16"/>
                                  <w14:textFill>
                                    <w14:solidFill>
                                      <w14:schemeClr w14:val="bg1"/>
                                    </w14:solidFill>
                                  </w14:textFill>
                                </w:rPr>
                                <w:t>ENDEREÇO: Av. Antônio de Góes, 194 - Pina, Recife - PE, 51010-000.</w:t>
                              </w:r>
                            </w:p>
                          </w:sdtContent>
                        </w:sdt>
                      </w:txbxContent>
                    </wps:txbx>
                    <wps:bodyPr anchor="ctr">
                      <a:noAutofit/>
                    </wps:bodyPr>
                  </wps:wsp>
                </a:graphicData>
              </a:graphic>
            </wp:anchor>
          </w:drawing>
        </mc:Choice>
        <mc:Fallback>
          <w:pict>
            <v:rect id="Retângulo 7" o:spid="_x0000_s1026" o:spt="1" style="position:absolute;left:0pt;margin-left:-85.5pt;margin-top:813.35pt;height:28.75pt;width:596.45pt;mso-position-horizontal-relative:margin;mso-position-vertical-relative:page;z-index:-251653120;v-text-anchor:middle;mso-width-relative:page;mso-height-relative:page;" fillcolor="#33608E" filled="t" stroked="f" coordsize="21600,21600" o:allowincell="f" o:gfxdata="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RSEehdoAAAAPAQAADwAAAAAAAAABACAAAAAiAAAA&#10;ZHJzL2Rvd25yZXYueG1sUEsBAhQAFAAAAAgAh07iQOK6L/vMAQAAlAMAAA4AAAAAAAAAAQAgAAAA&#10;KQEAAGRycy9lMm9Eb2MueG1sUEsFBgAAAAAGAAYAWQEAAGcFAAAAAA==&#10;">
              <v:fill on="t" focussize="0,0"/>
              <v:stroke on="f" weight="0.992125984251969pt"/>
              <v:imagedata o:title=""/>
              <o:lock v:ext="edit" aspectratio="f"/>
              <v:textbox>
                <w:txbxContent>
                  <w:sdt>
                    <w:sdtPr>
                      <w:id w:val="1288814198"/>
                    </w:sdtPr>
                    <w:sdtEndPr>
                      <w:rPr>
                        <w:rFonts w:ascii="Calibri" w:hAnsi="Calibri" w:cs="Calibri"/>
                        <w:sz w:val="16"/>
                        <w:szCs w:val="16"/>
                      </w:rPr>
                    </w:sdtEndPr>
                    <w:sdtContent>
                      <w:p>
                        <w:pPr>
                          <w:pStyle w:val="39"/>
                          <w:spacing w:after="0"/>
                          <w:jc w:val="center"/>
                          <w:rPr>
                            <w:rFonts w:ascii="Calibri" w:hAnsi="Calibri" w:cs="Calibri"/>
                            <w:b/>
                            <w:bCs/>
                            <w:color w:val="FFFFFF" w:themeColor="background1"/>
                            <w:sz w:val="16"/>
                            <w:szCs w:val="16"/>
                            <w14:textFill>
                              <w14:solidFill>
                                <w14:schemeClr w14:val="bg1"/>
                              </w14:solidFill>
                            </w14:textFill>
                          </w:rPr>
                        </w:pPr>
                        <w:r>
                          <w:rPr>
                            <w:rFonts w:ascii="Calibri" w:hAnsi="Calibri" w:cs="Calibri"/>
                            <w:b/>
                            <w:bCs/>
                            <w:color w:val="FFFFFF" w:themeColor="background1"/>
                            <w:sz w:val="16"/>
                            <w:szCs w:val="16"/>
                            <w14:textFill>
                              <w14:solidFill>
                                <w14:schemeClr w14:val="bg1"/>
                              </w14:solidFill>
                            </w14:textFill>
                          </w:rPr>
                          <w:t>ENDEREÇO: Av. Antônio de Góes, 194 - Pina, Recife - PE, 51010-000.</w:t>
                        </w:r>
                      </w:p>
                    </w:sdtContent>
                  </w:sdt>
                </w:txbxContent>
              </v:textbox>
            </v:rect>
          </w:pict>
        </mc:Fallback>
      </mc:AlternateContent>
    </w:r>
    <w:r>
      <w:rPr>
        <w:color w:val="33608E"/>
      </w:rPr>
      <w:fldChar w:fldCharType="begin"/>
    </w:r>
    <w:r>
      <w:rPr>
        <w:color w:val="33608E"/>
      </w:rPr>
      <w:instrText xml:space="preserve">PAGE</w:instrText>
    </w:r>
    <w:r>
      <w:rPr>
        <w:color w:val="33608E"/>
      </w:rPr>
      <w:fldChar w:fldCharType="separate"/>
    </w:r>
    <w:r>
      <w:rPr>
        <w:color w:val="33608E"/>
      </w:rPr>
      <w:t>1</w:t>
    </w:r>
    <w:r>
      <w:rPr>
        <w:color w:val="33608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before="240" w:after="240"/>
      <w:rPr>
        <w:color w:val="15B0B3"/>
        <w:sz w:val="28"/>
        <w:szCs w:val="28"/>
      </w:rPr>
    </w:pPr>
    <w:r>
      <w:rPr>
        <w:color w:val="15B0B3"/>
        <w:sz w:val="28"/>
        <w:szCs w:val="28"/>
        <w:lang w:eastAsia="pt-BR"/>
      </w:rPr>
      <mc:AlternateContent>
        <mc:Choice Requires="wps">
          <w:drawing>
            <wp:anchor distT="0" distB="0" distL="0" distR="0" simplePos="0" relativeHeight="251660288" behindDoc="1" locked="0" layoutInCell="0" allowOverlap="1">
              <wp:simplePos x="0" y="0"/>
              <wp:positionH relativeFrom="margin">
                <wp:posOffset>-1164590</wp:posOffset>
              </wp:positionH>
              <wp:positionV relativeFrom="page">
                <wp:posOffset>47625</wp:posOffset>
              </wp:positionV>
              <wp:extent cx="7137400" cy="1323340"/>
              <wp:effectExtent l="0" t="0" r="0" b="0"/>
              <wp:wrapNone/>
              <wp:docPr id="47" name="Retângulo 7"/>
              <wp:cNvGraphicFramePr/>
              <a:graphic xmlns:a="http://schemas.openxmlformats.org/drawingml/2006/main">
                <a:graphicData uri="http://schemas.microsoft.com/office/word/2010/wordprocessingShape">
                  <wps:wsp>
                    <wps:cNvSpPr/>
                    <wps:spPr>
                      <a:xfrm>
                        <a:off x="0" y="0"/>
                        <a:ext cx="7137400" cy="1323340"/>
                      </a:xfrm>
                      <a:prstGeom prst="rect">
                        <a:avLst/>
                      </a:prstGeom>
                      <a:noFill/>
                      <a:ln w="12700">
                        <a:noFill/>
                      </a:ln>
                    </wps:spPr>
                    <wps:style>
                      <a:lnRef idx="0">
                        <a:scrgbClr r="0" g="0" b="0"/>
                      </a:lnRef>
                      <a:fillRef idx="0">
                        <a:scrgbClr r="0" g="0" b="0"/>
                      </a:fillRef>
                      <a:effectRef idx="0">
                        <a:scrgbClr r="0" g="0" b="0"/>
                      </a:effectRef>
                      <a:fontRef idx="minor"/>
                    </wps:style>
                    <wps:txbx>
                      <w:txbxContent>
                        <w:p>
                          <w:pPr>
                            <w:pStyle w:val="37"/>
                            <w:widowControl w:val="0"/>
                            <w:snapToGrid w:val="0"/>
                            <w:jc w:val="center"/>
                          </w:pPr>
                          <w:r>
                            <w:rPr>
                              <w:rFonts w:ascii="Calibri" w:hAnsi="Calibri" w:cs="Calibri"/>
                              <w:b/>
                            </w:rPr>
                            <w:t>GOVERNO DO ESTADO DE PERNAMBUCO</w:t>
                          </w:r>
                        </w:p>
                        <w:p>
                          <w:pPr>
                            <w:keepNext/>
                            <w:spacing w:after="0" w:line="240" w:lineRule="auto"/>
                            <w:jc w:val="center"/>
                            <w:outlineLvl w:val="3"/>
                            <w:rPr>
                              <w:rFonts w:ascii="Calibri" w:hAnsi="Calibri" w:cs="Arial"/>
                              <w:sz w:val="18"/>
                              <w:szCs w:val="18"/>
                            </w:rPr>
                          </w:pPr>
                          <w:r>
                            <w:rPr>
                              <w:rFonts w:ascii="Calibri" w:hAnsi="Calibri" w:cs="Arial"/>
                              <w:sz w:val="18"/>
                            </w:rPr>
                            <w:t>SECRETARIA DE ADMINISTRAÇÃO</w:t>
                          </w:r>
                        </w:p>
                        <w:p>
                          <w:pPr>
                            <w:spacing w:after="0" w:line="240" w:lineRule="auto"/>
                            <w:jc w:val="center"/>
                            <w:rPr>
                              <w:rFonts w:ascii="Calibri" w:hAnsi="Calibri" w:eastAsia="Arial Unicode MS" w:cs="Arial"/>
                              <w:sz w:val="16"/>
                              <w:szCs w:val="16"/>
                            </w:rPr>
                          </w:pPr>
                          <w:r>
                            <w:rPr>
                              <w:rFonts w:ascii="Calibri" w:hAnsi="Calibri" w:eastAsia="Arial Unicode MS" w:cs="Arial"/>
                              <w:sz w:val="16"/>
                              <w:szCs w:val="16"/>
                            </w:rPr>
                            <w:t>Secretaria Executiva de Contratações Públicas do Estado</w:t>
                          </w:r>
                        </w:p>
                        <w:p>
                          <w:pPr>
                            <w:widowControl w:val="0"/>
                            <w:autoSpaceDE w:val="0"/>
                            <w:autoSpaceDN w:val="0"/>
                            <w:adjustRightInd w:val="0"/>
                            <w:spacing w:after="0" w:line="240" w:lineRule="auto"/>
                            <w:jc w:val="center"/>
                            <w:rPr>
                              <w:rFonts w:ascii="Calibri" w:hAnsi="Calibri" w:cs="Arial"/>
                              <w:sz w:val="16"/>
                              <w:szCs w:val="16"/>
                            </w:rPr>
                          </w:pPr>
                          <w:r>
                            <w:rPr>
                              <w:rFonts w:ascii="Calibri" w:hAnsi="Calibri" w:cs="Arial"/>
                              <w:sz w:val="16"/>
                              <w:szCs w:val="16"/>
                            </w:rPr>
                            <w:t>Gerência Geral da Central de Licitações do Estado</w:t>
                          </w:r>
                        </w:p>
                        <w:p>
                          <w:pPr>
                            <w:tabs>
                              <w:tab w:val="left" w:pos="1122"/>
                            </w:tabs>
                            <w:spacing w:after="0" w:line="240" w:lineRule="auto"/>
                            <w:jc w:val="center"/>
                            <w:rPr>
                              <w:rFonts w:ascii="Calibri" w:hAnsi="Calibri" w:eastAsia="Arial Unicode MS" w:cs="Arial"/>
                              <w:sz w:val="16"/>
                              <w:szCs w:val="16"/>
                            </w:rPr>
                          </w:pPr>
                          <w:r>
                            <w:rPr>
                              <w:rFonts w:ascii="Calibri" w:hAnsi="Calibri" w:eastAsia="Arial Unicode MS" w:cs="Arial"/>
                              <w:sz w:val="16"/>
                              <w:szCs w:val="16"/>
                            </w:rPr>
                            <w:t>Gerência de Licitações de Defesa Social</w:t>
                          </w:r>
                        </w:p>
                        <w:p>
                          <w:pPr>
                            <w:pStyle w:val="15"/>
                            <w:jc w:val="center"/>
                            <w:rPr>
                              <w:rFonts w:ascii="Calibri" w:hAnsi="Calibri" w:cs="Arial"/>
                              <w:sz w:val="16"/>
                              <w:szCs w:val="16"/>
                            </w:rPr>
                          </w:pPr>
                          <w:r>
                            <w:rPr>
                              <w:rFonts w:ascii="Calibri" w:hAnsi="Calibri" w:cs="Arial"/>
                              <w:sz w:val="16"/>
                              <w:szCs w:val="16"/>
                            </w:rPr>
                            <w:t>Pregoeira/AC 74</w:t>
                          </w:r>
                        </w:p>
                        <w:p>
                          <w:pPr>
                            <w:pStyle w:val="15"/>
                            <w:jc w:val="center"/>
                            <w:rPr>
                              <w:rFonts w:ascii="Calibri" w:hAnsi="Calibri" w:cs="Arial"/>
                              <w:sz w:val="18"/>
                              <w:szCs w:val="18"/>
                            </w:rPr>
                          </w:pPr>
                        </w:p>
                        <w:p/>
                      </w:txbxContent>
                    </wps:txbx>
                    <wps:bodyPr anchor="ctr">
                      <a:noAutofit/>
                    </wps:bodyPr>
                  </wps:wsp>
                </a:graphicData>
              </a:graphic>
            </wp:anchor>
          </w:drawing>
        </mc:Choice>
        <mc:Fallback>
          <w:pict>
            <v:rect id="Retângulo 7" o:spid="_x0000_s1026" o:spt="1" style="position:absolute;left:0pt;margin-left:-91.7pt;margin-top:3.75pt;height:104.2pt;width:562pt;mso-position-horizontal-relative:margin;mso-position-vertical-relative:page;z-index:-251656192;v-text-anchor:middle;mso-width-relative:page;mso-height-relative:page;" filled="f" stroked="f" coordsize="21600,21600" o:allowincell="f" o:gfxdata="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F5NXD7ZAAAACgEAAA8AAAAAAAAAAQAgAAAAIgAAAGRycy9kb3ducmV2LnhtbFBLAQIUABQAAAAI&#10;AIdO4kBGgehvswEAAGwDAAAOAAAAAAAAAAEAIAAAACgBAABkcnMvZTJvRG9jLnhtbFBLBQYAAAAA&#10;BgAGAFkBAABNBQAAAAA=&#10;">
              <v:fill on="f" focussize="0,0"/>
              <v:stroke on="f" weight="1pt"/>
              <v:imagedata o:title=""/>
              <o:lock v:ext="edit" aspectratio="f"/>
              <v:textbox>
                <w:txbxContent>
                  <w:p>
                    <w:pPr>
                      <w:pStyle w:val="37"/>
                      <w:widowControl w:val="0"/>
                      <w:snapToGrid w:val="0"/>
                      <w:jc w:val="center"/>
                    </w:pPr>
                    <w:r>
                      <w:rPr>
                        <w:rFonts w:ascii="Calibri" w:hAnsi="Calibri" w:cs="Calibri"/>
                        <w:b/>
                      </w:rPr>
                      <w:t>GOVERNO DO ESTADO DE PERNAMBUCO</w:t>
                    </w:r>
                  </w:p>
                  <w:p>
                    <w:pPr>
                      <w:keepNext/>
                      <w:spacing w:after="0" w:line="240" w:lineRule="auto"/>
                      <w:jc w:val="center"/>
                      <w:outlineLvl w:val="3"/>
                      <w:rPr>
                        <w:rFonts w:ascii="Calibri" w:hAnsi="Calibri" w:cs="Arial"/>
                        <w:sz w:val="18"/>
                        <w:szCs w:val="18"/>
                      </w:rPr>
                    </w:pPr>
                    <w:r>
                      <w:rPr>
                        <w:rFonts w:ascii="Calibri" w:hAnsi="Calibri" w:cs="Arial"/>
                        <w:sz w:val="18"/>
                      </w:rPr>
                      <w:t>SECRETARIA DE ADMINISTRAÇÃO</w:t>
                    </w:r>
                  </w:p>
                  <w:p>
                    <w:pPr>
                      <w:spacing w:after="0" w:line="240" w:lineRule="auto"/>
                      <w:jc w:val="center"/>
                      <w:rPr>
                        <w:rFonts w:ascii="Calibri" w:hAnsi="Calibri" w:eastAsia="Arial Unicode MS" w:cs="Arial"/>
                        <w:sz w:val="16"/>
                        <w:szCs w:val="16"/>
                      </w:rPr>
                    </w:pPr>
                    <w:r>
                      <w:rPr>
                        <w:rFonts w:ascii="Calibri" w:hAnsi="Calibri" w:eastAsia="Arial Unicode MS" w:cs="Arial"/>
                        <w:sz w:val="16"/>
                        <w:szCs w:val="16"/>
                      </w:rPr>
                      <w:t>Secretaria Executiva de Contratações Públicas do Estado</w:t>
                    </w:r>
                  </w:p>
                  <w:p>
                    <w:pPr>
                      <w:widowControl w:val="0"/>
                      <w:autoSpaceDE w:val="0"/>
                      <w:autoSpaceDN w:val="0"/>
                      <w:adjustRightInd w:val="0"/>
                      <w:spacing w:after="0" w:line="240" w:lineRule="auto"/>
                      <w:jc w:val="center"/>
                      <w:rPr>
                        <w:rFonts w:ascii="Calibri" w:hAnsi="Calibri" w:cs="Arial"/>
                        <w:sz w:val="16"/>
                        <w:szCs w:val="16"/>
                      </w:rPr>
                    </w:pPr>
                    <w:r>
                      <w:rPr>
                        <w:rFonts w:ascii="Calibri" w:hAnsi="Calibri" w:cs="Arial"/>
                        <w:sz w:val="16"/>
                        <w:szCs w:val="16"/>
                      </w:rPr>
                      <w:t>Gerência Geral da Central de Licitações do Estado</w:t>
                    </w:r>
                  </w:p>
                  <w:p>
                    <w:pPr>
                      <w:tabs>
                        <w:tab w:val="left" w:pos="1122"/>
                      </w:tabs>
                      <w:spacing w:after="0" w:line="240" w:lineRule="auto"/>
                      <w:jc w:val="center"/>
                      <w:rPr>
                        <w:rFonts w:ascii="Calibri" w:hAnsi="Calibri" w:eastAsia="Arial Unicode MS" w:cs="Arial"/>
                        <w:sz w:val="16"/>
                        <w:szCs w:val="16"/>
                      </w:rPr>
                    </w:pPr>
                    <w:r>
                      <w:rPr>
                        <w:rFonts w:ascii="Calibri" w:hAnsi="Calibri" w:eastAsia="Arial Unicode MS" w:cs="Arial"/>
                        <w:sz w:val="16"/>
                        <w:szCs w:val="16"/>
                      </w:rPr>
                      <w:t>Gerência de Licitações de Defesa Social</w:t>
                    </w:r>
                  </w:p>
                  <w:p>
                    <w:pPr>
                      <w:pStyle w:val="15"/>
                      <w:jc w:val="center"/>
                      <w:rPr>
                        <w:rFonts w:ascii="Calibri" w:hAnsi="Calibri" w:cs="Arial"/>
                        <w:sz w:val="16"/>
                        <w:szCs w:val="16"/>
                      </w:rPr>
                    </w:pPr>
                    <w:r>
                      <w:rPr>
                        <w:rFonts w:ascii="Calibri" w:hAnsi="Calibri" w:cs="Arial"/>
                        <w:sz w:val="16"/>
                        <w:szCs w:val="16"/>
                      </w:rPr>
                      <w:t>Pregoeira/AC 74</w:t>
                    </w:r>
                  </w:p>
                  <w:p>
                    <w:pPr>
                      <w:pStyle w:val="15"/>
                      <w:jc w:val="center"/>
                      <w:rPr>
                        <w:rFonts w:ascii="Calibri" w:hAnsi="Calibri" w:cs="Arial"/>
                        <w:sz w:val="18"/>
                        <w:szCs w:val="18"/>
                      </w:rPr>
                    </w:pPr>
                  </w:p>
                  <w:p/>
                </w:txbxContent>
              </v:textbox>
            </v:rect>
          </w:pict>
        </mc:Fallback>
      </mc:AlternateContent>
    </w:r>
    <w:r>
      <w:rPr>
        <w:color w:val="15B0B3"/>
        <w:sz w:val="28"/>
        <w:szCs w:val="28"/>
        <w:lang w:eastAsia="pt-BR"/>
      </w:rPr>
      <mc:AlternateContent>
        <mc:Choice Requires="wps">
          <w:drawing>
            <wp:anchor distT="45720" distB="45720" distL="114300" distR="114300" simplePos="0" relativeHeight="251661312" behindDoc="1" locked="0" layoutInCell="0" allowOverlap="1">
              <wp:simplePos x="0" y="0"/>
              <wp:positionH relativeFrom="column">
                <wp:posOffset>-720725</wp:posOffset>
              </wp:positionH>
              <wp:positionV relativeFrom="paragraph">
                <wp:posOffset>-434340</wp:posOffset>
              </wp:positionV>
              <wp:extent cx="1584960" cy="862965"/>
              <wp:effectExtent l="0" t="0" r="0" b="0"/>
              <wp:wrapSquare wrapText="bothSides"/>
              <wp:docPr id="49" name="Caixa de Texto 2"/>
              <wp:cNvGraphicFramePr/>
              <a:graphic xmlns:a="http://schemas.openxmlformats.org/drawingml/2006/main">
                <a:graphicData uri="http://schemas.microsoft.com/office/word/2010/wordprocessingShape">
                  <wps:wsp>
                    <wps:cNvSpPr/>
                    <wps:spPr>
                      <a:xfrm>
                        <a:off x="0" y="0"/>
                        <a:ext cx="1584960" cy="862965"/>
                      </a:xfrm>
                      <a:prstGeom prst="rect">
                        <a:avLst/>
                      </a:prstGeom>
                      <a:noFill/>
                      <a:ln w="9525">
                        <a:noFill/>
                      </a:ln>
                    </wps:spPr>
                    <wps:style>
                      <a:lnRef idx="0">
                        <a:scrgbClr r="0" g="0" b="0"/>
                      </a:lnRef>
                      <a:fillRef idx="0">
                        <a:scrgbClr r="0" g="0" b="0"/>
                      </a:fillRef>
                      <a:effectRef idx="0">
                        <a:scrgbClr r="0" g="0" b="0"/>
                      </a:effectRef>
                      <a:fontRef idx="minor"/>
                    </wps:style>
                    <wps:txbx>
                      <w:txbxContent>
                        <w:p>
                          <w:r>
                            <w:rPr>
                              <w:rFonts w:ascii="Arial" w:hAnsi="Arial" w:cs="Arial"/>
                              <w:lang w:eastAsia="pt-BR"/>
                            </w:rPr>
                            <w:drawing>
                              <wp:inline distT="0" distB="0" distL="114300" distR="114300">
                                <wp:extent cx="1430655" cy="637540"/>
                                <wp:effectExtent l="0" t="0" r="17145" b="10160"/>
                                <wp:docPr id="9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m 3"/>
                                        <pic:cNvPicPr>
                                          <a:picLocks noChangeAspect="1"/>
                                        </pic:cNvPicPr>
                                      </pic:nvPicPr>
                                      <pic:blipFill>
                                        <a:blip r:embed="rId1"/>
                                        <a:stretch>
                                          <a:fillRect/>
                                        </a:stretch>
                                      </pic:blipFill>
                                      <pic:spPr>
                                        <a:xfrm>
                                          <a:off x="0" y="0"/>
                                          <a:ext cx="1430655" cy="637540"/>
                                        </a:xfrm>
                                        <a:prstGeom prst="rect">
                                          <a:avLst/>
                                        </a:prstGeom>
                                        <a:noFill/>
                                        <a:ln>
                                          <a:noFill/>
                                        </a:ln>
                                      </pic:spPr>
                                    </pic:pic>
                                  </a:graphicData>
                                </a:graphic>
                              </wp:inline>
                            </w:drawing>
                          </w:r>
                        </w:p>
                      </w:txbxContent>
                    </wps:txbx>
                    <wps:bodyPr anchor="ctr">
                      <a:noAutofit/>
                    </wps:bodyPr>
                  </wps:wsp>
                </a:graphicData>
              </a:graphic>
            </wp:anchor>
          </w:drawing>
        </mc:Choice>
        <mc:Fallback>
          <w:pict>
            <v:rect id="Caixa de Texto 2" o:spid="_x0000_s1026" o:spt="1" style="position:absolute;left:0pt;margin-left:-56.75pt;margin-top:-34.2pt;height:67.95pt;width:124.8pt;mso-wrap-distance-bottom:3.6pt;mso-wrap-distance-left:9pt;mso-wrap-distance-right:9pt;mso-wrap-distance-top:3.6pt;z-index:-251655168;v-text-anchor:middle;mso-width-relative:page;mso-height-relative:page;" filled="f" stroked="f" coordsize="21600,21600" o:allowincell="f" o:gfxdata="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W54&#10;1gAAAAsBAAAPAAAAAAAAAAEAIAAAACIAAABkcnMvZG93bnJldi54bWxQSwECFAAUAAAACACHTuJA&#10;/BTyLLEBAABuAwAADgAAAAAAAAABACAAAAAlAQAAZHJzL2Uyb0RvYy54bWxQSwUGAAAAAAYABgBZ&#10;AQAASAUAAAAA&#10;">
              <v:fill on="f" focussize="0,0"/>
              <v:stroke on="f"/>
              <v:imagedata o:title=""/>
              <o:lock v:ext="edit" aspectratio="f"/>
              <v:textbox>
                <w:txbxContent>
                  <w:p>
                    <w:r>
                      <w:rPr>
                        <w:rFonts w:ascii="Arial" w:hAnsi="Arial" w:cs="Arial"/>
                        <w:lang w:eastAsia="pt-BR"/>
                      </w:rPr>
                      <w:drawing>
                        <wp:inline distT="0" distB="0" distL="114300" distR="114300">
                          <wp:extent cx="1430655" cy="637540"/>
                          <wp:effectExtent l="0" t="0" r="17145" b="10160"/>
                          <wp:docPr id="9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m 3"/>
                                  <pic:cNvPicPr>
                                    <a:picLocks noChangeAspect="1"/>
                                  </pic:cNvPicPr>
                                </pic:nvPicPr>
                                <pic:blipFill>
                                  <a:blip r:embed="rId1"/>
                                  <a:stretch>
                                    <a:fillRect/>
                                  </a:stretch>
                                </pic:blipFill>
                                <pic:spPr>
                                  <a:xfrm>
                                    <a:off x="0" y="0"/>
                                    <a:ext cx="1430655" cy="637540"/>
                                  </a:xfrm>
                                  <a:prstGeom prst="rect">
                                    <a:avLst/>
                                  </a:prstGeom>
                                  <a:noFill/>
                                  <a:ln>
                                    <a:noFill/>
                                  </a:ln>
                                </pic:spPr>
                              </pic:pic>
                            </a:graphicData>
                          </a:graphic>
                        </wp:inline>
                      </w:drawing>
                    </w:r>
                  </w:p>
                </w:txbxContent>
              </v:textbox>
              <w10:wrap type="squar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widowControl w:val="0"/>
      <w:snapToGrid w:val="0"/>
      <w:jc w:val="both"/>
    </w:pPr>
    <w:r>
      <w:rPr>
        <w:rFonts w:ascii="Arial" w:hAnsi="Arial" w:cs="Arial"/>
        <w:lang w:eastAsia="pt-BR"/>
      </w:rPr>
      <w:drawing>
        <wp:inline distT="0" distB="0" distL="114300" distR="114300">
          <wp:extent cx="1430655" cy="637540"/>
          <wp:effectExtent l="0" t="0" r="17145" b="10160"/>
          <wp:docPr id="9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m 3"/>
                  <pic:cNvPicPr>
                    <a:picLocks noChangeAspect="1"/>
                  </pic:cNvPicPr>
                </pic:nvPicPr>
                <pic:blipFill>
                  <a:blip r:embed="rId1"/>
                  <a:stretch>
                    <a:fillRect/>
                  </a:stretch>
                </pic:blipFill>
                <pic:spPr>
                  <a:xfrm>
                    <a:off x="0" y="0"/>
                    <a:ext cx="1430655" cy="637540"/>
                  </a:xfrm>
                  <a:prstGeom prst="rect">
                    <a:avLst/>
                  </a:prstGeom>
                  <a:noFill/>
                  <a:ln>
                    <a:noFill/>
                  </a:ln>
                </pic:spPr>
              </pic:pic>
            </a:graphicData>
          </a:graphic>
        </wp:inline>
      </w:drawing>
    </w:r>
    <w:r>
      <w:rPr>
        <w:rFonts w:ascii="Arial" w:hAnsi="Arial" w:cs="Arial"/>
        <w:lang w:val="en-US" w:eastAsia="pt-BR"/>
      </w:rPr>
      <w:t xml:space="preserve">               </w:t>
    </w:r>
    <w:r>
      <w:rPr>
        <w:rFonts w:ascii="Calibri" w:hAnsi="Calibri" w:cs="Calibri"/>
        <w:b/>
      </w:rPr>
      <w:t>GOVERNO DO ESTADO DE PERNAMBUCO</w:t>
    </w:r>
  </w:p>
  <w:p>
    <w:pPr>
      <w:keepNext/>
      <w:spacing w:after="0" w:line="240" w:lineRule="auto"/>
      <w:jc w:val="center"/>
      <w:outlineLvl w:val="3"/>
      <w:rPr>
        <w:rFonts w:ascii="Calibri" w:hAnsi="Calibri" w:cs="Arial"/>
        <w:sz w:val="18"/>
        <w:szCs w:val="18"/>
      </w:rPr>
    </w:pPr>
    <w:r>
      <w:rPr>
        <w:rFonts w:ascii="Calibri" w:hAnsi="Calibri" w:cs="Arial"/>
        <w:sz w:val="18"/>
      </w:rPr>
      <w:t>SECRETARIA DE ADMINISTRAÇÃO</w:t>
    </w:r>
  </w:p>
  <w:p>
    <w:pPr>
      <w:spacing w:after="0" w:line="240" w:lineRule="auto"/>
      <w:jc w:val="center"/>
      <w:rPr>
        <w:rFonts w:ascii="Calibri" w:hAnsi="Calibri" w:eastAsia="Arial Unicode MS" w:cs="Arial"/>
        <w:sz w:val="18"/>
      </w:rPr>
    </w:pPr>
    <w:r>
      <w:rPr>
        <w:rFonts w:ascii="Calibri" w:hAnsi="Calibri" w:eastAsia="Arial Unicode MS" w:cs="Arial"/>
        <w:sz w:val="18"/>
      </w:rPr>
      <w:t>Secretaria Executiva de Contratações Públicas do Estado</w:t>
    </w:r>
  </w:p>
  <w:p>
    <w:pPr>
      <w:widowControl w:val="0"/>
      <w:autoSpaceDE w:val="0"/>
      <w:autoSpaceDN w:val="0"/>
      <w:adjustRightInd w:val="0"/>
      <w:spacing w:after="0" w:line="240" w:lineRule="auto"/>
      <w:jc w:val="center"/>
      <w:rPr>
        <w:rFonts w:ascii="Calibri" w:hAnsi="Calibri" w:cs="Arial"/>
        <w:sz w:val="18"/>
      </w:rPr>
    </w:pPr>
    <w:r>
      <w:rPr>
        <w:rFonts w:ascii="Calibri" w:hAnsi="Calibri" w:cs="Arial"/>
        <w:sz w:val="18"/>
      </w:rPr>
      <w:t>Gerência Geral da Central de Licitações do Estado</w:t>
    </w:r>
  </w:p>
  <w:p>
    <w:pPr>
      <w:tabs>
        <w:tab w:val="left" w:pos="1122"/>
      </w:tabs>
      <w:spacing w:after="0" w:line="240" w:lineRule="auto"/>
      <w:jc w:val="center"/>
      <w:rPr>
        <w:rFonts w:ascii="Calibri" w:hAnsi="Calibri" w:eastAsia="Arial Unicode MS" w:cs="Arial"/>
        <w:sz w:val="18"/>
      </w:rPr>
    </w:pPr>
    <w:r>
      <w:rPr>
        <w:rFonts w:ascii="Calibri" w:hAnsi="Calibri" w:eastAsia="Arial Unicode MS" w:cs="Arial"/>
        <w:sz w:val="18"/>
      </w:rPr>
      <w:t>Gerência de Licitações de Defesa Social</w:t>
    </w:r>
  </w:p>
  <w:p>
    <w:pPr>
      <w:pStyle w:val="15"/>
      <w:jc w:val="center"/>
    </w:pPr>
    <w:r>
      <w:rPr>
        <w:rFonts w:ascii="Calibri" w:hAnsi="Calibri" w:cs="Arial"/>
        <w:sz w:val="18"/>
        <w:szCs w:val="18"/>
      </w:rPr>
      <w:t xml:space="preserve">Pregoeira – AC </w:t>
    </w:r>
    <w:r>
      <w:rPr>
        <w:lang w:eastAsia="pt-BR"/>
      </w:rPr>
      <mc:AlternateContent>
        <mc:Choice Requires="wps">
          <w:drawing>
            <wp:anchor distT="45720" distB="45720" distL="114300" distR="114300" simplePos="0" relativeHeight="251662336" behindDoc="1" locked="0" layoutInCell="0" allowOverlap="1">
              <wp:simplePos x="0" y="0"/>
              <wp:positionH relativeFrom="column">
                <wp:posOffset>-527685</wp:posOffset>
              </wp:positionH>
              <wp:positionV relativeFrom="paragraph">
                <wp:posOffset>-473075</wp:posOffset>
              </wp:positionV>
              <wp:extent cx="1823720" cy="828040"/>
              <wp:effectExtent l="0" t="0" r="0" b="0"/>
              <wp:wrapSquare wrapText="bothSides"/>
              <wp:docPr id="54" name="Caixa de Texto 2"/>
              <wp:cNvGraphicFramePr/>
              <a:graphic xmlns:a="http://schemas.openxmlformats.org/drawingml/2006/main">
                <a:graphicData uri="http://schemas.microsoft.com/office/word/2010/wordprocessingShape">
                  <wps:wsp>
                    <wps:cNvSpPr/>
                    <wps:spPr>
                      <a:xfrm>
                        <a:off x="0" y="0"/>
                        <a:ext cx="1823720" cy="828040"/>
                      </a:xfrm>
                      <a:prstGeom prst="rect">
                        <a:avLst/>
                      </a:prstGeom>
                      <a:noFill/>
                      <a:ln w="9525">
                        <a:noFill/>
                      </a:ln>
                    </wps:spPr>
                    <wps:style>
                      <a:lnRef idx="0">
                        <a:scrgbClr r="0" g="0" b="0"/>
                      </a:lnRef>
                      <a:fillRef idx="0">
                        <a:scrgbClr r="0" g="0" b="0"/>
                      </a:fillRef>
                      <a:effectRef idx="0">
                        <a:scrgbClr r="0" g="0" b="0"/>
                      </a:effectRef>
                      <a:fontRef idx="minor"/>
                    </wps:style>
                    <wps:txbx>
                      <w:txbxContent>
                        <w:p/>
                      </w:txbxContent>
                    </wps:txbx>
                    <wps:bodyPr anchor="ctr">
                      <a:noAutofit/>
                    </wps:bodyPr>
                  </wps:wsp>
                </a:graphicData>
              </a:graphic>
            </wp:anchor>
          </w:drawing>
        </mc:Choice>
        <mc:Fallback>
          <w:pict>
            <v:rect id="Caixa de Texto 2" o:spid="_x0000_s1026" o:spt="1" style="position:absolute;left:0pt;margin-left:-41.55pt;margin-top:-37.25pt;height:65.2pt;width:143.6pt;mso-wrap-distance-bottom:3.6pt;mso-wrap-distance-left:9pt;mso-wrap-distance-right:9pt;mso-wrap-distance-top:3.6pt;z-index:-251654144;v-text-anchor:middle;mso-width-relative:page;mso-height-relative:page;" filled="f" stroked="f" coordsize="21600,21600" o:allowincell="f" o:gfxdata="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Ws1YDV&#10;AAAACgEAAA8AAAAAAAAAAQAgAAAAIgAAAGRycy9kb3ducmV2LnhtbFBLAQIUABQAAAAIAIdO4kCq&#10;InZ+sQEAAG4DAAAOAAAAAAAAAAEAIAAAACQBAABkcnMvZTJvRG9jLnhtbFBLBQYAAAAABgAGAFkB&#10;AABHBQAAAAA=&#10;">
              <v:fill on="f" focussize="0,0"/>
              <v:stroke on="f"/>
              <v:imagedata o:title=""/>
              <o:lock v:ext="edit" aspectratio="f"/>
              <v:textbox>
                <w:txbxContent>
                  <w:p/>
                </w:txbxContent>
              </v:textbox>
              <w10:wrap type="square"/>
            </v:rect>
          </w:pict>
        </mc:Fallback>
      </mc:AlternateContent>
    </w:r>
    <w:r>
      <w:rPr>
        <w:rFonts w:ascii="Calibri" w:hAnsi="Calibri" w:cs="Arial"/>
        <w:sz w:val="18"/>
        <w:szCs w:val="18"/>
      </w:rPr>
      <w:t>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2D84F2"/>
    <w:multiLevelType w:val="multilevel"/>
    <w:tmpl w:val="852D84F2"/>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0CB8217E"/>
    <w:multiLevelType w:val="multilevel"/>
    <w:tmpl w:val="0CB8217E"/>
    <w:lvl w:ilvl="0" w:tentative="0">
      <w:start w:val="1"/>
      <w:numFmt w:val="lowerLetter"/>
      <w:lvlText w:val="%1)"/>
      <w:lvlJc w:val="left"/>
      <w:pPr>
        <w:ind w:left="1040" w:hanging="360"/>
      </w:pPr>
      <w:rPr>
        <w:rFonts w:hint="default"/>
        <w:b/>
        <w:bCs/>
      </w:rPr>
    </w:lvl>
    <w:lvl w:ilvl="1" w:tentative="0">
      <w:start w:val="1"/>
      <w:numFmt w:val="lowerLetter"/>
      <w:lvlText w:val="%2."/>
      <w:lvlJc w:val="left"/>
      <w:pPr>
        <w:ind w:left="1760" w:hanging="360"/>
      </w:pPr>
      <w:rPr>
        <w:rFonts w:hint="default"/>
        <w:b/>
        <w:bCs/>
      </w:rPr>
    </w:lvl>
    <w:lvl w:ilvl="2" w:tentative="0">
      <w:start w:val="1"/>
      <w:numFmt w:val="lowerRoman"/>
      <w:lvlText w:val="%3."/>
      <w:lvlJc w:val="right"/>
      <w:pPr>
        <w:ind w:left="2480" w:hanging="180"/>
      </w:pPr>
    </w:lvl>
    <w:lvl w:ilvl="3" w:tentative="0">
      <w:start w:val="1"/>
      <w:numFmt w:val="decimal"/>
      <w:lvlText w:val="%4."/>
      <w:lvlJc w:val="left"/>
      <w:pPr>
        <w:ind w:left="3200" w:hanging="360"/>
      </w:pPr>
    </w:lvl>
    <w:lvl w:ilvl="4" w:tentative="0">
      <w:start w:val="1"/>
      <w:numFmt w:val="lowerLetter"/>
      <w:lvlText w:val="%5."/>
      <w:lvlJc w:val="left"/>
      <w:pPr>
        <w:ind w:left="3920" w:hanging="360"/>
      </w:pPr>
    </w:lvl>
    <w:lvl w:ilvl="5" w:tentative="0">
      <w:start w:val="1"/>
      <w:numFmt w:val="lowerRoman"/>
      <w:lvlText w:val="%6."/>
      <w:lvlJc w:val="right"/>
      <w:pPr>
        <w:ind w:left="4640" w:hanging="180"/>
      </w:pPr>
    </w:lvl>
    <w:lvl w:ilvl="6" w:tentative="0">
      <w:start w:val="1"/>
      <w:numFmt w:val="decimal"/>
      <w:lvlText w:val="%7."/>
      <w:lvlJc w:val="left"/>
      <w:pPr>
        <w:ind w:left="5360" w:hanging="360"/>
      </w:pPr>
    </w:lvl>
    <w:lvl w:ilvl="7" w:tentative="0">
      <w:start w:val="1"/>
      <w:numFmt w:val="lowerLetter"/>
      <w:lvlText w:val="%8."/>
      <w:lvlJc w:val="left"/>
      <w:pPr>
        <w:ind w:left="6080" w:hanging="360"/>
      </w:pPr>
    </w:lvl>
    <w:lvl w:ilvl="8" w:tentative="0">
      <w:start w:val="1"/>
      <w:numFmt w:val="lowerRoman"/>
      <w:lvlText w:val="%9."/>
      <w:lvlJc w:val="right"/>
      <w:pPr>
        <w:ind w:left="6800" w:hanging="180"/>
      </w:pPr>
    </w:lvl>
  </w:abstractNum>
  <w:abstractNum w:abstractNumId="2">
    <w:nsid w:val="28F57626"/>
    <w:multiLevelType w:val="multilevel"/>
    <w:tmpl w:val="28F57626"/>
    <w:lvl w:ilvl="0" w:tentative="0">
      <w:start w:val="1"/>
      <w:numFmt w:val="lowerLetter"/>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F753296"/>
    <w:multiLevelType w:val="multilevel"/>
    <w:tmpl w:val="3F753296"/>
    <w:lvl w:ilvl="0" w:tentative="0">
      <w:start w:val="1"/>
      <w:numFmt w:val="lowerLetter"/>
      <w:lvlText w:val="%1)"/>
      <w:lvlJc w:val="left"/>
      <w:pPr>
        <w:tabs>
          <w:tab w:val="left" w:pos="0"/>
        </w:tabs>
        <w:ind w:left="1065" w:hanging="360"/>
      </w:pPr>
      <w:rPr>
        <w:rFonts w:hint="default" w:eastAsia="Bookman Old Style" w:cs="Bookman Old Style"/>
        <w:b/>
        <w:bCs/>
        <w:color w:val="000000"/>
      </w:rPr>
    </w:lvl>
    <w:lvl w:ilvl="1" w:tentative="0">
      <w:start w:val="1"/>
      <w:numFmt w:val="lowerLetter"/>
      <w:lvlText w:val="%2."/>
      <w:lvlJc w:val="left"/>
      <w:pPr>
        <w:tabs>
          <w:tab w:val="left" w:pos="0"/>
        </w:tabs>
        <w:ind w:left="1785" w:hanging="360"/>
      </w:pPr>
    </w:lvl>
    <w:lvl w:ilvl="2" w:tentative="0">
      <w:start w:val="1"/>
      <w:numFmt w:val="lowerRoman"/>
      <w:lvlText w:val="%3."/>
      <w:lvlJc w:val="right"/>
      <w:pPr>
        <w:tabs>
          <w:tab w:val="left" w:pos="0"/>
        </w:tabs>
        <w:ind w:left="2505" w:hanging="180"/>
      </w:pPr>
    </w:lvl>
    <w:lvl w:ilvl="3" w:tentative="0">
      <w:start w:val="1"/>
      <w:numFmt w:val="decimal"/>
      <w:lvlText w:val="%4."/>
      <w:lvlJc w:val="left"/>
      <w:pPr>
        <w:tabs>
          <w:tab w:val="left" w:pos="0"/>
        </w:tabs>
        <w:ind w:left="3225" w:hanging="360"/>
      </w:pPr>
    </w:lvl>
    <w:lvl w:ilvl="4" w:tentative="0">
      <w:start w:val="1"/>
      <w:numFmt w:val="lowerLetter"/>
      <w:lvlText w:val="%5."/>
      <w:lvlJc w:val="left"/>
      <w:pPr>
        <w:tabs>
          <w:tab w:val="left" w:pos="0"/>
        </w:tabs>
        <w:ind w:left="3945" w:hanging="360"/>
      </w:pPr>
    </w:lvl>
    <w:lvl w:ilvl="5" w:tentative="0">
      <w:start w:val="1"/>
      <w:numFmt w:val="lowerRoman"/>
      <w:lvlText w:val="%6."/>
      <w:lvlJc w:val="right"/>
      <w:pPr>
        <w:tabs>
          <w:tab w:val="left" w:pos="0"/>
        </w:tabs>
        <w:ind w:left="4665" w:hanging="180"/>
      </w:pPr>
    </w:lvl>
    <w:lvl w:ilvl="6" w:tentative="0">
      <w:start w:val="1"/>
      <w:numFmt w:val="decimal"/>
      <w:lvlText w:val="%7."/>
      <w:lvlJc w:val="left"/>
      <w:pPr>
        <w:tabs>
          <w:tab w:val="left" w:pos="0"/>
        </w:tabs>
        <w:ind w:left="5385" w:hanging="360"/>
      </w:pPr>
    </w:lvl>
    <w:lvl w:ilvl="7" w:tentative="0">
      <w:start w:val="1"/>
      <w:numFmt w:val="lowerLetter"/>
      <w:lvlText w:val="%8."/>
      <w:lvlJc w:val="left"/>
      <w:pPr>
        <w:tabs>
          <w:tab w:val="left" w:pos="0"/>
        </w:tabs>
        <w:ind w:left="6105" w:hanging="360"/>
      </w:pPr>
    </w:lvl>
    <w:lvl w:ilvl="8" w:tentative="0">
      <w:start w:val="1"/>
      <w:numFmt w:val="lowerRoman"/>
      <w:lvlText w:val="%9."/>
      <w:lvlJc w:val="right"/>
      <w:pPr>
        <w:tabs>
          <w:tab w:val="left" w:pos="0"/>
        </w:tabs>
        <w:ind w:left="6825" w:hanging="180"/>
      </w:pPr>
    </w:lvl>
  </w:abstractNum>
  <w:abstractNum w:abstractNumId="4">
    <w:nsid w:val="40E1883C"/>
    <w:multiLevelType w:val="multilevel"/>
    <w:tmpl w:val="40E1883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Calibri" w:hAnsi="Calibri" w:cs="Calibri"/>
        <w:b/>
        <w:bCs/>
        <w:sz w:val="20"/>
        <w:szCs w:val="2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5">
    <w:nsid w:val="52C22B52"/>
    <w:multiLevelType w:val="multilevel"/>
    <w:tmpl w:val="52C22B52"/>
    <w:lvl w:ilvl="0" w:tentative="0">
      <w:start w:val="1"/>
      <w:numFmt w:val="decimal"/>
      <w:pStyle w:val="59"/>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6512A34"/>
    <w:multiLevelType w:val="multilevel"/>
    <w:tmpl w:val="56512A34"/>
    <w:lvl w:ilvl="0" w:tentative="0">
      <w:start w:val="1"/>
      <w:numFmt w:val="lowerLetter"/>
      <w:lvlText w:val="%1)"/>
      <w:lvlJc w:val="left"/>
      <w:pPr>
        <w:tabs>
          <w:tab w:val="left" w:pos="420"/>
        </w:tabs>
        <w:ind w:left="1140" w:hanging="360"/>
      </w:pPr>
      <w:rPr>
        <w:rFonts w:hint="default"/>
        <w:b/>
        <w:bCs/>
      </w:rPr>
    </w:lvl>
    <w:lvl w:ilvl="1" w:tentative="0">
      <w:start w:val="1"/>
      <w:numFmt w:val="lowerLetter"/>
      <w:lvlText w:val="%2."/>
      <w:lvlJc w:val="left"/>
      <w:pPr>
        <w:tabs>
          <w:tab w:val="left" w:pos="420"/>
        </w:tabs>
        <w:ind w:left="1860" w:hanging="360"/>
      </w:pPr>
    </w:lvl>
    <w:lvl w:ilvl="2" w:tentative="0">
      <w:start w:val="1"/>
      <w:numFmt w:val="lowerRoman"/>
      <w:lvlText w:val="%3."/>
      <w:lvlJc w:val="right"/>
      <w:pPr>
        <w:tabs>
          <w:tab w:val="left" w:pos="420"/>
        </w:tabs>
        <w:ind w:left="2580" w:hanging="180"/>
      </w:pPr>
    </w:lvl>
    <w:lvl w:ilvl="3" w:tentative="0">
      <w:start w:val="1"/>
      <w:numFmt w:val="decimal"/>
      <w:lvlText w:val="%4."/>
      <w:lvlJc w:val="left"/>
      <w:pPr>
        <w:tabs>
          <w:tab w:val="left" w:pos="420"/>
        </w:tabs>
        <w:ind w:left="3300" w:hanging="360"/>
      </w:pPr>
    </w:lvl>
    <w:lvl w:ilvl="4" w:tentative="0">
      <w:start w:val="1"/>
      <w:numFmt w:val="lowerLetter"/>
      <w:lvlText w:val="%5."/>
      <w:lvlJc w:val="left"/>
      <w:pPr>
        <w:tabs>
          <w:tab w:val="left" w:pos="420"/>
        </w:tabs>
        <w:ind w:left="4020" w:hanging="360"/>
      </w:pPr>
    </w:lvl>
    <w:lvl w:ilvl="5" w:tentative="0">
      <w:start w:val="1"/>
      <w:numFmt w:val="lowerRoman"/>
      <w:lvlText w:val="%6."/>
      <w:lvlJc w:val="right"/>
      <w:pPr>
        <w:tabs>
          <w:tab w:val="left" w:pos="420"/>
        </w:tabs>
        <w:ind w:left="4740" w:hanging="180"/>
      </w:pPr>
    </w:lvl>
    <w:lvl w:ilvl="6" w:tentative="0">
      <w:start w:val="1"/>
      <w:numFmt w:val="decimal"/>
      <w:lvlText w:val="%7."/>
      <w:lvlJc w:val="left"/>
      <w:pPr>
        <w:tabs>
          <w:tab w:val="left" w:pos="420"/>
        </w:tabs>
        <w:ind w:left="5460" w:hanging="360"/>
      </w:pPr>
    </w:lvl>
    <w:lvl w:ilvl="7" w:tentative="0">
      <w:start w:val="1"/>
      <w:numFmt w:val="lowerLetter"/>
      <w:lvlText w:val="%8."/>
      <w:lvlJc w:val="left"/>
      <w:pPr>
        <w:tabs>
          <w:tab w:val="left" w:pos="420"/>
        </w:tabs>
        <w:ind w:left="6180" w:hanging="360"/>
      </w:pPr>
    </w:lvl>
    <w:lvl w:ilvl="8" w:tentative="0">
      <w:start w:val="1"/>
      <w:numFmt w:val="lowerRoman"/>
      <w:lvlText w:val="%9."/>
      <w:lvlJc w:val="right"/>
      <w:pPr>
        <w:tabs>
          <w:tab w:val="left" w:pos="420"/>
        </w:tabs>
        <w:ind w:left="6900" w:hanging="180"/>
      </w:pPr>
    </w:lvl>
  </w:abstractNum>
  <w:num w:numId="1">
    <w:abstractNumId w:val="5"/>
  </w:num>
  <w:num w:numId="2">
    <w:abstractNumId w:val="4"/>
  </w:num>
  <w:num w:numId="3">
    <w:abstractNumId w:val="1"/>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dit="readOnly" w:enforcement="0"/>
  <w:defaultTabStop w:val="708"/>
  <w:autoHyphenation/>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5D4"/>
    <w:rsid w:val="000046F1"/>
    <w:rsid w:val="000074BA"/>
    <w:rsid w:val="000107B8"/>
    <w:rsid w:val="00020846"/>
    <w:rsid w:val="00020CDA"/>
    <w:rsid w:val="00024EAA"/>
    <w:rsid w:val="00027F32"/>
    <w:rsid w:val="00031329"/>
    <w:rsid w:val="00036466"/>
    <w:rsid w:val="000416D4"/>
    <w:rsid w:val="00044164"/>
    <w:rsid w:val="000449C2"/>
    <w:rsid w:val="00053086"/>
    <w:rsid w:val="00053E67"/>
    <w:rsid w:val="00054B0D"/>
    <w:rsid w:val="00055C04"/>
    <w:rsid w:val="00072BF3"/>
    <w:rsid w:val="0007496D"/>
    <w:rsid w:val="00077AB0"/>
    <w:rsid w:val="000818FC"/>
    <w:rsid w:val="00084FF4"/>
    <w:rsid w:val="00090885"/>
    <w:rsid w:val="000962A4"/>
    <w:rsid w:val="00097282"/>
    <w:rsid w:val="000A7FF5"/>
    <w:rsid w:val="000C20A3"/>
    <w:rsid w:val="000C503F"/>
    <w:rsid w:val="000C5190"/>
    <w:rsid w:val="000D1BFC"/>
    <w:rsid w:val="000D1EFD"/>
    <w:rsid w:val="000D7330"/>
    <w:rsid w:val="000E5A30"/>
    <w:rsid w:val="000F20FA"/>
    <w:rsid w:val="000F3603"/>
    <w:rsid w:val="000F4223"/>
    <w:rsid w:val="000F6B96"/>
    <w:rsid w:val="000F7149"/>
    <w:rsid w:val="00106DD8"/>
    <w:rsid w:val="00116492"/>
    <w:rsid w:val="00124271"/>
    <w:rsid w:val="00125F7B"/>
    <w:rsid w:val="00127BD9"/>
    <w:rsid w:val="001348B7"/>
    <w:rsid w:val="0013498E"/>
    <w:rsid w:val="00134FE2"/>
    <w:rsid w:val="00144ADD"/>
    <w:rsid w:val="0016339F"/>
    <w:rsid w:val="001646B1"/>
    <w:rsid w:val="00165340"/>
    <w:rsid w:val="00171F5F"/>
    <w:rsid w:val="0018076E"/>
    <w:rsid w:val="001837B6"/>
    <w:rsid w:val="00185006"/>
    <w:rsid w:val="00185ACE"/>
    <w:rsid w:val="00192EDC"/>
    <w:rsid w:val="001A5D48"/>
    <w:rsid w:val="001A7782"/>
    <w:rsid w:val="001B0596"/>
    <w:rsid w:val="001B4BFA"/>
    <w:rsid w:val="001B6EF5"/>
    <w:rsid w:val="001C0F4C"/>
    <w:rsid w:val="001C1E5B"/>
    <w:rsid w:val="001D0C1D"/>
    <w:rsid w:val="001D77C7"/>
    <w:rsid w:val="001E05D4"/>
    <w:rsid w:val="001E1319"/>
    <w:rsid w:val="001E2D38"/>
    <w:rsid w:val="001E47DC"/>
    <w:rsid w:val="001F04BA"/>
    <w:rsid w:val="001F3FC7"/>
    <w:rsid w:val="001F4266"/>
    <w:rsid w:val="001F6567"/>
    <w:rsid w:val="00204ADC"/>
    <w:rsid w:val="002107FB"/>
    <w:rsid w:val="002150C4"/>
    <w:rsid w:val="002221AF"/>
    <w:rsid w:val="00223BF2"/>
    <w:rsid w:val="00225753"/>
    <w:rsid w:val="00227FA8"/>
    <w:rsid w:val="002315E8"/>
    <w:rsid w:val="0023299C"/>
    <w:rsid w:val="0023375E"/>
    <w:rsid w:val="00247CD6"/>
    <w:rsid w:val="0025093E"/>
    <w:rsid w:val="00254958"/>
    <w:rsid w:val="002648CE"/>
    <w:rsid w:val="0026570A"/>
    <w:rsid w:val="00267259"/>
    <w:rsid w:val="0027193D"/>
    <w:rsid w:val="00272A51"/>
    <w:rsid w:val="002807C7"/>
    <w:rsid w:val="00286546"/>
    <w:rsid w:val="00295536"/>
    <w:rsid w:val="002961FA"/>
    <w:rsid w:val="002A042B"/>
    <w:rsid w:val="002A138C"/>
    <w:rsid w:val="002A3418"/>
    <w:rsid w:val="002B73F9"/>
    <w:rsid w:val="002C0645"/>
    <w:rsid w:val="002C0D8B"/>
    <w:rsid w:val="002C619B"/>
    <w:rsid w:val="002D230B"/>
    <w:rsid w:val="002D511F"/>
    <w:rsid w:val="002E38E9"/>
    <w:rsid w:val="002E5072"/>
    <w:rsid w:val="002E5AA7"/>
    <w:rsid w:val="002F35C1"/>
    <w:rsid w:val="002F4550"/>
    <w:rsid w:val="002F5EBE"/>
    <w:rsid w:val="002F732F"/>
    <w:rsid w:val="00306854"/>
    <w:rsid w:val="00307038"/>
    <w:rsid w:val="0030704F"/>
    <w:rsid w:val="00313822"/>
    <w:rsid w:val="00317E96"/>
    <w:rsid w:val="003214FC"/>
    <w:rsid w:val="003222AA"/>
    <w:rsid w:val="003232BC"/>
    <w:rsid w:val="00330D61"/>
    <w:rsid w:val="00335608"/>
    <w:rsid w:val="00353B2F"/>
    <w:rsid w:val="0035573E"/>
    <w:rsid w:val="00364EC3"/>
    <w:rsid w:val="003714A1"/>
    <w:rsid w:val="0037444B"/>
    <w:rsid w:val="003762F7"/>
    <w:rsid w:val="003827D1"/>
    <w:rsid w:val="00383286"/>
    <w:rsid w:val="003910E6"/>
    <w:rsid w:val="00394041"/>
    <w:rsid w:val="0039533D"/>
    <w:rsid w:val="003A126A"/>
    <w:rsid w:val="003A5CB7"/>
    <w:rsid w:val="003B1A9D"/>
    <w:rsid w:val="003B3D13"/>
    <w:rsid w:val="003B719C"/>
    <w:rsid w:val="003C4311"/>
    <w:rsid w:val="003C7CB2"/>
    <w:rsid w:val="003D091B"/>
    <w:rsid w:val="003D5133"/>
    <w:rsid w:val="003E5158"/>
    <w:rsid w:val="003E51BF"/>
    <w:rsid w:val="003E57D2"/>
    <w:rsid w:val="003F1747"/>
    <w:rsid w:val="0040302A"/>
    <w:rsid w:val="00405283"/>
    <w:rsid w:val="00420FFC"/>
    <w:rsid w:val="00442167"/>
    <w:rsid w:val="00445F59"/>
    <w:rsid w:val="0044761F"/>
    <w:rsid w:val="00453157"/>
    <w:rsid w:val="00454ACA"/>
    <w:rsid w:val="004621E7"/>
    <w:rsid w:val="0046423F"/>
    <w:rsid w:val="00476128"/>
    <w:rsid w:val="00482D61"/>
    <w:rsid w:val="00483CF7"/>
    <w:rsid w:val="00491AB4"/>
    <w:rsid w:val="004938BA"/>
    <w:rsid w:val="004A0FAC"/>
    <w:rsid w:val="004A1A86"/>
    <w:rsid w:val="004B395D"/>
    <w:rsid w:val="004B6091"/>
    <w:rsid w:val="004B7E5A"/>
    <w:rsid w:val="004C03BB"/>
    <w:rsid w:val="004C38F5"/>
    <w:rsid w:val="004D1AC3"/>
    <w:rsid w:val="004D4563"/>
    <w:rsid w:val="004D71AB"/>
    <w:rsid w:val="004E2670"/>
    <w:rsid w:val="004E2CD8"/>
    <w:rsid w:val="004F52CE"/>
    <w:rsid w:val="00504948"/>
    <w:rsid w:val="00511414"/>
    <w:rsid w:val="00512E5D"/>
    <w:rsid w:val="00514906"/>
    <w:rsid w:val="005246AD"/>
    <w:rsid w:val="00525BA8"/>
    <w:rsid w:val="0054762C"/>
    <w:rsid w:val="00560723"/>
    <w:rsid w:val="0057259A"/>
    <w:rsid w:val="00576065"/>
    <w:rsid w:val="00581403"/>
    <w:rsid w:val="0058616B"/>
    <w:rsid w:val="005A7CF8"/>
    <w:rsid w:val="005B06C3"/>
    <w:rsid w:val="005B4C06"/>
    <w:rsid w:val="005B6EF6"/>
    <w:rsid w:val="005C15BA"/>
    <w:rsid w:val="005C31C2"/>
    <w:rsid w:val="005C6F65"/>
    <w:rsid w:val="005C717F"/>
    <w:rsid w:val="005C7D3E"/>
    <w:rsid w:val="005D0389"/>
    <w:rsid w:val="005D10A1"/>
    <w:rsid w:val="005E08F6"/>
    <w:rsid w:val="005E70AB"/>
    <w:rsid w:val="006016FB"/>
    <w:rsid w:val="00604EEB"/>
    <w:rsid w:val="00607BFF"/>
    <w:rsid w:val="006129CC"/>
    <w:rsid w:val="006231A3"/>
    <w:rsid w:val="00631818"/>
    <w:rsid w:val="0063323A"/>
    <w:rsid w:val="006343AA"/>
    <w:rsid w:val="00637E84"/>
    <w:rsid w:val="00644549"/>
    <w:rsid w:val="00647DA0"/>
    <w:rsid w:val="00650EA4"/>
    <w:rsid w:val="0066325D"/>
    <w:rsid w:val="00665460"/>
    <w:rsid w:val="006722F3"/>
    <w:rsid w:val="00673CD3"/>
    <w:rsid w:val="00677F66"/>
    <w:rsid w:val="00692FF4"/>
    <w:rsid w:val="00693C4B"/>
    <w:rsid w:val="00694234"/>
    <w:rsid w:val="006B391B"/>
    <w:rsid w:val="006B7558"/>
    <w:rsid w:val="006B7895"/>
    <w:rsid w:val="006C069B"/>
    <w:rsid w:val="006C268B"/>
    <w:rsid w:val="006C5682"/>
    <w:rsid w:val="006C57A9"/>
    <w:rsid w:val="006D4B45"/>
    <w:rsid w:val="006E223D"/>
    <w:rsid w:val="006E3E34"/>
    <w:rsid w:val="006E3F41"/>
    <w:rsid w:val="006E66B1"/>
    <w:rsid w:val="006F41E1"/>
    <w:rsid w:val="00701478"/>
    <w:rsid w:val="00705031"/>
    <w:rsid w:val="00712108"/>
    <w:rsid w:val="0071511A"/>
    <w:rsid w:val="00717362"/>
    <w:rsid w:val="00722C82"/>
    <w:rsid w:val="00727AB9"/>
    <w:rsid w:val="00752552"/>
    <w:rsid w:val="007531FA"/>
    <w:rsid w:val="0075772F"/>
    <w:rsid w:val="0076127D"/>
    <w:rsid w:val="00762524"/>
    <w:rsid w:val="00772FD8"/>
    <w:rsid w:val="00785602"/>
    <w:rsid w:val="007A04B9"/>
    <w:rsid w:val="007A12FA"/>
    <w:rsid w:val="007A566C"/>
    <w:rsid w:val="007A7576"/>
    <w:rsid w:val="007B01A8"/>
    <w:rsid w:val="007B23F2"/>
    <w:rsid w:val="007B4DDF"/>
    <w:rsid w:val="007C4586"/>
    <w:rsid w:val="007C6B0A"/>
    <w:rsid w:val="007C778C"/>
    <w:rsid w:val="007D28CF"/>
    <w:rsid w:val="007D2EDD"/>
    <w:rsid w:val="007D5FE0"/>
    <w:rsid w:val="007E54F6"/>
    <w:rsid w:val="007E660B"/>
    <w:rsid w:val="007F0C7A"/>
    <w:rsid w:val="007F4666"/>
    <w:rsid w:val="007F553B"/>
    <w:rsid w:val="007F6D33"/>
    <w:rsid w:val="008045AC"/>
    <w:rsid w:val="0080750B"/>
    <w:rsid w:val="008110C6"/>
    <w:rsid w:val="00817897"/>
    <w:rsid w:val="008267C5"/>
    <w:rsid w:val="00840178"/>
    <w:rsid w:val="00846E56"/>
    <w:rsid w:val="0085313A"/>
    <w:rsid w:val="008547B9"/>
    <w:rsid w:val="00860F49"/>
    <w:rsid w:val="00861348"/>
    <w:rsid w:val="008615D3"/>
    <w:rsid w:val="00863F48"/>
    <w:rsid w:val="00864D20"/>
    <w:rsid w:val="00865C4C"/>
    <w:rsid w:val="00867F98"/>
    <w:rsid w:val="00873E68"/>
    <w:rsid w:val="00882C92"/>
    <w:rsid w:val="008840CD"/>
    <w:rsid w:val="00892F65"/>
    <w:rsid w:val="008972AD"/>
    <w:rsid w:val="008A1E8A"/>
    <w:rsid w:val="008A1ECA"/>
    <w:rsid w:val="008A26F6"/>
    <w:rsid w:val="008D0E0E"/>
    <w:rsid w:val="008D2074"/>
    <w:rsid w:val="008D302E"/>
    <w:rsid w:val="008D3A4F"/>
    <w:rsid w:val="008D7819"/>
    <w:rsid w:val="008E569D"/>
    <w:rsid w:val="008F06BB"/>
    <w:rsid w:val="008F0BF3"/>
    <w:rsid w:val="008F25C6"/>
    <w:rsid w:val="008F3AF1"/>
    <w:rsid w:val="008F50BC"/>
    <w:rsid w:val="00904A37"/>
    <w:rsid w:val="00906292"/>
    <w:rsid w:val="00906786"/>
    <w:rsid w:val="00914AC3"/>
    <w:rsid w:val="0092264E"/>
    <w:rsid w:val="00932BEF"/>
    <w:rsid w:val="0093480B"/>
    <w:rsid w:val="009356C7"/>
    <w:rsid w:val="009431E9"/>
    <w:rsid w:val="00951BF3"/>
    <w:rsid w:val="00953961"/>
    <w:rsid w:val="00955C2F"/>
    <w:rsid w:val="00956BD3"/>
    <w:rsid w:val="0096023E"/>
    <w:rsid w:val="009649E3"/>
    <w:rsid w:val="00975633"/>
    <w:rsid w:val="009777BB"/>
    <w:rsid w:val="0098381E"/>
    <w:rsid w:val="00983D35"/>
    <w:rsid w:val="00993004"/>
    <w:rsid w:val="009A0551"/>
    <w:rsid w:val="009A55F6"/>
    <w:rsid w:val="009B6910"/>
    <w:rsid w:val="009B7CF7"/>
    <w:rsid w:val="009C1A5B"/>
    <w:rsid w:val="009C5725"/>
    <w:rsid w:val="009C59F6"/>
    <w:rsid w:val="009C71A7"/>
    <w:rsid w:val="009D376A"/>
    <w:rsid w:val="009D5F5E"/>
    <w:rsid w:val="009E2A99"/>
    <w:rsid w:val="009E3019"/>
    <w:rsid w:val="009E6B9E"/>
    <w:rsid w:val="009E70C6"/>
    <w:rsid w:val="009F019D"/>
    <w:rsid w:val="00A001AF"/>
    <w:rsid w:val="00A06F28"/>
    <w:rsid w:val="00A14758"/>
    <w:rsid w:val="00A15A1A"/>
    <w:rsid w:val="00A24FC6"/>
    <w:rsid w:val="00A257F6"/>
    <w:rsid w:val="00A266C4"/>
    <w:rsid w:val="00A33BD0"/>
    <w:rsid w:val="00A367CA"/>
    <w:rsid w:val="00A50057"/>
    <w:rsid w:val="00A60B62"/>
    <w:rsid w:val="00A611F4"/>
    <w:rsid w:val="00A6302A"/>
    <w:rsid w:val="00A63CD8"/>
    <w:rsid w:val="00A65C9B"/>
    <w:rsid w:val="00A6715D"/>
    <w:rsid w:val="00A67671"/>
    <w:rsid w:val="00A725CF"/>
    <w:rsid w:val="00A77609"/>
    <w:rsid w:val="00A81161"/>
    <w:rsid w:val="00A903C7"/>
    <w:rsid w:val="00A93A7F"/>
    <w:rsid w:val="00A97CEF"/>
    <w:rsid w:val="00AA036B"/>
    <w:rsid w:val="00AA1CC8"/>
    <w:rsid w:val="00AA63D6"/>
    <w:rsid w:val="00AB05AB"/>
    <w:rsid w:val="00AB383F"/>
    <w:rsid w:val="00AB43D3"/>
    <w:rsid w:val="00AB48C2"/>
    <w:rsid w:val="00AB7356"/>
    <w:rsid w:val="00AB7787"/>
    <w:rsid w:val="00AC21B9"/>
    <w:rsid w:val="00AC2C6F"/>
    <w:rsid w:val="00AC3268"/>
    <w:rsid w:val="00AC44D0"/>
    <w:rsid w:val="00AC45F1"/>
    <w:rsid w:val="00AC68A0"/>
    <w:rsid w:val="00AC6F93"/>
    <w:rsid w:val="00AD5FD4"/>
    <w:rsid w:val="00AE2461"/>
    <w:rsid w:val="00AF36F1"/>
    <w:rsid w:val="00AF38A0"/>
    <w:rsid w:val="00B016C5"/>
    <w:rsid w:val="00B01969"/>
    <w:rsid w:val="00B05346"/>
    <w:rsid w:val="00B07758"/>
    <w:rsid w:val="00B2207C"/>
    <w:rsid w:val="00B310A0"/>
    <w:rsid w:val="00B33F3E"/>
    <w:rsid w:val="00B35BF7"/>
    <w:rsid w:val="00B37710"/>
    <w:rsid w:val="00B37AF2"/>
    <w:rsid w:val="00B4152E"/>
    <w:rsid w:val="00B473F8"/>
    <w:rsid w:val="00B50888"/>
    <w:rsid w:val="00B527AC"/>
    <w:rsid w:val="00B57C5C"/>
    <w:rsid w:val="00B63157"/>
    <w:rsid w:val="00B6669D"/>
    <w:rsid w:val="00B70CCE"/>
    <w:rsid w:val="00B81401"/>
    <w:rsid w:val="00B86106"/>
    <w:rsid w:val="00B9071A"/>
    <w:rsid w:val="00B97904"/>
    <w:rsid w:val="00BA3C3D"/>
    <w:rsid w:val="00BB2BE7"/>
    <w:rsid w:val="00BB303F"/>
    <w:rsid w:val="00BB41E5"/>
    <w:rsid w:val="00BB61B5"/>
    <w:rsid w:val="00BC0040"/>
    <w:rsid w:val="00BC17CF"/>
    <w:rsid w:val="00BC22B5"/>
    <w:rsid w:val="00BC24E2"/>
    <w:rsid w:val="00BC27B8"/>
    <w:rsid w:val="00BD147C"/>
    <w:rsid w:val="00BD69FB"/>
    <w:rsid w:val="00BF2AF8"/>
    <w:rsid w:val="00BF2BB4"/>
    <w:rsid w:val="00BF4B92"/>
    <w:rsid w:val="00C03C22"/>
    <w:rsid w:val="00C065F4"/>
    <w:rsid w:val="00C0708F"/>
    <w:rsid w:val="00C073C5"/>
    <w:rsid w:val="00C07A7F"/>
    <w:rsid w:val="00C13962"/>
    <w:rsid w:val="00C23B28"/>
    <w:rsid w:val="00C3208F"/>
    <w:rsid w:val="00C3300F"/>
    <w:rsid w:val="00C3397A"/>
    <w:rsid w:val="00C345E6"/>
    <w:rsid w:val="00C359B4"/>
    <w:rsid w:val="00C37FD2"/>
    <w:rsid w:val="00C41914"/>
    <w:rsid w:val="00C440C3"/>
    <w:rsid w:val="00C455F4"/>
    <w:rsid w:val="00C46269"/>
    <w:rsid w:val="00C52E1B"/>
    <w:rsid w:val="00C626AE"/>
    <w:rsid w:val="00C733FA"/>
    <w:rsid w:val="00C90ABD"/>
    <w:rsid w:val="00C9174B"/>
    <w:rsid w:val="00C925F4"/>
    <w:rsid w:val="00C97CA5"/>
    <w:rsid w:val="00CA223F"/>
    <w:rsid w:val="00CB104B"/>
    <w:rsid w:val="00CB197B"/>
    <w:rsid w:val="00CB20E0"/>
    <w:rsid w:val="00CB3A5F"/>
    <w:rsid w:val="00CC0B4D"/>
    <w:rsid w:val="00CC100F"/>
    <w:rsid w:val="00CC16D7"/>
    <w:rsid w:val="00CC2FFC"/>
    <w:rsid w:val="00CC3468"/>
    <w:rsid w:val="00CC51B9"/>
    <w:rsid w:val="00CD29E6"/>
    <w:rsid w:val="00CD2DFA"/>
    <w:rsid w:val="00CD62B1"/>
    <w:rsid w:val="00CD73A2"/>
    <w:rsid w:val="00CE388B"/>
    <w:rsid w:val="00CE515C"/>
    <w:rsid w:val="00CF2617"/>
    <w:rsid w:val="00D01232"/>
    <w:rsid w:val="00D025E5"/>
    <w:rsid w:val="00D02FAE"/>
    <w:rsid w:val="00D05AE4"/>
    <w:rsid w:val="00D11B24"/>
    <w:rsid w:val="00D13E23"/>
    <w:rsid w:val="00D151CD"/>
    <w:rsid w:val="00D178D3"/>
    <w:rsid w:val="00D22730"/>
    <w:rsid w:val="00D24D4C"/>
    <w:rsid w:val="00D32531"/>
    <w:rsid w:val="00D32D83"/>
    <w:rsid w:val="00D33C07"/>
    <w:rsid w:val="00D44E44"/>
    <w:rsid w:val="00D45066"/>
    <w:rsid w:val="00D5330D"/>
    <w:rsid w:val="00D55C2E"/>
    <w:rsid w:val="00D56040"/>
    <w:rsid w:val="00D6303B"/>
    <w:rsid w:val="00D715D2"/>
    <w:rsid w:val="00D71D78"/>
    <w:rsid w:val="00D7347F"/>
    <w:rsid w:val="00D80CC1"/>
    <w:rsid w:val="00D82E11"/>
    <w:rsid w:val="00D83CB7"/>
    <w:rsid w:val="00D85838"/>
    <w:rsid w:val="00D8768D"/>
    <w:rsid w:val="00D91DF9"/>
    <w:rsid w:val="00D91DFA"/>
    <w:rsid w:val="00DA52EA"/>
    <w:rsid w:val="00DA687B"/>
    <w:rsid w:val="00DB2E0A"/>
    <w:rsid w:val="00DB33E2"/>
    <w:rsid w:val="00DB4072"/>
    <w:rsid w:val="00DB538C"/>
    <w:rsid w:val="00DB6E75"/>
    <w:rsid w:val="00DC41F4"/>
    <w:rsid w:val="00DC668C"/>
    <w:rsid w:val="00DC7A6B"/>
    <w:rsid w:val="00DD00D4"/>
    <w:rsid w:val="00DD3873"/>
    <w:rsid w:val="00DD45FD"/>
    <w:rsid w:val="00DD7F1D"/>
    <w:rsid w:val="00DE26E6"/>
    <w:rsid w:val="00DE3021"/>
    <w:rsid w:val="00DE4712"/>
    <w:rsid w:val="00DE50FB"/>
    <w:rsid w:val="00DE5A78"/>
    <w:rsid w:val="00DF094B"/>
    <w:rsid w:val="00DF54D1"/>
    <w:rsid w:val="00E031EA"/>
    <w:rsid w:val="00E052E5"/>
    <w:rsid w:val="00E101F2"/>
    <w:rsid w:val="00E10A4A"/>
    <w:rsid w:val="00E217DE"/>
    <w:rsid w:val="00E22620"/>
    <w:rsid w:val="00E2765A"/>
    <w:rsid w:val="00E27B8C"/>
    <w:rsid w:val="00E27EA4"/>
    <w:rsid w:val="00E315B8"/>
    <w:rsid w:val="00E34427"/>
    <w:rsid w:val="00E34F8C"/>
    <w:rsid w:val="00E3613F"/>
    <w:rsid w:val="00E4307A"/>
    <w:rsid w:val="00E44D6E"/>
    <w:rsid w:val="00E52D7D"/>
    <w:rsid w:val="00E53E06"/>
    <w:rsid w:val="00E55A3E"/>
    <w:rsid w:val="00E55DFB"/>
    <w:rsid w:val="00E620F5"/>
    <w:rsid w:val="00E63275"/>
    <w:rsid w:val="00E66C91"/>
    <w:rsid w:val="00E66D75"/>
    <w:rsid w:val="00E71E83"/>
    <w:rsid w:val="00E73D21"/>
    <w:rsid w:val="00E76E8A"/>
    <w:rsid w:val="00E81E94"/>
    <w:rsid w:val="00E93ED0"/>
    <w:rsid w:val="00E94D4F"/>
    <w:rsid w:val="00EB00EB"/>
    <w:rsid w:val="00EB0E76"/>
    <w:rsid w:val="00EB358E"/>
    <w:rsid w:val="00EC0A57"/>
    <w:rsid w:val="00EC63EA"/>
    <w:rsid w:val="00ED14F4"/>
    <w:rsid w:val="00EE4DCD"/>
    <w:rsid w:val="00EE692C"/>
    <w:rsid w:val="00EF1850"/>
    <w:rsid w:val="00EF2805"/>
    <w:rsid w:val="00EF2CA8"/>
    <w:rsid w:val="00EF36CF"/>
    <w:rsid w:val="00EF76D8"/>
    <w:rsid w:val="00F07E13"/>
    <w:rsid w:val="00F16EC4"/>
    <w:rsid w:val="00F218D5"/>
    <w:rsid w:val="00F23F7E"/>
    <w:rsid w:val="00F26473"/>
    <w:rsid w:val="00F313B2"/>
    <w:rsid w:val="00F36E83"/>
    <w:rsid w:val="00F430C5"/>
    <w:rsid w:val="00F50635"/>
    <w:rsid w:val="00F52758"/>
    <w:rsid w:val="00F54C30"/>
    <w:rsid w:val="00F55483"/>
    <w:rsid w:val="00F56328"/>
    <w:rsid w:val="00F62074"/>
    <w:rsid w:val="00F62A16"/>
    <w:rsid w:val="00F70A16"/>
    <w:rsid w:val="00F732EA"/>
    <w:rsid w:val="00F74361"/>
    <w:rsid w:val="00F84982"/>
    <w:rsid w:val="00F90C23"/>
    <w:rsid w:val="00F9111F"/>
    <w:rsid w:val="00F9292D"/>
    <w:rsid w:val="00F93467"/>
    <w:rsid w:val="00F9399E"/>
    <w:rsid w:val="00F93D00"/>
    <w:rsid w:val="00F95161"/>
    <w:rsid w:val="00FA24E1"/>
    <w:rsid w:val="00FA3F07"/>
    <w:rsid w:val="00FA7560"/>
    <w:rsid w:val="00FB32A0"/>
    <w:rsid w:val="00FB6203"/>
    <w:rsid w:val="00FC0CA7"/>
    <w:rsid w:val="00FD1637"/>
    <w:rsid w:val="00FD192E"/>
    <w:rsid w:val="00FD31B0"/>
    <w:rsid w:val="00FD3510"/>
    <w:rsid w:val="00FD3A8A"/>
    <w:rsid w:val="00FD6EFD"/>
    <w:rsid w:val="00FE3DA3"/>
    <w:rsid w:val="00FE6401"/>
    <w:rsid w:val="00FE76ED"/>
    <w:rsid w:val="00FF095D"/>
    <w:rsid w:val="00FF2F21"/>
    <w:rsid w:val="00FF5BA9"/>
    <w:rsid w:val="00FF6A15"/>
    <w:rsid w:val="00FF7D9C"/>
    <w:rsid w:val="01243D57"/>
    <w:rsid w:val="023512AC"/>
    <w:rsid w:val="025517E0"/>
    <w:rsid w:val="026C44D3"/>
    <w:rsid w:val="042C3965"/>
    <w:rsid w:val="045F50B9"/>
    <w:rsid w:val="0475505E"/>
    <w:rsid w:val="04B36EE7"/>
    <w:rsid w:val="0539061F"/>
    <w:rsid w:val="055B4057"/>
    <w:rsid w:val="056A4671"/>
    <w:rsid w:val="0586291D"/>
    <w:rsid w:val="05CF1E17"/>
    <w:rsid w:val="06191FF7"/>
    <w:rsid w:val="063672F8"/>
    <w:rsid w:val="064F5BE9"/>
    <w:rsid w:val="070E4D22"/>
    <w:rsid w:val="08452C11"/>
    <w:rsid w:val="08730E67"/>
    <w:rsid w:val="09223108"/>
    <w:rsid w:val="09B8397E"/>
    <w:rsid w:val="09D232AC"/>
    <w:rsid w:val="0A434865"/>
    <w:rsid w:val="0AA76787"/>
    <w:rsid w:val="0ACC0F45"/>
    <w:rsid w:val="0CC60D00"/>
    <w:rsid w:val="0D026C5D"/>
    <w:rsid w:val="0D7B752A"/>
    <w:rsid w:val="0D7E3D32"/>
    <w:rsid w:val="0D847672"/>
    <w:rsid w:val="0E2259B0"/>
    <w:rsid w:val="0E891C66"/>
    <w:rsid w:val="0E8D3EEF"/>
    <w:rsid w:val="0E9B0C86"/>
    <w:rsid w:val="0F611949"/>
    <w:rsid w:val="0FB726D8"/>
    <w:rsid w:val="0FC825F2"/>
    <w:rsid w:val="0FF01B2D"/>
    <w:rsid w:val="109664C2"/>
    <w:rsid w:val="11524677"/>
    <w:rsid w:val="12664486"/>
    <w:rsid w:val="131B412C"/>
    <w:rsid w:val="135845E7"/>
    <w:rsid w:val="135E6CD6"/>
    <w:rsid w:val="136B2768"/>
    <w:rsid w:val="139A32B7"/>
    <w:rsid w:val="13D46914"/>
    <w:rsid w:val="13EF07C3"/>
    <w:rsid w:val="143A1B3C"/>
    <w:rsid w:val="144072C9"/>
    <w:rsid w:val="14550167"/>
    <w:rsid w:val="14984A52"/>
    <w:rsid w:val="14A66120"/>
    <w:rsid w:val="14A82170"/>
    <w:rsid w:val="14BE4314"/>
    <w:rsid w:val="15E8637F"/>
    <w:rsid w:val="16504596"/>
    <w:rsid w:val="18191B17"/>
    <w:rsid w:val="19461284"/>
    <w:rsid w:val="19F1171D"/>
    <w:rsid w:val="1A15645A"/>
    <w:rsid w:val="1A167102"/>
    <w:rsid w:val="1A746093"/>
    <w:rsid w:val="1AE51380"/>
    <w:rsid w:val="1B4D19DA"/>
    <w:rsid w:val="1C951971"/>
    <w:rsid w:val="1D1247BD"/>
    <w:rsid w:val="1D126A49"/>
    <w:rsid w:val="1E27531B"/>
    <w:rsid w:val="1E3B13E3"/>
    <w:rsid w:val="1E975C3E"/>
    <w:rsid w:val="1ED20022"/>
    <w:rsid w:val="1EE76CC2"/>
    <w:rsid w:val="1EF53A59"/>
    <w:rsid w:val="1F4E796B"/>
    <w:rsid w:val="1F8232BD"/>
    <w:rsid w:val="20776154"/>
    <w:rsid w:val="20804003"/>
    <w:rsid w:val="20B004AC"/>
    <w:rsid w:val="218A1494"/>
    <w:rsid w:val="21E94D31"/>
    <w:rsid w:val="21F046BC"/>
    <w:rsid w:val="22B53180"/>
    <w:rsid w:val="241678C4"/>
    <w:rsid w:val="259D2BC3"/>
    <w:rsid w:val="25CA020F"/>
    <w:rsid w:val="25FE4974"/>
    <w:rsid w:val="26CF203B"/>
    <w:rsid w:val="26E01329"/>
    <w:rsid w:val="276E08C0"/>
    <w:rsid w:val="27906876"/>
    <w:rsid w:val="28005C30"/>
    <w:rsid w:val="281F6B1F"/>
    <w:rsid w:val="2A365850"/>
    <w:rsid w:val="2BD63C77"/>
    <w:rsid w:val="2BD829FE"/>
    <w:rsid w:val="2BE46810"/>
    <w:rsid w:val="2CAB4F54"/>
    <w:rsid w:val="2D175908"/>
    <w:rsid w:val="2D611200"/>
    <w:rsid w:val="2E6C623A"/>
    <w:rsid w:val="2EBD258D"/>
    <w:rsid w:val="2ED33660"/>
    <w:rsid w:val="2ED72066"/>
    <w:rsid w:val="2EE95803"/>
    <w:rsid w:val="2F44049C"/>
    <w:rsid w:val="2F850F05"/>
    <w:rsid w:val="2F9F78B1"/>
    <w:rsid w:val="2FC906F5"/>
    <w:rsid w:val="30E03740"/>
    <w:rsid w:val="30E65649"/>
    <w:rsid w:val="315C5288"/>
    <w:rsid w:val="31C262B1"/>
    <w:rsid w:val="31D15247"/>
    <w:rsid w:val="321D3148"/>
    <w:rsid w:val="32720653"/>
    <w:rsid w:val="32EA20C4"/>
    <w:rsid w:val="32EC6C98"/>
    <w:rsid w:val="33B71CA0"/>
    <w:rsid w:val="33B850E7"/>
    <w:rsid w:val="34083F6D"/>
    <w:rsid w:val="34C51DA1"/>
    <w:rsid w:val="35B361A6"/>
    <w:rsid w:val="37005E48"/>
    <w:rsid w:val="37E40B8A"/>
    <w:rsid w:val="37FF15EF"/>
    <w:rsid w:val="38B05B8F"/>
    <w:rsid w:val="39EA4612"/>
    <w:rsid w:val="39F871AB"/>
    <w:rsid w:val="3A6F00EE"/>
    <w:rsid w:val="3AD16E8E"/>
    <w:rsid w:val="3AE657AF"/>
    <w:rsid w:val="3B6C3489"/>
    <w:rsid w:val="3BF3026A"/>
    <w:rsid w:val="3C440F6E"/>
    <w:rsid w:val="3C961C72"/>
    <w:rsid w:val="3D7255CE"/>
    <w:rsid w:val="3D860681"/>
    <w:rsid w:val="3DA443AE"/>
    <w:rsid w:val="3E274987"/>
    <w:rsid w:val="3E3671A0"/>
    <w:rsid w:val="3EB62F71"/>
    <w:rsid w:val="3EBF1682"/>
    <w:rsid w:val="3F071A76"/>
    <w:rsid w:val="402853D1"/>
    <w:rsid w:val="40664832"/>
    <w:rsid w:val="40F634A0"/>
    <w:rsid w:val="41A13939"/>
    <w:rsid w:val="41B3295A"/>
    <w:rsid w:val="41F320F5"/>
    <w:rsid w:val="420E64EB"/>
    <w:rsid w:val="423654AA"/>
    <w:rsid w:val="42D924E6"/>
    <w:rsid w:val="42FC0372"/>
    <w:rsid w:val="43043580"/>
    <w:rsid w:val="435F2D48"/>
    <w:rsid w:val="439353EE"/>
    <w:rsid w:val="43CD51C7"/>
    <w:rsid w:val="44316B1E"/>
    <w:rsid w:val="458845A4"/>
    <w:rsid w:val="45C35682"/>
    <w:rsid w:val="46A24CF0"/>
    <w:rsid w:val="46A93F24"/>
    <w:rsid w:val="46BF4C9C"/>
    <w:rsid w:val="47024B89"/>
    <w:rsid w:val="47315859"/>
    <w:rsid w:val="48280C73"/>
    <w:rsid w:val="48D74C90"/>
    <w:rsid w:val="495E03EC"/>
    <w:rsid w:val="499F0E56"/>
    <w:rsid w:val="4A475610"/>
    <w:rsid w:val="4BC27856"/>
    <w:rsid w:val="4C244078"/>
    <w:rsid w:val="4CA45C4B"/>
    <w:rsid w:val="4CA53E3F"/>
    <w:rsid w:val="4D310D32"/>
    <w:rsid w:val="4D4E60E3"/>
    <w:rsid w:val="4D69470F"/>
    <w:rsid w:val="4E8C7CE9"/>
    <w:rsid w:val="4E9C5D85"/>
    <w:rsid w:val="4ECC4356"/>
    <w:rsid w:val="4ED239B4"/>
    <w:rsid w:val="4EF37BD9"/>
    <w:rsid w:val="4F562C35"/>
    <w:rsid w:val="4F5D32A4"/>
    <w:rsid w:val="4F9E0E2B"/>
    <w:rsid w:val="50E67EC9"/>
    <w:rsid w:val="51272EB1"/>
    <w:rsid w:val="513015C2"/>
    <w:rsid w:val="52FE2AB7"/>
    <w:rsid w:val="534863AE"/>
    <w:rsid w:val="541E597B"/>
    <w:rsid w:val="54E50687"/>
    <w:rsid w:val="552F624E"/>
    <w:rsid w:val="55893465"/>
    <w:rsid w:val="55A15289"/>
    <w:rsid w:val="56220DA3"/>
    <w:rsid w:val="56A02C2D"/>
    <w:rsid w:val="56AB4841"/>
    <w:rsid w:val="56B31C4E"/>
    <w:rsid w:val="56E65920"/>
    <w:rsid w:val="576616F1"/>
    <w:rsid w:val="57AE1946"/>
    <w:rsid w:val="57CB6E97"/>
    <w:rsid w:val="58274FEF"/>
    <w:rsid w:val="58840844"/>
    <w:rsid w:val="5A0F5DCC"/>
    <w:rsid w:val="5A317606"/>
    <w:rsid w:val="5A6E4EEC"/>
    <w:rsid w:val="5A70032F"/>
    <w:rsid w:val="5ADE0A23"/>
    <w:rsid w:val="5B15697F"/>
    <w:rsid w:val="5B432946"/>
    <w:rsid w:val="5B44356A"/>
    <w:rsid w:val="5BDA79C2"/>
    <w:rsid w:val="5BF34CE8"/>
    <w:rsid w:val="5C094C8E"/>
    <w:rsid w:val="5D587E33"/>
    <w:rsid w:val="5D747763"/>
    <w:rsid w:val="5DA44B5A"/>
    <w:rsid w:val="5E325597"/>
    <w:rsid w:val="5E4F2949"/>
    <w:rsid w:val="5E9D3F29"/>
    <w:rsid w:val="5EAF3C67"/>
    <w:rsid w:val="5EC17405"/>
    <w:rsid w:val="5EFD23AE"/>
    <w:rsid w:val="5F076875"/>
    <w:rsid w:val="5F130109"/>
    <w:rsid w:val="5FD45FC8"/>
    <w:rsid w:val="60E56E3A"/>
    <w:rsid w:val="60EC1394"/>
    <w:rsid w:val="62090166"/>
    <w:rsid w:val="62B71584"/>
    <w:rsid w:val="64ED07CF"/>
    <w:rsid w:val="65B431E5"/>
    <w:rsid w:val="66143184"/>
    <w:rsid w:val="6679092A"/>
    <w:rsid w:val="67172021"/>
    <w:rsid w:val="681C38A5"/>
    <w:rsid w:val="681F7D61"/>
    <w:rsid w:val="685427BA"/>
    <w:rsid w:val="685D5648"/>
    <w:rsid w:val="689F73B6"/>
    <w:rsid w:val="68D42D08"/>
    <w:rsid w:val="68E86550"/>
    <w:rsid w:val="695113D8"/>
    <w:rsid w:val="69C0748D"/>
    <w:rsid w:val="6A745C1A"/>
    <w:rsid w:val="6AE61F48"/>
    <w:rsid w:val="6AEF3A4D"/>
    <w:rsid w:val="6B48020E"/>
    <w:rsid w:val="6BAD15DA"/>
    <w:rsid w:val="6D7640A6"/>
    <w:rsid w:val="6DAD677E"/>
    <w:rsid w:val="6DCC37B0"/>
    <w:rsid w:val="6E2476C2"/>
    <w:rsid w:val="6ED36561"/>
    <w:rsid w:val="6F12734A"/>
    <w:rsid w:val="6F183160"/>
    <w:rsid w:val="709608D9"/>
    <w:rsid w:val="70B17CF0"/>
    <w:rsid w:val="70C26FB3"/>
    <w:rsid w:val="70FB4C6C"/>
    <w:rsid w:val="71465FE5"/>
    <w:rsid w:val="7185134D"/>
    <w:rsid w:val="71DB1D5C"/>
    <w:rsid w:val="71F02BFB"/>
    <w:rsid w:val="71FB480F"/>
    <w:rsid w:val="726E28BB"/>
    <w:rsid w:val="73613DC2"/>
    <w:rsid w:val="738D3920"/>
    <w:rsid w:val="73A02941"/>
    <w:rsid w:val="73C95D04"/>
    <w:rsid w:val="74A6231B"/>
    <w:rsid w:val="75F93477"/>
    <w:rsid w:val="763151F9"/>
    <w:rsid w:val="76AD6D41"/>
    <w:rsid w:val="76B579D0"/>
    <w:rsid w:val="7794037B"/>
    <w:rsid w:val="77B41AF2"/>
    <w:rsid w:val="77DF61B9"/>
    <w:rsid w:val="791407B4"/>
    <w:rsid w:val="79F301DD"/>
    <w:rsid w:val="7AB92EC7"/>
    <w:rsid w:val="7ADD5821"/>
    <w:rsid w:val="7B1A5686"/>
    <w:rsid w:val="7B5F4AF6"/>
    <w:rsid w:val="7BC13CD3"/>
    <w:rsid w:val="7C031D81"/>
    <w:rsid w:val="7C38005C"/>
    <w:rsid w:val="7C793044"/>
    <w:rsid w:val="7CDD151B"/>
    <w:rsid w:val="7D0C38B8"/>
    <w:rsid w:val="7D7A30EF"/>
    <w:rsid w:val="7D7D4E70"/>
    <w:rsid w:val="7E094A54"/>
    <w:rsid w:val="7E484650"/>
    <w:rsid w:val="7EAD7EAB"/>
    <w:rsid w:val="7F2A25AD"/>
    <w:rsid w:val="7F373E42"/>
    <w:rsid w:val="7F5E5386"/>
    <w:rsid w:val="7F7E2038"/>
    <w:rsid w:val="7FE120DC"/>
    <w:rsid w:val="7FFA5204"/>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99" w:semiHidden="0" w:name="No Spacing"/>
    <w:lsdException w:qFormat="1" w:unhideWhenUsed="0" w:uiPriority="34" w:semiHidden="0" w:name="List Paragraph"/>
  </w:latentStyles>
  <w:style w:type="paragraph" w:default="1" w:styleId="1">
    <w:name w:val="Normal"/>
    <w:qFormat/>
    <w:uiPriority w:val="0"/>
    <w:pPr>
      <w:suppressAutoHyphens/>
      <w:spacing w:after="160" w:line="259" w:lineRule="auto"/>
    </w:pPr>
    <w:rPr>
      <w:rFonts w:asciiTheme="minorHAnsi" w:hAnsiTheme="minorHAnsi" w:eastAsiaTheme="minorHAnsi" w:cstheme="minorBidi"/>
      <w:sz w:val="22"/>
      <w:szCs w:val="22"/>
      <w:lang w:val="pt-BR"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Strong"/>
    <w:basedOn w:val="2"/>
    <w:qFormat/>
    <w:uiPriority w:val="22"/>
    <w:rPr>
      <w:b/>
      <w:bCs/>
    </w:rPr>
  </w:style>
  <w:style w:type="character" w:styleId="5">
    <w:name w:val="annotation reference"/>
    <w:basedOn w:val="2"/>
    <w:unhideWhenUsed/>
    <w:qFormat/>
    <w:uiPriority w:val="99"/>
    <w:rPr>
      <w:sz w:val="16"/>
      <w:szCs w:val="16"/>
    </w:rPr>
  </w:style>
  <w:style w:type="character" w:styleId="6">
    <w:name w:val="footnote reference"/>
    <w:basedOn w:val="2"/>
    <w:semiHidden/>
    <w:unhideWhenUsed/>
    <w:qFormat/>
    <w:uiPriority w:val="99"/>
    <w:rPr>
      <w:vertAlign w:val="superscript"/>
    </w:rPr>
  </w:style>
  <w:style w:type="character" w:styleId="7">
    <w:name w:val="Hyperlink"/>
    <w:basedOn w:val="2"/>
    <w:unhideWhenUsed/>
    <w:qFormat/>
    <w:uiPriority w:val="99"/>
    <w:rPr>
      <w:color w:val="0563C1" w:themeColor="hyperlink"/>
      <w:u w:val="single"/>
      <w14:textFill>
        <w14:solidFill>
          <w14:schemeClr w14:val="hlink"/>
        </w14:solidFill>
      </w14:textFill>
    </w:rPr>
  </w:style>
  <w:style w:type="paragraph" w:styleId="8">
    <w:name w:val="List"/>
    <w:basedOn w:val="9"/>
    <w:qFormat/>
    <w:uiPriority w:val="0"/>
    <w:rPr>
      <w:rFonts w:cs="Lucida Sans"/>
    </w:rPr>
  </w:style>
  <w:style w:type="paragraph" w:styleId="9">
    <w:name w:val="Body Text"/>
    <w:basedOn w:val="1"/>
    <w:qFormat/>
    <w:uiPriority w:val="0"/>
    <w:pPr>
      <w:spacing w:after="140" w:line="276" w:lineRule="auto"/>
    </w:pPr>
  </w:style>
  <w:style w:type="paragraph" w:styleId="10">
    <w:name w:val="annotation text"/>
    <w:basedOn w:val="1"/>
    <w:link w:val="28"/>
    <w:unhideWhenUsed/>
    <w:qFormat/>
    <w:uiPriority w:val="99"/>
    <w:pPr>
      <w:spacing w:line="240" w:lineRule="auto"/>
    </w:pPr>
    <w:rPr>
      <w:sz w:val="20"/>
      <w:szCs w:val="20"/>
    </w:rPr>
  </w:style>
  <w:style w:type="paragraph" w:styleId="11">
    <w:name w:val="table of figures"/>
    <w:basedOn w:val="12"/>
    <w:qFormat/>
    <w:uiPriority w:val="0"/>
  </w:style>
  <w:style w:type="paragraph" w:styleId="12">
    <w:name w:val="caption"/>
    <w:basedOn w:val="1"/>
    <w:qFormat/>
    <w:uiPriority w:val="0"/>
    <w:pPr>
      <w:suppressLineNumbers/>
      <w:spacing w:before="120" w:after="120"/>
    </w:pPr>
    <w:rPr>
      <w:rFonts w:cs="Lucida Sans"/>
      <w:i/>
      <w:iCs/>
      <w:sz w:val="24"/>
      <w:szCs w:val="24"/>
    </w:rPr>
  </w:style>
  <w:style w:type="paragraph" w:styleId="13">
    <w:name w:val="Title"/>
    <w:basedOn w:val="1"/>
    <w:next w:val="9"/>
    <w:qFormat/>
    <w:uiPriority w:val="0"/>
    <w:pPr>
      <w:keepNext/>
      <w:spacing w:before="240" w:after="120"/>
    </w:pPr>
    <w:rPr>
      <w:rFonts w:ascii="Liberation Sans" w:hAnsi="Liberation Sans" w:eastAsia="Microsoft YaHei" w:cs="Lucida Sans"/>
      <w:sz w:val="28"/>
      <w:szCs w:val="28"/>
    </w:rPr>
  </w:style>
  <w:style w:type="paragraph" w:styleId="14">
    <w:name w:val="Normal (Web)"/>
    <w:basedOn w:val="1"/>
    <w:unhideWhenUsed/>
    <w:qFormat/>
    <w:uiPriority w:val="99"/>
    <w:pPr>
      <w:suppressAutoHyphens w:val="0"/>
      <w:spacing w:before="100" w:beforeAutospacing="1" w:after="142" w:line="276" w:lineRule="auto"/>
    </w:pPr>
    <w:rPr>
      <w:rFonts w:ascii="Times New Roman" w:hAnsi="Times New Roman" w:eastAsia="Times New Roman" w:cs="Times New Roman"/>
      <w:color w:val="000000"/>
      <w:sz w:val="24"/>
      <w:szCs w:val="24"/>
      <w:lang w:eastAsia="pt-BR"/>
    </w:rPr>
  </w:style>
  <w:style w:type="paragraph" w:styleId="15">
    <w:name w:val="header"/>
    <w:basedOn w:val="1"/>
    <w:link w:val="22"/>
    <w:unhideWhenUsed/>
    <w:qFormat/>
    <w:uiPriority w:val="0"/>
    <w:pPr>
      <w:tabs>
        <w:tab w:val="center" w:pos="4252"/>
        <w:tab w:val="right" w:pos="8504"/>
      </w:tabs>
      <w:spacing w:after="0" w:line="240" w:lineRule="auto"/>
    </w:pPr>
  </w:style>
  <w:style w:type="paragraph" w:styleId="16">
    <w:name w:val="annotation subject"/>
    <w:basedOn w:val="10"/>
    <w:next w:val="10"/>
    <w:link w:val="49"/>
    <w:semiHidden/>
    <w:unhideWhenUsed/>
    <w:qFormat/>
    <w:uiPriority w:val="99"/>
    <w:rPr>
      <w:b/>
      <w:bCs/>
    </w:rPr>
  </w:style>
  <w:style w:type="paragraph" w:styleId="17">
    <w:name w:val="footer"/>
    <w:basedOn w:val="1"/>
    <w:link w:val="23"/>
    <w:unhideWhenUsed/>
    <w:qFormat/>
    <w:uiPriority w:val="99"/>
    <w:pPr>
      <w:tabs>
        <w:tab w:val="center" w:pos="4252"/>
        <w:tab w:val="right" w:pos="8504"/>
      </w:tabs>
      <w:spacing w:after="0" w:line="240" w:lineRule="auto"/>
    </w:pPr>
  </w:style>
  <w:style w:type="paragraph" w:styleId="18">
    <w:name w:val="Balloon Text"/>
    <w:basedOn w:val="1"/>
    <w:link w:val="50"/>
    <w:semiHidden/>
    <w:unhideWhenUsed/>
    <w:qFormat/>
    <w:uiPriority w:val="99"/>
    <w:pPr>
      <w:spacing w:after="0" w:line="240" w:lineRule="auto"/>
    </w:pPr>
    <w:rPr>
      <w:rFonts w:ascii="Segoe UI" w:hAnsi="Segoe UI" w:cs="Segoe UI"/>
      <w:sz w:val="18"/>
      <w:szCs w:val="18"/>
    </w:rPr>
  </w:style>
  <w:style w:type="paragraph" w:styleId="19">
    <w:name w:val="footnote text"/>
    <w:basedOn w:val="1"/>
    <w:link w:val="43"/>
    <w:unhideWhenUsed/>
    <w:qFormat/>
    <w:uiPriority w:val="99"/>
    <w:pPr>
      <w:spacing w:after="0" w:line="240" w:lineRule="auto"/>
    </w:pPr>
    <w:rPr>
      <w:sz w:val="20"/>
      <w:szCs w:val="20"/>
    </w:rPr>
  </w:style>
  <w:style w:type="table" w:styleId="20">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laceholder Text"/>
    <w:basedOn w:val="2"/>
    <w:semiHidden/>
    <w:qFormat/>
    <w:uiPriority w:val="99"/>
    <w:rPr>
      <w:color w:val="808080"/>
    </w:rPr>
  </w:style>
  <w:style w:type="character" w:customStyle="1" w:styleId="22">
    <w:name w:val="Cabeçalho Char"/>
    <w:basedOn w:val="2"/>
    <w:link w:val="15"/>
    <w:qFormat/>
    <w:uiPriority w:val="99"/>
  </w:style>
  <w:style w:type="character" w:customStyle="1" w:styleId="23">
    <w:name w:val="Rodapé Char"/>
    <w:basedOn w:val="2"/>
    <w:link w:val="17"/>
    <w:qFormat/>
    <w:uiPriority w:val="99"/>
  </w:style>
  <w:style w:type="character" w:customStyle="1" w:styleId="24">
    <w:name w:val="Link da Internet"/>
    <w:qFormat/>
    <w:uiPriority w:val="0"/>
    <w:rPr>
      <w:color w:val="000080"/>
      <w:u w:val="single"/>
    </w:rPr>
  </w:style>
  <w:style w:type="character" w:customStyle="1" w:styleId="25">
    <w:name w:val="Unresolved Mention"/>
    <w:basedOn w:val="2"/>
    <w:semiHidden/>
    <w:unhideWhenUsed/>
    <w:qFormat/>
    <w:uiPriority w:val="99"/>
    <w:rPr>
      <w:color w:val="605E5C"/>
      <w:shd w:val="clear" w:color="auto" w:fill="E1DFDD"/>
    </w:rPr>
  </w:style>
  <w:style w:type="character" w:customStyle="1" w:styleId="26">
    <w:name w:val="Sem Espaçamento Char"/>
    <w:link w:val="27"/>
    <w:qFormat/>
    <w:uiPriority w:val="99"/>
    <w:rPr>
      <w:rFonts w:ascii="Calibri" w:hAnsi="Calibri" w:eastAsia="Calibri" w:cs="Times New Roman"/>
      <w:sz w:val="20"/>
      <w:szCs w:val="20"/>
      <w:lang w:eastAsia="pt-BR"/>
    </w:rPr>
  </w:style>
  <w:style w:type="paragraph" w:styleId="27">
    <w:name w:val="No Spacing"/>
    <w:link w:val="26"/>
    <w:qFormat/>
    <w:uiPriority w:val="99"/>
    <w:pPr>
      <w:suppressAutoHyphens/>
    </w:pPr>
    <w:rPr>
      <w:rFonts w:cs="Times New Roman" w:asciiTheme="minorHAnsi" w:hAnsiTheme="minorHAnsi" w:eastAsiaTheme="minorHAnsi"/>
      <w:lang w:val="pt-BR" w:eastAsia="pt-BR" w:bidi="ar-SA"/>
    </w:rPr>
  </w:style>
  <w:style w:type="character" w:customStyle="1" w:styleId="28">
    <w:name w:val="Texto de comentário Char"/>
    <w:basedOn w:val="2"/>
    <w:link w:val="10"/>
    <w:semiHidden/>
    <w:qFormat/>
    <w:uiPriority w:val="99"/>
    <w:rPr>
      <w:sz w:val="20"/>
      <w:szCs w:val="20"/>
    </w:rPr>
  </w:style>
  <w:style w:type="character" w:customStyle="1" w:styleId="29">
    <w:name w:val="WW8Num3z0"/>
    <w:qFormat/>
    <w:uiPriority w:val="0"/>
    <w:rPr>
      <w:rFonts w:ascii="Calibri" w:hAnsi="Calibri" w:cs="Arial"/>
      <w:b/>
      <w:bCs/>
      <w:vanish/>
      <w:color w:val="000000"/>
      <w:sz w:val="22"/>
      <w:szCs w:val="20"/>
      <w:highlight w:val="yellow"/>
      <w:lang w:bidi="hi-IN"/>
    </w:rPr>
  </w:style>
  <w:style w:type="character" w:customStyle="1" w:styleId="30">
    <w:name w:val="WW8Num3z3"/>
    <w:qFormat/>
    <w:uiPriority w:val="0"/>
    <w:rPr>
      <w:rFonts w:ascii="Calibri" w:hAnsi="Calibri" w:cs="Calibri"/>
      <w:b/>
      <w:color w:val="000000"/>
      <w:sz w:val="22"/>
      <w:szCs w:val="22"/>
    </w:rPr>
  </w:style>
  <w:style w:type="character" w:customStyle="1" w:styleId="31">
    <w:name w:val="WW8Num3z4"/>
    <w:qFormat/>
    <w:uiPriority w:val="0"/>
    <w:rPr>
      <w:rFonts w:cs="Arial"/>
      <w:b/>
      <w:color w:val="000000"/>
      <w:sz w:val="20"/>
      <w:szCs w:val="20"/>
    </w:rPr>
  </w:style>
  <w:style w:type="character" w:customStyle="1" w:styleId="32">
    <w:name w:val="WW8Num3z5"/>
    <w:qFormat/>
    <w:uiPriority w:val="0"/>
    <w:rPr>
      <w:b/>
    </w:rPr>
  </w:style>
  <w:style w:type="character" w:customStyle="1" w:styleId="33">
    <w:name w:val="Fonte parág. padrão1"/>
    <w:qFormat/>
    <w:uiPriority w:val="0"/>
  </w:style>
  <w:style w:type="paragraph" w:customStyle="1" w:styleId="34">
    <w:name w:val="Índice"/>
    <w:basedOn w:val="1"/>
    <w:qFormat/>
    <w:uiPriority w:val="0"/>
    <w:pPr>
      <w:suppressLineNumbers/>
    </w:pPr>
    <w:rPr>
      <w:rFonts w:cs="Lucida Sans"/>
    </w:rPr>
  </w:style>
  <w:style w:type="paragraph" w:customStyle="1" w:styleId="35">
    <w:name w:val="Cabeçalho e Rodapé"/>
    <w:basedOn w:val="1"/>
    <w:qFormat/>
    <w:uiPriority w:val="0"/>
  </w:style>
  <w:style w:type="paragraph" w:styleId="36">
    <w:name w:val="List Paragraph"/>
    <w:basedOn w:val="1"/>
    <w:qFormat/>
    <w:uiPriority w:val="34"/>
    <w:pPr>
      <w:ind w:left="720"/>
      <w:contextualSpacing/>
    </w:pPr>
  </w:style>
  <w:style w:type="paragraph" w:customStyle="1" w:styleId="37">
    <w:name w:val="Standard"/>
    <w:next w:val="1"/>
    <w:qFormat/>
    <w:uiPriority w:val="0"/>
    <w:pPr>
      <w:suppressAutoHyphens/>
    </w:pPr>
    <w:rPr>
      <w:rFonts w:ascii="Times New Roman" w:hAnsi="Times New Roman" w:eastAsia="SimSun" w:cs="Times New Roman"/>
      <w:kern w:val="2"/>
      <w:lang w:val="pt-BR" w:eastAsia="zh-CN" w:bidi="ar-SA"/>
    </w:rPr>
  </w:style>
  <w:style w:type="paragraph" w:customStyle="1" w:styleId="38">
    <w:name w:val="Cabeçalho1"/>
    <w:basedOn w:val="37"/>
    <w:qFormat/>
    <w:uiPriority w:val="0"/>
    <w:pPr>
      <w:jc w:val="both"/>
    </w:pPr>
    <w:rPr>
      <w:rFonts w:eastAsia="Times New Roman"/>
      <w:color w:val="00000A"/>
      <w:kern w:val="0"/>
      <w:sz w:val="24"/>
    </w:rPr>
  </w:style>
  <w:style w:type="paragraph" w:customStyle="1" w:styleId="39">
    <w:name w:val="Conteúdo do quadro"/>
    <w:basedOn w:val="1"/>
    <w:qFormat/>
    <w:uiPriority w:val="0"/>
  </w:style>
  <w:style w:type="paragraph" w:customStyle="1" w:styleId="40">
    <w:name w:val="western"/>
    <w:basedOn w:val="1"/>
    <w:qFormat/>
    <w:uiPriority w:val="0"/>
    <w:pPr>
      <w:suppressAutoHyphens w:val="0"/>
      <w:spacing w:before="100" w:beforeAutospacing="1" w:after="142" w:line="276" w:lineRule="auto"/>
    </w:pPr>
    <w:rPr>
      <w:rFonts w:ascii="Liberation Serif" w:hAnsi="Liberation Serif" w:eastAsia="Times New Roman" w:cs="Liberation Serif"/>
      <w:color w:val="000000"/>
      <w:sz w:val="24"/>
      <w:szCs w:val="24"/>
      <w:lang w:eastAsia="pt-BR"/>
    </w:rPr>
  </w:style>
  <w:style w:type="character" w:customStyle="1" w:styleId="41">
    <w:name w:val="Texto de comentário Char1"/>
    <w:qFormat/>
    <w:uiPriority w:val="99"/>
    <w:rPr>
      <w:rFonts w:ascii="Liberation Serif" w:hAnsi="Liberation Serif" w:eastAsia="SimSun" w:cs="Mangal"/>
      <w:szCs w:val="18"/>
      <w:lang w:eastAsia="zh-CN" w:bidi="hi-IN"/>
    </w:rPr>
  </w:style>
  <w:style w:type="character" w:customStyle="1" w:styleId="42">
    <w:name w:val="WW8Num5z5"/>
    <w:qFormat/>
    <w:uiPriority w:val="0"/>
    <w:rPr>
      <w:b/>
    </w:rPr>
  </w:style>
  <w:style w:type="character" w:customStyle="1" w:styleId="43">
    <w:name w:val="Texto de nota de rodapé Char"/>
    <w:basedOn w:val="2"/>
    <w:link w:val="19"/>
    <w:qFormat/>
    <w:uiPriority w:val="99"/>
    <w:rPr>
      <w:sz w:val="20"/>
      <w:szCs w:val="20"/>
    </w:rPr>
  </w:style>
  <w:style w:type="character" w:customStyle="1" w:styleId="44">
    <w:name w:val="WW8Num7z5"/>
    <w:qFormat/>
    <w:uiPriority w:val="0"/>
  </w:style>
  <w:style w:type="paragraph" w:customStyle="1" w:styleId="45">
    <w:name w:val="04partenormativa"/>
    <w:basedOn w:val="1"/>
    <w:qFormat/>
    <w:uiPriority w:val="0"/>
    <w:pPr>
      <w:suppressAutoHyphens w:val="0"/>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46">
    <w:name w:val="selectable-text"/>
    <w:basedOn w:val="2"/>
    <w:qFormat/>
    <w:uiPriority w:val="0"/>
  </w:style>
  <w:style w:type="character" w:customStyle="1" w:styleId="47">
    <w:name w:val="Âncora da nota de rodapé"/>
    <w:qFormat/>
    <w:uiPriority w:val="0"/>
    <w:rPr>
      <w:vertAlign w:val="superscript"/>
    </w:rPr>
  </w:style>
  <w:style w:type="character" w:customStyle="1" w:styleId="48">
    <w:name w:val="Caracteres de nota de rodapé"/>
    <w:qFormat/>
    <w:uiPriority w:val="0"/>
  </w:style>
  <w:style w:type="character" w:customStyle="1" w:styleId="49">
    <w:name w:val="Assunto do comentário Char"/>
    <w:basedOn w:val="28"/>
    <w:link w:val="16"/>
    <w:semiHidden/>
    <w:qFormat/>
    <w:uiPriority w:val="99"/>
    <w:rPr>
      <w:b/>
      <w:bCs/>
      <w:sz w:val="20"/>
      <w:szCs w:val="20"/>
    </w:rPr>
  </w:style>
  <w:style w:type="character" w:customStyle="1" w:styleId="50">
    <w:name w:val="Texto de balão Char"/>
    <w:basedOn w:val="2"/>
    <w:link w:val="18"/>
    <w:semiHidden/>
    <w:qFormat/>
    <w:uiPriority w:val="99"/>
    <w:rPr>
      <w:rFonts w:ascii="Segoe UI" w:hAnsi="Segoe UI" w:cs="Segoe UI"/>
      <w:sz w:val="18"/>
      <w:szCs w:val="18"/>
    </w:rPr>
  </w:style>
  <w:style w:type="character" w:customStyle="1" w:styleId="51">
    <w:name w:val="WW8Num5z3"/>
    <w:qFormat/>
    <w:uiPriority w:val="0"/>
    <w:rPr>
      <w:rFonts w:cs="Arial"/>
      <w:b/>
      <w:color w:val="000000"/>
      <w:sz w:val="20"/>
      <w:szCs w:val="20"/>
    </w:rPr>
  </w:style>
  <w:style w:type="paragraph" w:customStyle="1" w:styleId="52">
    <w:name w:val="LO-normal"/>
    <w:qFormat/>
    <w:uiPriority w:val="0"/>
    <w:pPr>
      <w:widowControl w:val="0"/>
      <w:suppressAutoHyphens/>
      <w:contextualSpacing/>
    </w:pPr>
    <w:rPr>
      <w:rFonts w:ascii="Times New Roman" w:hAnsi="Times New Roman" w:eastAsia="Times New Roman" w:cs="Times New Roman"/>
      <w:color w:val="000000"/>
      <w:sz w:val="24"/>
      <w:lang w:val="pt-BR" w:eastAsia="zh-CN" w:bidi="ar-SA"/>
    </w:rPr>
  </w:style>
  <w:style w:type="paragraph" w:customStyle="1" w:styleId="53">
    <w:name w:val="Heading 21"/>
    <w:basedOn w:val="1"/>
    <w:next w:val="1"/>
    <w:qFormat/>
    <w:uiPriority w:val="0"/>
    <w:pPr>
      <w:keepNext/>
      <w:keepLines/>
      <w:spacing w:before="200" w:after="0" w:line="240" w:lineRule="auto"/>
    </w:pPr>
    <w:rPr>
      <w:rFonts w:ascii="Cambria" w:hAnsi="Cambria" w:eastAsia="Calibri" w:cs="Tahoma"/>
      <w:b/>
      <w:bCs/>
      <w:color w:val="4F81BD"/>
      <w:sz w:val="26"/>
      <w:szCs w:val="26"/>
      <w:lang w:eastAsia="zh-CN"/>
    </w:rPr>
  </w:style>
  <w:style w:type="paragraph" w:customStyle="1" w:styleId="54">
    <w:name w:val="Nivel 2"/>
    <w:basedOn w:val="1"/>
    <w:qFormat/>
    <w:uiPriority w:val="0"/>
    <w:pPr>
      <w:spacing w:before="120" w:after="120" w:line="276" w:lineRule="auto"/>
      <w:jc w:val="both"/>
    </w:pPr>
    <w:rPr>
      <w:rFonts w:ascii="Arial" w:hAnsi="Arial" w:eastAsia="Times New Roman" w:cs="Arial"/>
      <w:color w:val="000000"/>
      <w:sz w:val="20"/>
      <w:szCs w:val="20"/>
      <w:lang w:eastAsia="zh-CN"/>
    </w:rPr>
  </w:style>
  <w:style w:type="paragraph" w:customStyle="1" w:styleId="55">
    <w:name w:val="Título 61"/>
    <w:basedOn w:val="1"/>
    <w:next w:val="1"/>
    <w:qFormat/>
    <w:uiPriority w:val="0"/>
    <w:pPr>
      <w:keepNext/>
      <w:spacing w:after="0" w:line="240" w:lineRule="auto"/>
      <w:jc w:val="both"/>
      <w:outlineLvl w:val="5"/>
    </w:pPr>
    <w:rPr>
      <w:rFonts w:ascii="Times New Roman" w:hAnsi="Times New Roman" w:eastAsia="Times New Roman" w:cs="Times New Roman"/>
      <w:sz w:val="24"/>
      <w:szCs w:val="20"/>
      <w:lang w:eastAsia="pt-BR"/>
    </w:rPr>
  </w:style>
  <w:style w:type="paragraph" w:customStyle="1" w:styleId="56">
    <w:name w:val="Heading 61"/>
    <w:basedOn w:val="1"/>
    <w:next w:val="1"/>
    <w:qFormat/>
    <w:uiPriority w:val="0"/>
    <w:pPr>
      <w:keepNext/>
      <w:spacing w:after="0" w:line="240" w:lineRule="auto"/>
      <w:jc w:val="both"/>
    </w:pPr>
    <w:rPr>
      <w:rFonts w:ascii="Times New Roman" w:hAnsi="Times New Roman" w:eastAsia="Times New Roman" w:cs="Times New Roman"/>
      <w:sz w:val="24"/>
      <w:szCs w:val="20"/>
      <w:lang w:eastAsia="zh-CN"/>
    </w:rPr>
  </w:style>
  <w:style w:type="paragraph" w:customStyle="1" w:styleId="57">
    <w:name w:val="Texto de comentário5"/>
    <w:basedOn w:val="1"/>
    <w:qFormat/>
    <w:uiPriority w:val="0"/>
    <w:pPr>
      <w:spacing w:after="0" w:line="240" w:lineRule="auto"/>
    </w:pPr>
    <w:rPr>
      <w:rFonts w:ascii="Times New Roman" w:hAnsi="Times New Roman" w:eastAsia="Times New Roman" w:cs="Times New Roman"/>
      <w:sz w:val="20"/>
      <w:szCs w:val="20"/>
      <w:lang w:eastAsia="zh-CN"/>
    </w:rPr>
  </w:style>
  <w:style w:type="paragraph" w:customStyle="1" w:styleId="58">
    <w:name w:val="Nivel 3"/>
    <w:basedOn w:val="1"/>
    <w:qFormat/>
    <w:uiPriority w:val="0"/>
    <w:pPr>
      <w:spacing w:before="120" w:after="120" w:line="276" w:lineRule="auto"/>
      <w:ind w:left="425"/>
      <w:jc w:val="both"/>
    </w:pPr>
    <w:rPr>
      <w:rFonts w:ascii="Arial" w:hAnsi="Arial" w:eastAsia="Times New Roman" w:cs="Arial"/>
      <w:color w:val="000000"/>
      <w:sz w:val="20"/>
      <w:szCs w:val="20"/>
      <w:lang w:eastAsia="zh-CN"/>
    </w:rPr>
  </w:style>
  <w:style w:type="paragraph" w:customStyle="1" w:styleId="59">
    <w:name w:val="Nível 3-R"/>
    <w:basedOn w:val="1"/>
    <w:qFormat/>
    <w:uiPriority w:val="0"/>
    <w:pPr>
      <w:numPr>
        <w:ilvl w:val="0"/>
        <w:numId w:val="1"/>
      </w:numPr>
      <w:spacing w:before="120" w:after="120" w:line="276" w:lineRule="auto"/>
      <w:ind w:left="3198" w:hanging="504"/>
      <w:jc w:val="both"/>
    </w:pPr>
    <w:rPr>
      <w:rFonts w:ascii="Arial" w:hAnsi="Arial" w:eastAsia="Times New Roman" w:cs="Arial"/>
      <w:i/>
      <w:iCs/>
      <w:color w:val="FF0000"/>
      <w:sz w:val="20"/>
      <w:szCs w:val="20"/>
      <w:lang w:eastAsia="zh-CN"/>
    </w:rPr>
  </w:style>
  <w:style w:type="paragraph" w:customStyle="1" w:styleId="60">
    <w:name w:val="Nível 2 -Red"/>
    <w:basedOn w:val="1"/>
    <w:qFormat/>
    <w:uiPriority w:val="0"/>
    <w:pPr>
      <w:spacing w:before="120" w:after="120" w:line="276" w:lineRule="auto"/>
      <w:jc w:val="both"/>
    </w:pPr>
    <w:rPr>
      <w:rFonts w:ascii="Arial" w:hAnsi="Arial" w:eastAsia="Times New Roman" w:cs="Arial"/>
      <w:i/>
      <w:iCs/>
      <w:color w:val="FF0000"/>
      <w:sz w:val="20"/>
      <w:szCs w:val="20"/>
      <w:lang w:eastAsia="zh-CN"/>
    </w:rPr>
  </w:style>
  <w:style w:type="character" w:customStyle="1" w:styleId="61">
    <w:name w:val="Fonte parág. padrão4"/>
    <w:qFormat/>
    <w:uiPriority w:val="0"/>
  </w:style>
  <w:style w:type="character" w:customStyle="1" w:styleId="62">
    <w:name w:val="WW8Num35z2"/>
    <w:qFormat/>
    <w:uiPriority w:val="0"/>
    <w:rPr>
      <w:rFonts w:ascii="Arial" w:hAnsi="Arial" w:cs="Arial"/>
      <w:color w:val="auto"/>
      <w:sz w:val="20"/>
      <w:szCs w:val="20"/>
    </w:rPr>
  </w:style>
  <w:style w:type="character" w:customStyle="1" w:styleId="63">
    <w:name w:val="Fonte parág. padrão3"/>
    <w:qFormat/>
    <w:uiPriority w:val="0"/>
  </w:style>
  <w:style w:type="paragraph" w:customStyle="1" w:styleId="64">
    <w:name w:val="Table Paragraph"/>
    <w:basedOn w:val="1"/>
    <w:qFormat/>
    <w:uiPriority w:val="1"/>
    <w:rPr>
      <w:rFonts w:ascii="Tahoma" w:hAnsi="Tahoma" w:eastAsia="Tahoma" w:cs="Tahoma"/>
    </w:rPr>
  </w:style>
  <w:style w:type="paragraph" w:customStyle="1" w:styleId="65">
    <w:name w:val="texto_justificado"/>
    <w:basedOn w:val="1"/>
    <w:qFormat/>
    <w:uiPriority w:val="0"/>
    <w:pPr>
      <w:suppressAutoHyphens w:val="0"/>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66">
    <w:name w:val="Parágrafo da Lista1"/>
    <w:basedOn w:val="1"/>
    <w:qFormat/>
    <w:uiPriority w:val="0"/>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54C055-CE26-41FB-9DF4-04FACC4ABB04}">
  <ds:schemaRefs/>
</ds:datastoreItem>
</file>

<file path=docProps/app.xml><?xml version="1.0" encoding="utf-8"?>
<Properties xmlns="http://schemas.openxmlformats.org/officeDocument/2006/extended-properties" xmlns:vt="http://schemas.openxmlformats.org/officeDocument/2006/docPropsVTypes">
  <Template>Normal.dotm</Template>
  <Pages>76</Pages>
  <Words>24286</Words>
  <Characters>131149</Characters>
  <Lines>1092</Lines>
  <Paragraphs>310</Paragraphs>
  <TotalTime>5</TotalTime>
  <ScaleCrop>false</ScaleCrop>
  <LinksUpToDate>false</LinksUpToDate>
  <CharactersWithSpaces>155125</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2024-04-29T16:27:00Z</dcterms:created>
  <dc:creator>SECRETARIA</dc:creator>
  <cp:lastModifiedBy>edjane.silva</cp:lastModifiedBy>
  <cp:lastPrinted>2023-12-22T17:39:00Z</cp:lastPrinted>
  <dcterms:modified xsi:type="dcterms:W3CDTF">2024-05-31T18:05:16Z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1046-12.2.0.13266</vt:lpwstr>
  </property>
  <property fmtid="{D5CDD505-2E9C-101B-9397-08002B2CF9AE}" pid="3" name="ICV">
    <vt:lpwstr>DD1C8F455117461F8CB4ABBC813895B4_13</vt:lpwstr>
  </property>
</Properties>
</file>