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uppressAutoHyphens w:val="0"/>
        <w:spacing w:before="120" w:after="120"/>
        <w:jc w:val="center"/>
        <w:rPr>
          <w:sz w:val="24"/>
          <w:szCs w:val="24"/>
          <w:lang w:eastAsia="pt-BR"/>
        </w:rPr>
      </w:pPr>
      <w:bookmarkStart w:id="0" w:name="_GoBack"/>
      <w:bookmarkEnd w:id="0"/>
      <w:r>
        <w:rPr>
          <w:rFonts w:ascii="Calibri" w:hAnsi="Calibri" w:cs="Calibri"/>
          <w:b/>
          <w:bCs/>
          <w:color w:val="000000"/>
          <w:sz w:val="22"/>
          <w:szCs w:val="22"/>
          <w:lang w:eastAsia="pt-BR"/>
        </w:rPr>
        <w:t>ANEXO I</w:t>
      </w:r>
    </w:p>
    <w:p>
      <w:pPr>
        <w:suppressAutoHyphens w:val="0"/>
        <w:spacing w:before="120" w:after="120"/>
        <w:jc w:val="center"/>
        <w:rPr>
          <w:sz w:val="24"/>
          <w:szCs w:val="24"/>
          <w:lang w:eastAsia="pt-BR"/>
        </w:rPr>
      </w:pPr>
      <w:r>
        <w:rPr>
          <w:rFonts w:ascii="Calibri" w:hAnsi="Calibri" w:cs="Calibri"/>
          <w:b/>
          <w:bCs/>
          <w:color w:val="000000"/>
          <w:sz w:val="22"/>
          <w:szCs w:val="22"/>
          <w:lang w:eastAsia="pt-BR"/>
        </w:rPr>
        <w:t>TERMO DE REFERÊNCIA 01/2023</w:t>
      </w:r>
    </w:p>
    <w:p>
      <w:pPr>
        <w:suppressAutoHyphens w:val="0"/>
        <w:rPr>
          <w:sz w:val="24"/>
          <w:szCs w:val="24"/>
          <w:lang w:eastAsia="pt-BR"/>
        </w:rPr>
      </w:pPr>
    </w:p>
    <w:p>
      <w:pPr>
        <w:suppressAutoHyphens w:val="0"/>
        <w:rPr>
          <w:rFonts w:asciiTheme="minorHAnsi" w:hAnsiTheme="minorHAnsi" w:cstheme="minorHAnsi"/>
          <w:sz w:val="22"/>
          <w:szCs w:val="22"/>
          <w:lang w:eastAsia="pt-BR"/>
        </w:rPr>
      </w:pPr>
    </w:p>
    <w:p>
      <w:pPr>
        <w:suppressAutoHyphens w:val="0"/>
        <w:jc w:val="both"/>
        <w:rPr>
          <w:rFonts w:asciiTheme="minorHAnsi" w:hAnsiTheme="minorHAnsi" w:cstheme="minorHAnsi"/>
          <w:sz w:val="22"/>
          <w:szCs w:val="22"/>
          <w:lang w:eastAsia="pt-BR"/>
        </w:rPr>
      </w:pPr>
      <w:r>
        <w:rPr>
          <w:rFonts w:asciiTheme="minorHAnsi" w:hAnsiTheme="minorHAnsi" w:cstheme="minorHAnsi"/>
          <w:b/>
          <w:bCs/>
          <w:color w:val="000000"/>
          <w:sz w:val="22"/>
          <w:szCs w:val="22"/>
          <w:lang w:eastAsia="pt-BR"/>
        </w:rPr>
        <w:t>1. DO OBJETO</w:t>
      </w:r>
    </w:p>
    <w:p>
      <w:pPr>
        <w:suppressAutoHyphens w:val="0"/>
        <w:ind w:right="75" w:firstLine="284"/>
        <w:jc w:val="both"/>
        <w:rPr>
          <w:rFonts w:asciiTheme="minorHAnsi" w:hAnsiTheme="minorHAnsi" w:cstheme="minorHAnsi"/>
          <w:sz w:val="22"/>
          <w:szCs w:val="22"/>
          <w:lang w:eastAsia="pt-BR"/>
        </w:rPr>
      </w:pPr>
    </w:p>
    <w:p>
      <w:pPr>
        <w:suppressAutoHyphens w:val="0"/>
        <w:ind w:right="75" w:firstLine="709"/>
        <w:jc w:val="both"/>
        <w:rPr>
          <w:rFonts w:asciiTheme="minorHAnsi" w:hAnsiTheme="minorHAnsi" w:cstheme="minorHAnsi"/>
          <w:color w:val="000000"/>
          <w:sz w:val="22"/>
          <w:szCs w:val="22"/>
          <w:lang w:eastAsia="pt-BR"/>
        </w:rPr>
      </w:pPr>
      <w:r>
        <w:rPr>
          <w:rFonts w:asciiTheme="minorHAnsi" w:hAnsiTheme="minorHAnsi" w:cstheme="minorHAnsi"/>
          <w:color w:val="000000"/>
          <w:sz w:val="22"/>
          <w:szCs w:val="22"/>
          <w:lang w:eastAsia="pt-BR"/>
        </w:rPr>
        <w:t>O objeto deste Termo de Referência é a aquisição dos seguintes itens, na forma detalhada no(s) quadro(s) abaixo :</w:t>
      </w:r>
    </w:p>
    <w:p>
      <w:pPr>
        <w:suppressAutoHyphens w:val="0"/>
        <w:ind w:right="75" w:firstLine="709"/>
        <w:jc w:val="both"/>
        <w:rPr>
          <w:rFonts w:ascii="Calibri" w:hAnsi="Calibri" w:cs="Calibri"/>
          <w:color w:val="000000"/>
          <w:sz w:val="22"/>
          <w:szCs w:val="22"/>
          <w:lang w:eastAsia="pt-BR"/>
        </w:rPr>
      </w:pPr>
    </w:p>
    <w:p>
      <w:pPr>
        <w:suppressAutoHyphens w:val="0"/>
        <w:ind w:right="75" w:firstLine="709"/>
        <w:jc w:val="both"/>
        <w:rPr>
          <w:sz w:val="24"/>
          <w:szCs w:val="24"/>
          <w:lang w:eastAsia="pt-BR"/>
        </w:rPr>
      </w:pPr>
    </w:p>
    <w:tbl>
      <w:tblPr>
        <w:tblStyle w:val="8"/>
        <w:tblW w:w="10843" w:type="dxa"/>
        <w:tblInd w:w="0" w:type="dxa"/>
        <w:tblLayout w:type="fixed"/>
        <w:tblCellMar>
          <w:top w:w="0" w:type="dxa"/>
          <w:left w:w="70" w:type="dxa"/>
          <w:bottom w:w="0" w:type="dxa"/>
          <w:right w:w="70" w:type="dxa"/>
        </w:tblCellMar>
      </w:tblPr>
      <w:tblGrid>
        <w:gridCol w:w="779"/>
        <w:gridCol w:w="992"/>
        <w:gridCol w:w="4111"/>
        <w:gridCol w:w="1276"/>
        <w:gridCol w:w="992"/>
        <w:gridCol w:w="992"/>
        <w:gridCol w:w="1701"/>
      </w:tblGrid>
      <w:tr>
        <w:tblPrEx>
          <w:tblCellMar>
            <w:top w:w="0" w:type="dxa"/>
            <w:left w:w="70" w:type="dxa"/>
            <w:bottom w:w="0" w:type="dxa"/>
            <w:right w:w="70" w:type="dxa"/>
          </w:tblCellMar>
        </w:tblPrEx>
        <w:trPr>
          <w:trHeight w:val="419" w:hRule="atLeast"/>
        </w:trPr>
        <w:tc>
          <w:tcPr>
            <w:tcW w:w="779" w:type="dxa"/>
            <w:tcBorders>
              <w:top w:val="single" w:color="000000" w:sz="4" w:space="0"/>
              <w:left w:val="single" w:color="000000" w:sz="4" w:space="0"/>
              <w:bottom w:val="single" w:color="000000" w:sz="4" w:space="0"/>
            </w:tcBorders>
            <w:shd w:val="clear" w:color="auto" w:fill="BFBFBF"/>
            <w:vAlign w:val="center"/>
          </w:tcPr>
          <w:p>
            <w:pPr>
              <w:spacing w:line="360" w:lineRule="auto"/>
              <w:jc w:val="center"/>
              <w:rPr>
                <w:rFonts w:ascii="Calibri" w:hAnsi="Calibri" w:cs="Calibri"/>
                <w:bCs/>
                <w:sz w:val="22"/>
                <w:szCs w:val="22"/>
              </w:rPr>
            </w:pPr>
            <w:r>
              <w:rPr>
                <w:rFonts w:ascii="Calibri" w:hAnsi="Calibri" w:cs="Calibri"/>
                <w:bCs/>
                <w:sz w:val="22"/>
                <w:szCs w:val="22"/>
              </w:rPr>
              <w:t>ITEM</w:t>
            </w:r>
          </w:p>
        </w:tc>
        <w:tc>
          <w:tcPr>
            <w:tcW w:w="992" w:type="dxa"/>
            <w:tcBorders>
              <w:top w:val="single" w:color="000000" w:sz="4" w:space="0"/>
              <w:left w:val="single" w:color="000000" w:sz="4" w:space="0"/>
              <w:bottom w:val="single" w:color="000000" w:sz="4" w:space="0"/>
            </w:tcBorders>
            <w:shd w:val="clear" w:color="auto" w:fill="BFBFBF"/>
            <w:vAlign w:val="center"/>
          </w:tcPr>
          <w:p>
            <w:pPr>
              <w:spacing w:line="360" w:lineRule="auto"/>
              <w:jc w:val="center"/>
              <w:rPr>
                <w:rFonts w:ascii="Calibri" w:hAnsi="Calibri" w:cs="Calibri"/>
                <w:bCs/>
                <w:sz w:val="22"/>
                <w:szCs w:val="22"/>
              </w:rPr>
            </w:pPr>
            <w:r>
              <w:rPr>
                <w:rFonts w:ascii="Calibri" w:hAnsi="Calibri" w:cs="Calibri"/>
                <w:bCs/>
                <w:sz w:val="22"/>
                <w:szCs w:val="22"/>
              </w:rPr>
              <w:t>E-FISCO</w:t>
            </w:r>
          </w:p>
        </w:tc>
        <w:tc>
          <w:tcPr>
            <w:tcW w:w="4111" w:type="dxa"/>
            <w:tcBorders>
              <w:top w:val="single" w:color="000000" w:sz="4" w:space="0"/>
              <w:left w:val="single" w:color="000000" w:sz="4" w:space="0"/>
              <w:bottom w:val="single" w:color="000000" w:sz="4" w:space="0"/>
            </w:tcBorders>
            <w:shd w:val="clear" w:color="auto" w:fill="BFBFBF"/>
            <w:vAlign w:val="center"/>
          </w:tcPr>
          <w:p>
            <w:pPr>
              <w:spacing w:line="360" w:lineRule="auto"/>
              <w:jc w:val="center"/>
              <w:rPr>
                <w:rFonts w:ascii="Calibri" w:hAnsi="Calibri" w:cs="Calibri"/>
                <w:bCs/>
                <w:sz w:val="22"/>
                <w:szCs w:val="22"/>
              </w:rPr>
            </w:pPr>
            <w:r>
              <w:rPr>
                <w:rFonts w:ascii="Calibri" w:hAnsi="Calibri" w:cs="Calibri"/>
                <w:bCs/>
                <w:sz w:val="22"/>
                <w:szCs w:val="22"/>
              </w:rPr>
              <w:t>DESCRIÇÃO DO OBJETO</w:t>
            </w:r>
          </w:p>
        </w:tc>
        <w:tc>
          <w:tcPr>
            <w:tcW w:w="1276" w:type="dxa"/>
            <w:tcBorders>
              <w:top w:val="single" w:color="000000" w:sz="4" w:space="0"/>
              <w:left w:val="single" w:color="000000" w:sz="4" w:space="0"/>
              <w:bottom w:val="single" w:color="000000" w:sz="4" w:space="0"/>
            </w:tcBorders>
            <w:shd w:val="clear" w:color="auto" w:fill="BFBFBF"/>
            <w:vAlign w:val="center"/>
          </w:tcPr>
          <w:p>
            <w:pPr>
              <w:spacing w:line="360" w:lineRule="auto"/>
              <w:jc w:val="center"/>
              <w:rPr>
                <w:rFonts w:ascii="Calibri" w:hAnsi="Calibri" w:cs="Calibri"/>
                <w:bCs/>
                <w:sz w:val="22"/>
                <w:szCs w:val="22"/>
              </w:rPr>
            </w:pPr>
            <w:r>
              <w:rPr>
                <w:rFonts w:ascii="Calibri" w:hAnsi="Calibri" w:cs="Calibri"/>
                <w:bCs/>
                <w:sz w:val="22"/>
                <w:szCs w:val="22"/>
              </w:rPr>
              <w:t>UNID.</w:t>
            </w:r>
            <w:r>
              <w:rPr>
                <w:rFonts w:asciiTheme="minorHAnsi" w:hAnsiTheme="minorHAnsi" w:cstheme="minorHAnsi"/>
                <w:bCs/>
                <w:sz w:val="22"/>
                <w:szCs w:val="22"/>
              </w:rPr>
              <w:t xml:space="preserve"> DE MEDIDA</w:t>
            </w:r>
          </w:p>
        </w:tc>
        <w:tc>
          <w:tcPr>
            <w:tcW w:w="992" w:type="dxa"/>
            <w:tcBorders>
              <w:top w:val="single" w:color="000000" w:sz="4" w:space="0"/>
              <w:left w:val="single" w:color="000000" w:sz="4" w:space="0"/>
              <w:bottom w:val="single" w:color="000000" w:sz="4" w:space="0"/>
            </w:tcBorders>
            <w:shd w:val="clear" w:color="auto" w:fill="BFBFBF"/>
            <w:vAlign w:val="center"/>
          </w:tcPr>
          <w:p>
            <w:pPr>
              <w:spacing w:line="360" w:lineRule="auto"/>
              <w:jc w:val="center"/>
              <w:rPr>
                <w:rFonts w:ascii="Calibri" w:hAnsi="Calibri" w:cs="Calibri"/>
                <w:bCs/>
                <w:sz w:val="22"/>
                <w:szCs w:val="22"/>
              </w:rPr>
            </w:pPr>
            <w:r>
              <w:rPr>
                <w:rFonts w:ascii="Calibri" w:hAnsi="Calibri" w:cs="Calibri"/>
                <w:bCs/>
                <w:sz w:val="22"/>
                <w:szCs w:val="22"/>
              </w:rPr>
              <w:t>QTD.</w:t>
            </w:r>
          </w:p>
        </w:tc>
        <w:tc>
          <w:tcPr>
            <w:tcW w:w="992" w:type="dxa"/>
            <w:tcBorders>
              <w:top w:val="single" w:color="000000" w:sz="4" w:space="0"/>
              <w:left w:val="single" w:color="000000" w:sz="4" w:space="0"/>
              <w:bottom w:val="single" w:color="000000" w:sz="4" w:space="0"/>
              <w:right w:val="single" w:color="auto" w:sz="4" w:space="0"/>
            </w:tcBorders>
            <w:shd w:val="clear" w:color="auto" w:fill="BFBFBF"/>
          </w:tcPr>
          <w:p>
            <w:pPr>
              <w:spacing w:line="360" w:lineRule="auto"/>
              <w:jc w:val="center"/>
              <w:rPr>
                <w:rFonts w:ascii="Calibri" w:hAnsi="Calibri" w:cs="Calibri"/>
                <w:bCs/>
                <w:sz w:val="22"/>
                <w:szCs w:val="22"/>
              </w:rPr>
            </w:pPr>
            <w:r>
              <w:rPr>
                <w:rFonts w:ascii="Calibri" w:hAnsi="Calibri" w:cs="Calibri"/>
                <w:bCs/>
                <w:sz w:val="22"/>
                <w:szCs w:val="22"/>
              </w:rPr>
              <w:t>VALOR UNITÁRIO</w:t>
            </w:r>
          </w:p>
        </w:tc>
        <w:tc>
          <w:tcPr>
            <w:tcW w:w="1701" w:type="dxa"/>
            <w:tcBorders>
              <w:top w:val="single" w:color="auto" w:sz="4" w:space="0"/>
              <w:left w:val="single" w:color="auto" w:sz="4" w:space="0"/>
              <w:bottom w:val="single" w:color="auto" w:sz="4" w:space="0"/>
              <w:right w:val="single" w:color="auto" w:sz="4" w:space="0"/>
            </w:tcBorders>
            <w:shd w:val="clear" w:color="auto" w:fill="BFBFBF"/>
          </w:tcPr>
          <w:p>
            <w:pPr>
              <w:spacing w:line="360" w:lineRule="auto"/>
              <w:jc w:val="center"/>
              <w:rPr>
                <w:rFonts w:ascii="Calibri" w:hAnsi="Calibri" w:cs="Calibri"/>
                <w:bCs/>
                <w:sz w:val="22"/>
                <w:szCs w:val="22"/>
              </w:rPr>
            </w:pPr>
            <w:r>
              <w:rPr>
                <w:rFonts w:ascii="Calibri" w:hAnsi="Calibri" w:cs="Calibri"/>
                <w:bCs/>
                <w:sz w:val="22"/>
                <w:szCs w:val="22"/>
              </w:rPr>
              <w:t>VALOR TOTAL</w:t>
            </w:r>
          </w:p>
        </w:tc>
      </w:tr>
      <w:tr>
        <w:tblPrEx>
          <w:tblCellMar>
            <w:top w:w="0" w:type="dxa"/>
            <w:left w:w="70" w:type="dxa"/>
            <w:bottom w:w="0" w:type="dxa"/>
            <w:right w:w="70" w:type="dxa"/>
          </w:tblCellMar>
        </w:tblPrEx>
        <w:trPr>
          <w:trHeight w:val="796" w:hRule="atLeast"/>
        </w:trPr>
        <w:tc>
          <w:tcPr>
            <w:tcW w:w="779" w:type="dxa"/>
            <w:tcBorders>
              <w:top w:val="single" w:color="000000" w:sz="4" w:space="0"/>
              <w:left w:val="single" w:color="000000" w:sz="4" w:space="0"/>
              <w:bottom w:val="single" w:color="000000" w:sz="4" w:space="0"/>
            </w:tcBorders>
            <w:shd w:val="clear" w:color="auto" w:fill="auto"/>
            <w:vAlign w:val="center"/>
          </w:tcPr>
          <w:p>
            <w:pPr>
              <w:spacing w:line="360" w:lineRule="auto"/>
              <w:jc w:val="center"/>
              <w:rPr>
                <w:rFonts w:ascii="Calibri" w:hAnsi="Calibri" w:cs="Calibri"/>
                <w:bCs/>
                <w:sz w:val="22"/>
                <w:szCs w:val="22"/>
              </w:rPr>
            </w:pPr>
            <w:r>
              <w:rPr>
                <w:rFonts w:ascii="Calibri" w:hAnsi="Calibri" w:cs="Calibri"/>
                <w:bCs/>
                <w:sz w:val="22"/>
                <w:szCs w:val="22"/>
              </w:rPr>
              <w:t>1</w:t>
            </w:r>
          </w:p>
        </w:tc>
        <w:tc>
          <w:tcPr>
            <w:tcW w:w="992" w:type="dxa"/>
            <w:tcBorders>
              <w:top w:val="single" w:color="000000" w:sz="4" w:space="0"/>
              <w:left w:val="single" w:color="000000" w:sz="4" w:space="0"/>
              <w:bottom w:val="single" w:color="000000"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3511022</w:t>
            </w:r>
          </w:p>
        </w:tc>
        <w:tc>
          <w:tcPr>
            <w:tcW w:w="4111" w:type="dxa"/>
            <w:tcBorders>
              <w:top w:val="single" w:color="000000" w:sz="4" w:space="0"/>
              <w:left w:val="single" w:color="000000" w:sz="4" w:space="0"/>
              <w:bottom w:val="single" w:color="000000" w:sz="4" w:space="0"/>
            </w:tcBorders>
            <w:shd w:val="clear" w:color="auto" w:fill="auto"/>
            <w:vAlign w:val="center"/>
          </w:tcPr>
          <w:p>
            <w:pPr>
              <w:snapToGrid w:val="0"/>
              <w:rPr>
                <w:rFonts w:ascii="Calibri" w:hAnsi="Calibri" w:cs="Calibri"/>
                <w:b/>
                <w:color w:val="FF0000"/>
                <w:sz w:val="22"/>
                <w:szCs w:val="22"/>
              </w:rPr>
            </w:pPr>
            <w:r>
              <w:rPr>
                <w:rFonts w:asciiTheme="minorHAnsi" w:hAnsiTheme="minorHAnsi" w:cstheme="minorHAnsi"/>
                <w:color w:val="333333"/>
                <w:sz w:val="22"/>
                <w:szCs w:val="22"/>
                <w:shd w:val="clear" w:color="auto" w:fill="FFFFFF"/>
              </w:rPr>
              <w:t>COMPLEMENTO ALIMENTAR PARA FENILCETONURICOS - FORMULA DE AMINOACIDOS ISENTA DE FENILALANINA, PARA PACIENTES MENORES DE 01 ANO DE IDADE,EM PO,EM LATA,VIA ORAL</w:t>
            </w:r>
          </w:p>
        </w:tc>
        <w:tc>
          <w:tcPr>
            <w:tcW w:w="1276" w:type="dxa"/>
            <w:tcBorders>
              <w:top w:val="single" w:color="000000" w:sz="4" w:space="0"/>
              <w:left w:val="single" w:color="000000" w:sz="4" w:space="0"/>
              <w:bottom w:val="single" w:color="000000" w:sz="4" w:space="0"/>
            </w:tcBorders>
            <w:shd w:val="clear" w:color="auto" w:fill="auto"/>
            <w:vAlign w:val="center"/>
          </w:tcPr>
          <w:p>
            <w:pPr>
              <w:snapToGrid w:val="0"/>
              <w:jc w:val="center"/>
              <w:rPr>
                <w:rFonts w:ascii="Calibri" w:hAnsi="Calibri" w:cs="Calibri"/>
                <w:b/>
                <w:color w:val="000000"/>
                <w:sz w:val="22"/>
                <w:szCs w:val="22"/>
              </w:rPr>
            </w:pPr>
            <w:r>
              <w:rPr>
                <w:rFonts w:asciiTheme="minorHAnsi" w:hAnsiTheme="minorHAnsi" w:cstheme="minorHAnsi"/>
                <w:color w:val="333333"/>
                <w:sz w:val="22"/>
                <w:szCs w:val="22"/>
                <w:shd w:val="clear" w:color="auto" w:fill="FFFFFF"/>
              </w:rPr>
              <w:t>335 - LATA 500g</w:t>
            </w:r>
          </w:p>
        </w:tc>
        <w:tc>
          <w:tcPr>
            <w:tcW w:w="992" w:type="dxa"/>
            <w:tcBorders>
              <w:top w:val="single" w:color="000000" w:sz="4" w:space="0"/>
              <w:left w:val="single" w:color="000000" w:sz="4" w:space="0"/>
              <w:bottom w:val="single" w:color="000000"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30,00</w:t>
            </w:r>
          </w:p>
        </w:tc>
        <w:tc>
          <w:tcPr>
            <w:tcW w:w="992" w:type="dxa"/>
            <w:tcBorders>
              <w:top w:val="single" w:color="000000" w:sz="4" w:space="0"/>
              <w:left w:val="single" w:color="000000" w:sz="4" w:space="0"/>
              <w:bottom w:val="single" w:color="000000" w:sz="4" w:space="0"/>
              <w:right w:val="single" w:color="auto"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406,0000</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12.180,0000</w:t>
            </w:r>
          </w:p>
        </w:tc>
      </w:tr>
      <w:tr>
        <w:tblPrEx>
          <w:tblCellMar>
            <w:top w:w="0" w:type="dxa"/>
            <w:left w:w="70" w:type="dxa"/>
            <w:bottom w:w="0" w:type="dxa"/>
            <w:right w:w="70" w:type="dxa"/>
          </w:tblCellMar>
        </w:tblPrEx>
        <w:trPr>
          <w:trHeight w:val="796" w:hRule="atLeast"/>
        </w:trPr>
        <w:tc>
          <w:tcPr>
            <w:tcW w:w="779" w:type="dxa"/>
            <w:tcBorders>
              <w:top w:val="single" w:color="000000" w:sz="4" w:space="0"/>
              <w:left w:val="single" w:color="000000" w:sz="4" w:space="0"/>
              <w:bottom w:val="single" w:color="000000" w:sz="4" w:space="0"/>
            </w:tcBorders>
            <w:shd w:val="clear" w:color="auto" w:fill="auto"/>
            <w:vAlign w:val="center"/>
          </w:tcPr>
          <w:p>
            <w:pPr>
              <w:spacing w:line="360" w:lineRule="auto"/>
              <w:jc w:val="center"/>
              <w:rPr>
                <w:rFonts w:ascii="Calibri" w:hAnsi="Calibri" w:cs="Calibri"/>
                <w:bCs/>
                <w:sz w:val="22"/>
                <w:szCs w:val="22"/>
              </w:rPr>
            </w:pPr>
            <w:r>
              <w:rPr>
                <w:rFonts w:ascii="Calibri" w:hAnsi="Calibri" w:cs="Calibri"/>
                <w:bCs/>
                <w:sz w:val="22"/>
                <w:szCs w:val="22"/>
              </w:rPr>
              <w:t>2</w:t>
            </w:r>
          </w:p>
        </w:tc>
        <w:tc>
          <w:tcPr>
            <w:tcW w:w="992" w:type="dxa"/>
            <w:tcBorders>
              <w:top w:val="single" w:color="000000" w:sz="4" w:space="0"/>
              <w:left w:val="single" w:color="000000" w:sz="4" w:space="0"/>
              <w:bottom w:val="single" w:color="000000"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3686671</w:t>
            </w:r>
          </w:p>
        </w:tc>
        <w:tc>
          <w:tcPr>
            <w:tcW w:w="4111" w:type="dxa"/>
            <w:tcBorders>
              <w:top w:val="single" w:color="000000" w:sz="4" w:space="0"/>
              <w:left w:val="single" w:color="000000" w:sz="4" w:space="0"/>
              <w:bottom w:val="single" w:color="000000" w:sz="4" w:space="0"/>
            </w:tcBorders>
            <w:shd w:val="clear" w:color="auto" w:fill="auto"/>
            <w:vAlign w:val="center"/>
          </w:tcPr>
          <w:p>
            <w:pPr>
              <w:snapToGrid w:val="0"/>
              <w:rPr>
                <w:rFonts w:ascii="Calibri" w:hAnsi="Calibri" w:cs="Calibri"/>
                <w:b/>
                <w:color w:val="FF0000"/>
                <w:sz w:val="22"/>
                <w:szCs w:val="22"/>
              </w:rPr>
            </w:pPr>
            <w:r>
              <w:rPr>
                <w:rFonts w:asciiTheme="minorHAnsi" w:hAnsiTheme="minorHAnsi" w:cstheme="minorHAnsi"/>
                <w:color w:val="333333"/>
                <w:sz w:val="22"/>
                <w:szCs w:val="22"/>
                <w:shd w:val="clear" w:color="auto" w:fill="FFFFFF"/>
              </w:rPr>
              <w:t>COMPLEMENTO ALIMENTAR PARA FENILCETONURICOS - FORMULA DE AMINOACIDOS ISENTA DE FENILALANINA, PARA PACIENTES DE 01 A 08 ANOS DE IDADE,EM PO,EM LATA,VIA ORAL</w:t>
            </w:r>
          </w:p>
        </w:tc>
        <w:tc>
          <w:tcPr>
            <w:tcW w:w="1276" w:type="dxa"/>
            <w:tcBorders>
              <w:top w:val="single" w:color="000000" w:sz="4" w:space="0"/>
              <w:left w:val="single" w:color="000000" w:sz="4" w:space="0"/>
              <w:bottom w:val="single" w:color="000000"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335 - LATA 500g</w:t>
            </w:r>
          </w:p>
        </w:tc>
        <w:tc>
          <w:tcPr>
            <w:tcW w:w="992" w:type="dxa"/>
            <w:tcBorders>
              <w:top w:val="single" w:color="000000" w:sz="4" w:space="0"/>
              <w:left w:val="single" w:color="000000" w:sz="4" w:space="0"/>
              <w:bottom w:val="single" w:color="000000"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240,00</w:t>
            </w:r>
          </w:p>
        </w:tc>
        <w:tc>
          <w:tcPr>
            <w:tcW w:w="992" w:type="dxa"/>
            <w:tcBorders>
              <w:top w:val="single" w:color="000000" w:sz="4" w:space="0"/>
              <w:left w:val="single" w:color="000000" w:sz="4" w:space="0"/>
              <w:bottom w:val="single" w:color="000000" w:sz="4" w:space="0"/>
              <w:right w:val="single" w:color="auto"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406,0000</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97.440,0000</w:t>
            </w:r>
          </w:p>
        </w:tc>
      </w:tr>
      <w:tr>
        <w:tblPrEx>
          <w:tblCellMar>
            <w:top w:w="0" w:type="dxa"/>
            <w:left w:w="70" w:type="dxa"/>
            <w:bottom w:w="0" w:type="dxa"/>
            <w:right w:w="70" w:type="dxa"/>
          </w:tblCellMar>
        </w:tblPrEx>
        <w:trPr>
          <w:trHeight w:val="796" w:hRule="atLeast"/>
        </w:trPr>
        <w:tc>
          <w:tcPr>
            <w:tcW w:w="779" w:type="dxa"/>
            <w:tcBorders>
              <w:top w:val="single" w:color="000000" w:sz="4" w:space="0"/>
              <w:left w:val="single" w:color="000000" w:sz="4" w:space="0"/>
              <w:bottom w:val="single" w:color="000000" w:sz="4" w:space="0"/>
            </w:tcBorders>
            <w:shd w:val="clear" w:color="auto" w:fill="auto"/>
            <w:vAlign w:val="center"/>
          </w:tcPr>
          <w:p>
            <w:pPr>
              <w:spacing w:line="360" w:lineRule="auto"/>
              <w:jc w:val="center"/>
              <w:rPr>
                <w:rFonts w:ascii="Calibri" w:hAnsi="Calibri" w:cs="Calibri"/>
                <w:bCs/>
                <w:sz w:val="22"/>
                <w:szCs w:val="22"/>
              </w:rPr>
            </w:pPr>
            <w:r>
              <w:rPr>
                <w:rFonts w:ascii="Calibri" w:hAnsi="Calibri" w:cs="Calibri"/>
                <w:bCs/>
                <w:sz w:val="22"/>
                <w:szCs w:val="22"/>
              </w:rPr>
              <w:t>3</w:t>
            </w:r>
          </w:p>
        </w:tc>
        <w:tc>
          <w:tcPr>
            <w:tcW w:w="992" w:type="dxa"/>
            <w:tcBorders>
              <w:top w:val="single" w:color="000000" w:sz="4" w:space="0"/>
              <w:left w:val="single" w:color="000000" w:sz="4" w:space="0"/>
              <w:bottom w:val="single" w:color="000000"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3509842</w:t>
            </w:r>
          </w:p>
        </w:tc>
        <w:tc>
          <w:tcPr>
            <w:tcW w:w="4111" w:type="dxa"/>
            <w:tcBorders>
              <w:top w:val="single" w:color="000000" w:sz="4" w:space="0"/>
              <w:left w:val="single" w:color="000000" w:sz="4" w:space="0"/>
              <w:bottom w:val="single" w:color="000000" w:sz="4" w:space="0"/>
            </w:tcBorders>
            <w:shd w:val="clear" w:color="auto" w:fill="auto"/>
            <w:vAlign w:val="center"/>
          </w:tcPr>
          <w:p>
            <w:pPr>
              <w:snapToGrid w:val="0"/>
              <w:rPr>
                <w:rFonts w:ascii="Calibri" w:hAnsi="Calibri" w:cs="Calibri"/>
                <w:b/>
                <w:color w:val="FF0000"/>
                <w:sz w:val="22"/>
                <w:szCs w:val="22"/>
              </w:rPr>
            </w:pPr>
            <w:r>
              <w:rPr>
                <w:rFonts w:asciiTheme="minorHAnsi" w:hAnsiTheme="minorHAnsi" w:cstheme="minorHAnsi"/>
                <w:color w:val="333333"/>
                <w:sz w:val="22"/>
                <w:szCs w:val="22"/>
                <w:shd w:val="clear" w:color="auto" w:fill="FFFFFF"/>
              </w:rPr>
              <w:t>COMPLEMENTO ALIMENTAR PARA FENILCETONURICOS - FORMULA DE AMINOACIDOS ISENTA DE FENILALANINA, PARA PACIENTES MAIORES DE 08 ANOS DE IDADE,EM PO,EM LATA,VIA ORAL</w:t>
            </w:r>
          </w:p>
        </w:tc>
        <w:tc>
          <w:tcPr>
            <w:tcW w:w="1276" w:type="dxa"/>
            <w:tcBorders>
              <w:top w:val="single" w:color="000000" w:sz="4" w:space="0"/>
              <w:left w:val="single" w:color="000000" w:sz="4" w:space="0"/>
              <w:bottom w:val="single" w:color="000000"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335 - LATA 500g</w:t>
            </w:r>
          </w:p>
        </w:tc>
        <w:tc>
          <w:tcPr>
            <w:tcW w:w="992" w:type="dxa"/>
            <w:tcBorders>
              <w:top w:val="single" w:color="000000" w:sz="4" w:space="0"/>
              <w:left w:val="single" w:color="000000" w:sz="4" w:space="0"/>
              <w:bottom w:val="single" w:color="000000"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660,00</w:t>
            </w:r>
          </w:p>
        </w:tc>
        <w:tc>
          <w:tcPr>
            <w:tcW w:w="992" w:type="dxa"/>
            <w:tcBorders>
              <w:top w:val="single" w:color="000000" w:sz="4" w:space="0"/>
              <w:left w:val="single" w:color="000000" w:sz="4" w:space="0"/>
              <w:bottom w:val="single" w:color="000000" w:sz="4" w:space="0"/>
              <w:right w:val="single" w:color="auto"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406,0000</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jc w:val="center"/>
              <w:rPr>
                <w:rFonts w:ascii="Calibri" w:hAnsi="Calibri" w:cs="Calibri"/>
                <w:b/>
                <w:color w:val="FF0000"/>
                <w:sz w:val="22"/>
                <w:szCs w:val="22"/>
              </w:rPr>
            </w:pPr>
            <w:r>
              <w:rPr>
                <w:rFonts w:asciiTheme="minorHAnsi" w:hAnsiTheme="minorHAnsi" w:cstheme="minorHAnsi"/>
                <w:color w:val="333333"/>
                <w:sz w:val="22"/>
                <w:szCs w:val="22"/>
                <w:shd w:val="clear" w:color="auto" w:fill="FFFFFF"/>
              </w:rPr>
              <w:t>267.960,0000</w:t>
            </w:r>
          </w:p>
        </w:tc>
      </w:tr>
    </w:tbl>
    <w:p>
      <w:pPr>
        <w:suppressAutoHyphens w:val="0"/>
        <w:ind w:right="75" w:firstLine="709"/>
        <w:jc w:val="both"/>
        <w:rPr>
          <w:sz w:val="24"/>
          <w:szCs w:val="24"/>
          <w:lang w:eastAsia="pt-BR"/>
        </w:rPr>
      </w:pPr>
    </w:p>
    <w:p>
      <w:pPr>
        <w:suppressAutoHyphens w:val="0"/>
        <w:ind w:right="75" w:firstLine="709"/>
        <w:jc w:val="both"/>
        <w:rPr>
          <w:sz w:val="24"/>
          <w:szCs w:val="24"/>
          <w:lang w:eastAsia="pt-BR"/>
        </w:rPr>
      </w:pPr>
    </w:p>
    <w:p>
      <w:pPr>
        <w:suppressAutoHyphens w:val="0"/>
        <w:ind w:right="75" w:firstLine="709"/>
        <w:jc w:val="both"/>
        <w:rPr>
          <w:sz w:val="24"/>
          <w:szCs w:val="24"/>
          <w:lang w:eastAsia="pt-BR"/>
        </w:rPr>
      </w:pPr>
    </w:p>
    <w:p>
      <w:pPr>
        <w:suppressAutoHyphens w:val="0"/>
        <w:spacing w:line="360" w:lineRule="auto"/>
        <w:jc w:val="both"/>
        <w:rPr>
          <w:rFonts w:ascii="Calibri" w:hAnsi="Calibri" w:cs="Calibri"/>
          <w:sz w:val="22"/>
          <w:szCs w:val="22"/>
          <w:lang w:eastAsia="pt-BR"/>
        </w:rPr>
      </w:pPr>
      <w:r>
        <w:rPr>
          <w:rFonts w:ascii="Calibri" w:hAnsi="Calibri" w:cs="Calibri"/>
          <w:b/>
          <w:bCs/>
          <w:color w:val="000000"/>
          <w:sz w:val="22"/>
          <w:szCs w:val="22"/>
          <w:lang w:eastAsia="pt-BR"/>
        </w:rPr>
        <w:t>2. DA JUSTIFICATIVA DA CONTRATAÇÃO</w:t>
      </w:r>
    </w:p>
    <w:p>
      <w:pPr>
        <w:suppressAutoHyphens w:val="0"/>
        <w:spacing w:line="360" w:lineRule="auto"/>
        <w:jc w:val="center"/>
        <w:rPr>
          <w:rFonts w:ascii="Calibri" w:hAnsi="Calibri" w:cs="Calibri"/>
          <w:sz w:val="22"/>
          <w:szCs w:val="22"/>
          <w:lang w:eastAsia="pt-BR"/>
        </w:rPr>
      </w:pPr>
    </w:p>
    <w:p>
      <w:pPr>
        <w:suppressAutoHyphens w:val="0"/>
        <w:spacing w:line="360" w:lineRule="auto"/>
        <w:ind w:firstLine="709"/>
        <w:jc w:val="both"/>
        <w:rPr>
          <w:rFonts w:ascii="Calibri" w:hAnsi="Calibri" w:cs="Calibri"/>
          <w:color w:val="000000"/>
          <w:sz w:val="22"/>
          <w:szCs w:val="22"/>
          <w:lang w:eastAsia="pt-BR"/>
        </w:rPr>
      </w:pPr>
      <w:r>
        <w:rPr>
          <w:rFonts w:ascii="Calibri" w:hAnsi="Calibri" w:cs="Calibri"/>
          <w:color w:val="000000"/>
          <w:sz w:val="22"/>
          <w:szCs w:val="22"/>
          <w:lang w:eastAsia="pt-BR"/>
        </w:rPr>
        <w:t>A presente contratação derivada da solicitação</w:t>
      </w:r>
      <w:r>
        <w:rPr>
          <w:rFonts w:ascii="Calibri" w:hAnsi="Calibri" w:cs="Calibri"/>
          <w:b/>
          <w:bCs/>
          <w:color w:val="000000"/>
          <w:sz w:val="22"/>
          <w:szCs w:val="22"/>
          <w:lang w:eastAsia="pt-BR"/>
        </w:rPr>
        <w:t xml:space="preserve"> </w:t>
      </w:r>
      <w:r>
        <w:rPr>
          <w:rFonts w:ascii="Calibri" w:hAnsi="Calibri" w:cs="Calibri"/>
          <w:color w:val="000000"/>
          <w:sz w:val="22"/>
          <w:szCs w:val="22"/>
          <w:lang w:eastAsia="pt-BR"/>
        </w:rPr>
        <w:t>contida na Nota Técnica 16/2023, SEI Nº 2300000386.000442/2023-41, anexada aos autos. Emitida pela Gerência de Monitoramento, Avaliação e Sustentabilidade, com o objetivo de atender toda a Rede Pública Estadual de Saúde de Pernambuco.</w:t>
      </w:r>
    </w:p>
    <w:p>
      <w:pPr>
        <w:suppressAutoHyphens w:val="0"/>
        <w:spacing w:line="360" w:lineRule="auto"/>
        <w:ind w:firstLine="709"/>
        <w:jc w:val="both"/>
        <w:rPr>
          <w:rFonts w:ascii="Calibri" w:hAnsi="Calibri" w:cs="Calibri"/>
          <w:color w:val="000000"/>
          <w:sz w:val="22"/>
          <w:szCs w:val="22"/>
          <w:lang w:eastAsia="pt-BR"/>
        </w:rPr>
      </w:pPr>
    </w:p>
    <w:p>
      <w:pPr>
        <w:suppressAutoHyphens w:val="0"/>
        <w:spacing w:line="360" w:lineRule="auto"/>
        <w:ind w:firstLine="709"/>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3. JUSTIFICATIVA PARA O PARCELAMENTO EM ITENS/LOTES ou JUSTIFICATIVA PARA O NÃO PARCELAMENTO DO OBJETO</w:t>
      </w:r>
    </w:p>
    <w:p>
      <w:pPr>
        <w:suppressAutoHyphens w:val="0"/>
        <w:spacing w:line="360" w:lineRule="auto"/>
        <w:ind w:left="-60"/>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A definição do quantitativo do objeto deste termo de referência foi obtida através de análise prévia da Coordenação da Farmácia, baseando-se no consumo médio mensal.</w:t>
      </w:r>
    </w:p>
    <w:p>
      <w:pPr>
        <w:suppressAutoHyphens w:val="0"/>
        <w:spacing w:line="360" w:lineRule="auto"/>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4. DO VALOR ESTIMADO DA LICITAÇÃO</w:t>
      </w:r>
    </w:p>
    <w:p>
      <w:pPr>
        <w:suppressAutoHyphens w:val="0"/>
        <w:spacing w:line="360" w:lineRule="auto"/>
        <w:ind w:left="360"/>
        <w:jc w:val="both"/>
        <w:rPr>
          <w:rFonts w:ascii="Calibri" w:hAnsi="Calibri" w:cs="Calibri"/>
          <w:sz w:val="22"/>
          <w:szCs w:val="22"/>
          <w:lang w:eastAsia="pt-BR"/>
        </w:rPr>
      </w:pPr>
    </w:p>
    <w:p>
      <w:pPr>
        <w:suppressAutoHyphens w:val="0"/>
        <w:spacing w:line="360" w:lineRule="auto"/>
        <w:rPr>
          <w:rFonts w:ascii="Calibri" w:hAnsi="Calibri" w:cs="Calibri"/>
          <w:sz w:val="22"/>
          <w:szCs w:val="22"/>
          <w:lang w:eastAsia="pt-BR"/>
        </w:rPr>
      </w:pPr>
      <w:r>
        <w:rPr>
          <w:rFonts w:ascii="Calibri" w:hAnsi="Calibri" w:cs="Calibri"/>
          <w:color w:val="000000"/>
          <w:sz w:val="22"/>
          <w:szCs w:val="22"/>
          <w:lang w:eastAsia="pt-BR"/>
        </w:rPr>
        <w:t xml:space="preserve">O valor estimado da presente </w:t>
      </w:r>
      <w:r>
        <w:rPr>
          <w:rFonts w:ascii="Calibri" w:hAnsi="Calibri" w:cs="Calibri"/>
          <w:color w:val="000000"/>
          <w:sz w:val="22"/>
          <w:szCs w:val="22"/>
          <w:u w:val="single"/>
          <w:lang w:eastAsia="pt-BR"/>
        </w:rPr>
        <w:t>dispensa de licitação</w:t>
      </w:r>
      <w:r>
        <w:rPr>
          <w:rFonts w:ascii="Calibri" w:hAnsi="Calibri" w:cs="Calibri"/>
          <w:color w:val="000000"/>
          <w:sz w:val="22"/>
          <w:szCs w:val="22"/>
          <w:lang w:eastAsia="pt-BR"/>
        </w:rPr>
        <w:t xml:space="preserve"> é de R$ 377.580,0000 (Trezentos e setenta e sete mil quinhentos e oitenta reais).</w:t>
      </w:r>
    </w:p>
    <w:p>
      <w:pPr>
        <w:suppressAutoHyphens w:val="0"/>
        <w:spacing w:line="360" w:lineRule="auto"/>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5. DO CRITÉRIO DE JULGAMENTO</w:t>
      </w:r>
    </w:p>
    <w:p>
      <w:pPr>
        <w:suppressAutoHyphens w:val="0"/>
        <w:spacing w:line="360" w:lineRule="auto"/>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 xml:space="preserve">A contratação direta será o </w:t>
      </w:r>
      <w:r>
        <w:rPr>
          <w:rFonts w:ascii="Calibri" w:hAnsi="Calibri" w:cs="Calibri"/>
          <w:b/>
          <w:bCs/>
          <w:color w:val="000000"/>
          <w:sz w:val="22"/>
          <w:szCs w:val="22"/>
          <w:u w:val="single"/>
          <w:lang w:eastAsia="pt-BR"/>
        </w:rPr>
        <w:t>dispensa de licitação (inc. VIII do art 75. Lei nº 14.133/2021)</w:t>
      </w:r>
      <w:r>
        <w:rPr>
          <w:rFonts w:ascii="Calibri" w:hAnsi="Calibri" w:cs="Calibri"/>
          <w:color w:val="000000"/>
          <w:sz w:val="22"/>
          <w:szCs w:val="22"/>
          <w:lang w:eastAsia="pt-BR"/>
        </w:rPr>
        <w:t>, o critério de julgamento das propostas será o menor preço por item sendo desclassificadas as propostas que ultrapassarem os valores unitários e globais estimados.</w:t>
      </w:r>
    </w:p>
    <w:p>
      <w:pPr>
        <w:suppressAutoHyphens w:val="0"/>
        <w:spacing w:line="360" w:lineRule="auto"/>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6. DO PRAZO DE VALIDADE DA PROPOSTA</w:t>
      </w:r>
    </w:p>
    <w:p>
      <w:pPr>
        <w:suppressAutoHyphens w:val="0"/>
        <w:spacing w:line="360" w:lineRule="auto"/>
        <w:ind w:left="360" w:hanging="360"/>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sz w:val="22"/>
          <w:szCs w:val="22"/>
          <w:lang w:eastAsia="pt-BR"/>
        </w:rPr>
        <w:t>As propostas deverão ter validade de, no mínimo, 60 (sessenta) dias, contados da data da sua apresentação, independente de declaração da empresa.</w:t>
      </w:r>
    </w:p>
    <w:p>
      <w:pPr>
        <w:suppressAutoHyphens w:val="0"/>
        <w:spacing w:line="360" w:lineRule="auto"/>
        <w:ind w:left="705"/>
        <w:jc w:val="both"/>
        <w:rPr>
          <w:rFonts w:ascii="Calibri" w:hAnsi="Calibri" w:cs="Calibri"/>
          <w:sz w:val="22"/>
          <w:szCs w:val="22"/>
          <w:lang w:eastAsia="pt-BR"/>
        </w:rPr>
      </w:pPr>
    </w:p>
    <w:p>
      <w:pPr>
        <w:suppressAutoHyphens w:val="0"/>
        <w:spacing w:line="360" w:lineRule="auto"/>
        <w:jc w:val="both"/>
        <w:rPr>
          <w:rFonts w:ascii="Calibri" w:hAnsi="Calibri" w:cs="Calibri"/>
          <w:color w:val="000000"/>
          <w:sz w:val="22"/>
          <w:szCs w:val="22"/>
          <w:lang w:eastAsia="pt-BR"/>
        </w:rPr>
      </w:pPr>
      <w:r>
        <w:rPr>
          <w:rFonts w:ascii="Calibri" w:hAnsi="Calibri" w:cs="Calibri"/>
          <w:b/>
          <w:bCs/>
          <w:color w:val="000000"/>
          <w:sz w:val="22"/>
          <w:szCs w:val="22"/>
          <w:lang w:eastAsia="pt-BR"/>
        </w:rPr>
        <w:t>7. JUSTIFICATIVA PARA VEDAÇÃO DE PARTICIPAÇÃO DE EMPRESAS SOB FORMA DE CONSÓRCIO</w:t>
      </w:r>
      <w:r>
        <w:rPr>
          <w:rFonts w:ascii="Calibri" w:hAnsi="Calibri" w:cs="Calibri"/>
          <w:color w:val="000000"/>
          <w:sz w:val="22"/>
          <w:szCs w:val="22"/>
          <w:lang w:eastAsia="pt-BR"/>
        </w:rPr>
        <w:t>.</w:t>
      </w:r>
    </w:p>
    <w:p>
      <w:pPr>
        <w:suppressAutoHyphens w:val="0"/>
        <w:spacing w:line="360" w:lineRule="auto"/>
        <w:jc w:val="both"/>
        <w:rPr>
          <w:rFonts w:ascii="Calibri" w:hAnsi="Calibri" w:cs="Calibri"/>
          <w:color w:val="000000"/>
          <w:sz w:val="22"/>
          <w:szCs w:val="22"/>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rPr>
        <w:t xml:space="preserve">De acordo com o art. 15 da Lei 14.133/21,  considerando o </w:t>
      </w:r>
      <w:r>
        <w:rPr>
          <w:rFonts w:ascii="Calibri" w:hAnsi="Calibri" w:cs="Calibri"/>
          <w:sz w:val="22"/>
          <w:szCs w:val="22"/>
          <w:lang w:eastAsia="pt-BR"/>
        </w:rPr>
        <w:t xml:space="preserve">§ 1º  “O edital deverá estabelecer para o consórcio acréscimo de 10% (dez por cento) a 30% (trinta por cento) sobre o valor exigido de licitante individual para a habilitação econômico-financeira, </w:t>
      </w:r>
      <w:r>
        <w:rPr>
          <w:rFonts w:ascii="Calibri" w:hAnsi="Calibri" w:cs="Calibri"/>
          <w:b/>
          <w:sz w:val="22"/>
          <w:szCs w:val="22"/>
          <w:lang w:eastAsia="pt-BR"/>
        </w:rPr>
        <w:t>salvo justificação</w:t>
      </w:r>
      <w:r>
        <w:rPr>
          <w:rFonts w:ascii="Calibri" w:hAnsi="Calibri" w:cs="Calibri"/>
          <w:sz w:val="22"/>
          <w:szCs w:val="22"/>
          <w:lang w:eastAsia="pt-BR"/>
        </w:rPr>
        <w:t xml:space="preserve">”. </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No caso vertente, não se faz presente a premissa da complexidade do objeto. Em regra, o fornecimento de COMPLEMENTOS ALIMENTARES não requer a conjugação de esforços de empresas para viabilizar a participação no certame. Ademais, sendo a licitação subdividida em itens (denominados “lotes”, em virtude da limitação do sistema para o cadastro de cotas reservadas e de ampla participação), as licitantes poderão, se assim for de seu interesse, apresentar proposta para apenas um dos itens, buscando, dessa forma, ampliar ao máximo a disputa e a competitividade do certame.</w:t>
      </w:r>
    </w:p>
    <w:p>
      <w:pPr>
        <w:suppressAutoHyphens w:val="0"/>
        <w:spacing w:line="360" w:lineRule="auto"/>
        <w:ind w:firstLine="709"/>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8. DA CONTRATAÇÃO DE MICROEMPRESAS E EMPRESAS DE PEQUENO PORTE</w:t>
      </w:r>
    </w:p>
    <w:p>
      <w:pPr>
        <w:suppressAutoHyphens w:val="0"/>
        <w:spacing w:line="360" w:lineRule="auto"/>
        <w:jc w:val="both"/>
        <w:rPr>
          <w:rFonts w:ascii="Calibri" w:hAnsi="Calibri" w:cs="Calibri"/>
          <w:sz w:val="22"/>
          <w:szCs w:val="22"/>
          <w:lang w:eastAsia="pt-BR"/>
        </w:rPr>
      </w:pPr>
    </w:p>
    <w:p>
      <w:pPr>
        <w:suppressAutoHyphens w:val="0"/>
        <w:spacing w:after="120"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Nos termos do art. 48, I da Lei Complementar n.º 123/2006, os itens de contratação cujo valor seja de até R$ 80.000,00 (oitenta mil reais) serão destinados exclusivamente à participação de microempresas e empresas de pequeno porte.</w:t>
      </w:r>
    </w:p>
    <w:p>
      <w:pPr>
        <w:suppressAutoHyphens w:val="0"/>
        <w:spacing w:after="120"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Nos itens de contratação acima de R$ 80.000,00 (oitenta mil reais), conforme o art. 48, III, da mesma Lei, a Administração deverá estabelecer, em certames para aquisições de bens de natureza divisível, cota de até 25% (vinte e cinco por cento) do objeto para a contratação de Microempresas, Empresas de Pequeno Porte e Cooperativas.</w:t>
      </w:r>
    </w:p>
    <w:p>
      <w:pPr>
        <w:suppressAutoHyphens w:val="0"/>
        <w:spacing w:after="120"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Inclui-se na discricionariedade do administrador o estabelecimento de percentual adequado dentro da faixa fixada pela lei. Assim, tal gradação deve considerar a necessidade de fomentar microempresas e empresas de pequeno porte e, ao mesmo tempo, assegurar a eficiência das contratações públicas.</w:t>
      </w:r>
    </w:p>
    <w:p>
      <w:pPr>
        <w:suppressAutoHyphens w:val="0"/>
        <w:spacing w:after="120" w:line="360" w:lineRule="auto"/>
        <w:ind w:firstLine="709"/>
        <w:jc w:val="both"/>
        <w:rPr>
          <w:rFonts w:ascii="Calibri" w:hAnsi="Calibri" w:cs="Calibri"/>
          <w:color w:val="000000"/>
          <w:sz w:val="22"/>
          <w:szCs w:val="22"/>
          <w:lang w:eastAsia="pt-BR"/>
        </w:rPr>
      </w:pPr>
      <w:r>
        <w:rPr>
          <w:rFonts w:ascii="Calibri" w:hAnsi="Calibri" w:cs="Calibri"/>
          <w:color w:val="000000"/>
          <w:sz w:val="22"/>
          <w:szCs w:val="22"/>
          <w:lang w:eastAsia="pt-BR"/>
        </w:rPr>
        <w:t>De acordo com a nova redação dada pelo Decreto Estadual nº 48.648/2020, o art. 7º, caput, do Decreto Estadual nº 45.140/17 passou a prever que “Nas licitações para aquisição de bens de natureza divisível, e desde que não haja prejuízo para o conjunto ou complexo do objeto, os órgãos e entidades contratantes deverão reservar cota de até 25% (vinte e cinco por cento) do valor global, de cada lote ou de cada item da licitação, motivando os critérios de divisão escolhidos, de modo a garantir os mecanismos necessários para ampliar a participação das microempresas, empresas de pequeno porte e micro empreendedores individuais”.</w:t>
      </w:r>
    </w:p>
    <w:p>
      <w:pPr>
        <w:suppressAutoHyphens w:val="0"/>
        <w:spacing w:after="120" w:line="360" w:lineRule="auto"/>
        <w:ind w:firstLine="709"/>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9. DAS ESPECIFICAÇÕES TÉCNICAS DOS PRODUTOS E DEMAIS OBRIGAÇÕES ESPECÍFICAS</w:t>
      </w:r>
    </w:p>
    <w:p>
      <w:pPr>
        <w:suppressAutoHyphens w:val="0"/>
        <w:spacing w:line="360" w:lineRule="auto"/>
        <w:jc w:val="both"/>
        <w:rPr>
          <w:rFonts w:ascii="Calibri" w:hAnsi="Calibri" w:cs="Calibri"/>
          <w:sz w:val="22"/>
          <w:szCs w:val="22"/>
          <w:lang w:eastAsia="pt-BR"/>
        </w:rPr>
      </w:pPr>
    </w:p>
    <w:p>
      <w:pPr>
        <w:suppressAutoHyphens w:val="0"/>
        <w:spacing w:before="100" w:beforeAutospacing="1" w:after="100" w:afterAutospacing="1" w:line="360" w:lineRule="auto"/>
        <w:jc w:val="both"/>
        <w:rPr>
          <w:rFonts w:ascii="Calibri" w:hAnsi="Calibri" w:cs="Calibri"/>
          <w:sz w:val="22"/>
          <w:szCs w:val="22"/>
          <w:lang w:eastAsia="pt-BR"/>
        </w:rPr>
      </w:pPr>
      <w:r>
        <w:rPr>
          <w:rFonts w:ascii="Calibri" w:hAnsi="Calibri" w:cs="Calibri"/>
          <w:color w:val="000000"/>
          <w:sz w:val="22"/>
          <w:szCs w:val="22"/>
          <w:lang w:eastAsia="pt-BR"/>
        </w:rPr>
        <w:t>9.1. O acondicionamento e o transporte dos itens deverão ser feito de acordo com o exigido para cada tipo de produto, devidamente protegido de pó e variações de temperatura, de modo a garantir a qualidade e integridade do produto.</w:t>
      </w:r>
    </w:p>
    <w:p>
      <w:pPr>
        <w:suppressAutoHyphens w:val="0"/>
        <w:spacing w:before="100" w:beforeAutospacing="1" w:after="100" w:afterAutospacing="1" w:line="360" w:lineRule="auto"/>
        <w:jc w:val="both"/>
        <w:rPr>
          <w:rFonts w:ascii="Calibri" w:hAnsi="Calibri" w:cs="Calibri"/>
          <w:sz w:val="22"/>
          <w:szCs w:val="22"/>
          <w:lang w:eastAsia="pt-BR"/>
        </w:rPr>
      </w:pPr>
      <w:r>
        <w:rPr>
          <w:rFonts w:ascii="Calibri" w:hAnsi="Calibri" w:cs="Calibri"/>
          <w:color w:val="000000"/>
          <w:sz w:val="22"/>
          <w:szCs w:val="22"/>
          <w:lang w:eastAsia="pt-BR"/>
        </w:rPr>
        <w:t>9.2. As embalagens externas devem mencionar as condições corretas de armazenagem do produto, entre elas, temperatura, umidade, empilhamento, entre outras.</w:t>
      </w:r>
    </w:p>
    <w:p>
      <w:pPr>
        <w:suppressAutoHyphens w:val="0"/>
        <w:spacing w:before="100" w:beforeAutospacing="1" w:after="100" w:afterAutospacing="1" w:line="360" w:lineRule="auto"/>
        <w:jc w:val="both"/>
        <w:rPr>
          <w:rFonts w:ascii="Calibri" w:hAnsi="Calibri" w:cs="Calibri"/>
          <w:sz w:val="22"/>
          <w:szCs w:val="22"/>
          <w:lang w:eastAsia="pt-BR"/>
        </w:rPr>
      </w:pPr>
      <w:r>
        <w:rPr>
          <w:rFonts w:ascii="Calibri" w:hAnsi="Calibri" w:cs="Calibri"/>
          <w:color w:val="000000"/>
          <w:sz w:val="22"/>
          <w:szCs w:val="22"/>
          <w:lang w:eastAsia="pt-BR"/>
        </w:rPr>
        <w:t xml:space="preserve">9.3. No caso de Complementos Alimentares </w:t>
      </w:r>
      <w:r>
        <w:rPr>
          <w:rFonts w:ascii="Calibri" w:hAnsi="Calibri" w:cs="Calibri"/>
          <w:b/>
          <w:bCs/>
          <w:color w:val="000000"/>
          <w:sz w:val="22"/>
          <w:szCs w:val="22"/>
          <w:u w:val="single"/>
          <w:lang w:eastAsia="pt-BR"/>
        </w:rPr>
        <w:t>com prazo de validade superior a 01 (um) ano</w:t>
      </w:r>
      <w:r>
        <w:rPr>
          <w:rFonts w:ascii="Calibri" w:hAnsi="Calibri" w:cs="Calibri"/>
          <w:color w:val="000000"/>
          <w:sz w:val="22"/>
          <w:szCs w:val="22"/>
          <w:lang w:eastAsia="pt-BR"/>
        </w:rPr>
        <w:t xml:space="preserve">, por ocasião da entrega, </w:t>
      </w:r>
      <w:r>
        <w:rPr>
          <w:rFonts w:ascii="Calibri" w:hAnsi="Calibri" w:cs="Calibri"/>
          <w:b/>
          <w:bCs/>
          <w:color w:val="000000"/>
          <w:sz w:val="22"/>
          <w:szCs w:val="22"/>
          <w:u w:val="single"/>
          <w:lang w:eastAsia="pt-BR"/>
        </w:rPr>
        <w:t xml:space="preserve">somente serão aceitos </w:t>
      </w:r>
      <w:r>
        <w:rPr>
          <w:rFonts w:ascii="Calibri" w:hAnsi="Calibri" w:cs="Calibri"/>
          <w:color w:val="000000"/>
          <w:sz w:val="22"/>
          <w:szCs w:val="22"/>
          <w:lang w:eastAsia="pt-BR"/>
        </w:rPr>
        <w:t>aqueles cujos</w:t>
      </w:r>
      <w:r>
        <w:rPr>
          <w:rFonts w:ascii="Calibri" w:hAnsi="Calibri" w:cs="Calibri"/>
          <w:b/>
          <w:bCs/>
          <w:color w:val="000000"/>
          <w:sz w:val="22"/>
          <w:szCs w:val="22"/>
          <w:u w:val="single"/>
          <w:lang w:eastAsia="pt-BR"/>
        </w:rPr>
        <w:t xml:space="preserve"> prazos de validade</w:t>
      </w:r>
      <w:r>
        <w:rPr>
          <w:rFonts w:ascii="Calibri" w:hAnsi="Calibri" w:cs="Calibri"/>
          <w:color w:val="000000"/>
          <w:sz w:val="22"/>
          <w:szCs w:val="22"/>
          <w:lang w:eastAsia="pt-BR"/>
        </w:rPr>
        <w:t xml:space="preserve"> a </w:t>
      </w:r>
      <w:r>
        <w:rPr>
          <w:rFonts w:ascii="Calibri" w:hAnsi="Calibri" w:cs="Calibri"/>
          <w:b/>
          <w:bCs/>
          <w:color w:val="000000"/>
          <w:sz w:val="22"/>
          <w:szCs w:val="22"/>
          <w:u w:val="single"/>
          <w:lang w:eastAsia="pt-BR"/>
        </w:rPr>
        <w:t>transcorrer seja igual ou superior a 80% (oitenta por cento) do prazo previsto</w:t>
      </w:r>
      <w:r>
        <w:rPr>
          <w:rFonts w:ascii="Calibri" w:hAnsi="Calibri" w:cs="Calibri"/>
          <w:color w:val="000000"/>
          <w:sz w:val="22"/>
          <w:szCs w:val="22"/>
          <w:lang w:eastAsia="pt-BR"/>
        </w:rPr>
        <w:t xml:space="preserve">, ou seja, que ainda </w:t>
      </w:r>
      <w:r>
        <w:rPr>
          <w:rFonts w:ascii="Calibri" w:hAnsi="Calibri" w:cs="Calibri"/>
          <w:b/>
          <w:bCs/>
          <w:color w:val="000000"/>
          <w:sz w:val="22"/>
          <w:szCs w:val="22"/>
          <w:u w:val="single"/>
          <w:lang w:eastAsia="pt-BR"/>
        </w:rPr>
        <w:t>não tenha decorrido 20% (vinte por cento) do prazo de validade</w:t>
      </w:r>
      <w:r>
        <w:rPr>
          <w:rFonts w:ascii="Calibri" w:hAnsi="Calibri" w:cs="Calibri"/>
          <w:color w:val="000000"/>
          <w:sz w:val="22"/>
          <w:szCs w:val="22"/>
          <w:lang w:eastAsia="pt-BR"/>
        </w:rPr>
        <w:t>.</w:t>
      </w:r>
    </w:p>
    <w:p>
      <w:pPr>
        <w:suppressAutoHyphens w:val="0"/>
        <w:spacing w:before="100" w:beforeAutospacing="1" w:after="100" w:afterAutospacing="1" w:line="360" w:lineRule="auto"/>
        <w:jc w:val="both"/>
        <w:rPr>
          <w:rFonts w:ascii="Calibri" w:hAnsi="Calibri" w:cs="Calibri"/>
          <w:sz w:val="22"/>
          <w:szCs w:val="22"/>
          <w:lang w:eastAsia="pt-BR"/>
        </w:rPr>
      </w:pPr>
      <w:r>
        <w:rPr>
          <w:rFonts w:ascii="Calibri" w:hAnsi="Calibri" w:cs="Calibri"/>
          <w:color w:val="000000"/>
          <w:sz w:val="22"/>
          <w:szCs w:val="22"/>
          <w:lang w:eastAsia="pt-BR"/>
        </w:rPr>
        <w:t xml:space="preserve">9.4. No caso de Complementos Alimentares </w:t>
      </w:r>
      <w:r>
        <w:rPr>
          <w:rFonts w:ascii="Calibri" w:hAnsi="Calibri" w:cs="Calibri"/>
          <w:b/>
          <w:bCs/>
          <w:color w:val="000000"/>
          <w:sz w:val="22"/>
          <w:szCs w:val="22"/>
          <w:u w:val="single"/>
          <w:lang w:eastAsia="pt-BR"/>
        </w:rPr>
        <w:t>com prazo de validade inferior a 01 (um) ano</w:t>
      </w:r>
      <w:r>
        <w:rPr>
          <w:rFonts w:ascii="Calibri" w:hAnsi="Calibri" w:cs="Calibri"/>
          <w:color w:val="000000"/>
          <w:sz w:val="22"/>
          <w:szCs w:val="22"/>
          <w:lang w:eastAsia="pt-BR"/>
        </w:rPr>
        <w:t xml:space="preserve">, por ocasião da entrega, </w:t>
      </w:r>
      <w:r>
        <w:rPr>
          <w:rFonts w:ascii="Calibri" w:hAnsi="Calibri" w:cs="Calibri"/>
          <w:b/>
          <w:bCs/>
          <w:color w:val="000000"/>
          <w:sz w:val="22"/>
          <w:szCs w:val="22"/>
          <w:u w:val="single"/>
          <w:lang w:eastAsia="pt-BR"/>
        </w:rPr>
        <w:t xml:space="preserve">somente serão aceitos </w:t>
      </w:r>
      <w:r>
        <w:rPr>
          <w:rFonts w:ascii="Calibri" w:hAnsi="Calibri" w:cs="Calibri"/>
          <w:color w:val="000000"/>
          <w:sz w:val="22"/>
          <w:szCs w:val="22"/>
          <w:lang w:eastAsia="pt-BR"/>
        </w:rPr>
        <w:t>aqueles cujos</w:t>
      </w:r>
      <w:r>
        <w:rPr>
          <w:rFonts w:ascii="Calibri" w:hAnsi="Calibri" w:cs="Calibri"/>
          <w:b/>
          <w:bCs/>
          <w:color w:val="000000"/>
          <w:sz w:val="22"/>
          <w:szCs w:val="22"/>
          <w:u w:val="single"/>
          <w:lang w:eastAsia="pt-BR"/>
        </w:rPr>
        <w:t xml:space="preserve"> prazos de validade</w:t>
      </w:r>
      <w:r>
        <w:rPr>
          <w:rFonts w:ascii="Calibri" w:hAnsi="Calibri" w:cs="Calibri"/>
          <w:color w:val="000000"/>
          <w:sz w:val="22"/>
          <w:szCs w:val="22"/>
          <w:lang w:eastAsia="pt-BR"/>
        </w:rPr>
        <w:t xml:space="preserve"> a </w:t>
      </w:r>
      <w:r>
        <w:rPr>
          <w:rFonts w:ascii="Calibri" w:hAnsi="Calibri" w:cs="Calibri"/>
          <w:b/>
          <w:bCs/>
          <w:color w:val="000000"/>
          <w:sz w:val="22"/>
          <w:szCs w:val="22"/>
          <w:u w:val="single"/>
          <w:lang w:eastAsia="pt-BR"/>
        </w:rPr>
        <w:t>transcorrer seja igual ou superior a 90% (noventa por cento) do prazo previsto</w:t>
      </w:r>
      <w:r>
        <w:rPr>
          <w:rFonts w:ascii="Calibri" w:hAnsi="Calibri" w:cs="Calibri"/>
          <w:color w:val="000000"/>
          <w:sz w:val="22"/>
          <w:szCs w:val="22"/>
          <w:lang w:eastAsia="pt-BR"/>
        </w:rPr>
        <w:t xml:space="preserve">, ou seja, que ainda </w:t>
      </w:r>
      <w:r>
        <w:rPr>
          <w:rFonts w:ascii="Calibri" w:hAnsi="Calibri" w:cs="Calibri"/>
          <w:b/>
          <w:bCs/>
          <w:color w:val="000000"/>
          <w:sz w:val="22"/>
          <w:szCs w:val="22"/>
          <w:u w:val="single"/>
          <w:lang w:eastAsia="pt-BR"/>
        </w:rPr>
        <w:t>não tenha decorrido 10% (dez por cento) do prazo de validade</w:t>
      </w:r>
      <w:r>
        <w:rPr>
          <w:rFonts w:ascii="Calibri" w:hAnsi="Calibri" w:cs="Calibri"/>
          <w:color w:val="000000"/>
          <w:sz w:val="22"/>
          <w:szCs w:val="22"/>
          <w:lang w:eastAsia="pt-BR"/>
        </w:rPr>
        <w:t>.</w:t>
      </w:r>
    </w:p>
    <w:p>
      <w:pPr>
        <w:suppressAutoHyphens w:val="0"/>
        <w:spacing w:before="100" w:beforeAutospacing="1" w:after="100" w:afterAutospacing="1" w:line="360" w:lineRule="auto"/>
        <w:jc w:val="both"/>
        <w:rPr>
          <w:rFonts w:ascii="Calibri" w:hAnsi="Calibri" w:cs="Calibri"/>
          <w:sz w:val="22"/>
          <w:szCs w:val="22"/>
          <w:lang w:eastAsia="pt-BR"/>
        </w:rPr>
      </w:pPr>
      <w:r>
        <w:rPr>
          <w:rFonts w:ascii="Calibri" w:hAnsi="Calibri" w:cs="Calibri"/>
          <w:color w:val="000000"/>
          <w:sz w:val="22"/>
          <w:szCs w:val="22"/>
          <w:lang w:eastAsia="pt-BR"/>
        </w:rPr>
        <w:t>9.5. Fica assegurado à CONTRATANTE o direito de devolver ou recusar, no todo ou em parte, os materiais entregues em desacordo com as especificações exigidas, ficando a CONTRATADA obrigada a substituir, complementar, e/ou reparar, no prazo de até 30 ( trinta dias úteis ), a contar da sua notificação formal, os bens que apresentarem defeitos sem ônus para a CONTRATANTE.</w:t>
      </w:r>
    </w:p>
    <w:p>
      <w:pPr>
        <w:suppressAutoHyphens w:val="0"/>
        <w:spacing w:before="100" w:beforeAutospacing="1" w:after="100" w:afterAutospacing="1" w:line="360" w:lineRule="auto"/>
        <w:jc w:val="both"/>
        <w:rPr>
          <w:rFonts w:ascii="Calibri" w:hAnsi="Calibri" w:cs="Calibri"/>
          <w:sz w:val="22"/>
          <w:szCs w:val="22"/>
          <w:lang w:eastAsia="pt-BR"/>
        </w:rPr>
      </w:pPr>
      <w:r>
        <w:rPr>
          <w:rFonts w:ascii="Calibri" w:hAnsi="Calibri" w:cs="Calibri"/>
          <w:color w:val="000000"/>
          <w:sz w:val="22"/>
          <w:szCs w:val="22"/>
          <w:lang w:eastAsia="pt-BR"/>
        </w:rPr>
        <w:t xml:space="preserve">9.6. A CONTRATANTE reserva-se o direito de </w:t>
      </w:r>
      <w:r>
        <w:rPr>
          <w:rFonts w:ascii="Calibri" w:hAnsi="Calibri" w:cs="Calibri"/>
          <w:b/>
          <w:bCs/>
          <w:color w:val="000000"/>
          <w:sz w:val="22"/>
          <w:szCs w:val="22"/>
          <w:u w:val="single"/>
          <w:lang w:eastAsia="pt-BR"/>
        </w:rPr>
        <w:t>não</w:t>
      </w:r>
      <w:r>
        <w:rPr>
          <w:rFonts w:ascii="Calibri" w:hAnsi="Calibri" w:cs="Calibri"/>
          <w:color w:val="000000"/>
          <w:sz w:val="22"/>
          <w:szCs w:val="22"/>
          <w:lang w:eastAsia="pt-BR"/>
        </w:rPr>
        <w:t xml:space="preserve"> receber nenhum produto com prazo de validade inferior aos especificados nos itens </w:t>
      </w:r>
      <w:r>
        <w:rPr>
          <w:rFonts w:ascii="Calibri" w:hAnsi="Calibri" w:cs="Calibri"/>
          <w:b/>
          <w:bCs/>
          <w:color w:val="000000"/>
          <w:sz w:val="22"/>
          <w:szCs w:val="22"/>
          <w:u w:val="single"/>
          <w:lang w:eastAsia="pt-BR"/>
        </w:rPr>
        <w:t>9.3 e 9.4</w:t>
      </w:r>
      <w:r>
        <w:rPr>
          <w:rFonts w:ascii="Calibri" w:hAnsi="Calibri" w:cs="Calibri"/>
          <w:color w:val="000000"/>
          <w:sz w:val="22"/>
          <w:szCs w:val="22"/>
          <w:lang w:eastAsia="pt-BR"/>
        </w:rPr>
        <w:t xml:space="preserve">, RESSALVADOS os casos de interesse da Administração, desde que exista solicitação prévia da CONTRATADA e justificativa expressa do órgão interessado, caso em que será formalizado o </w:t>
      </w:r>
      <w:r>
        <w:rPr>
          <w:rFonts w:ascii="Calibri" w:hAnsi="Calibri" w:cs="Calibri"/>
          <w:b/>
          <w:bCs/>
          <w:color w:val="000000"/>
          <w:sz w:val="22"/>
          <w:szCs w:val="22"/>
          <w:u w:val="single"/>
          <w:lang w:eastAsia="pt-BR"/>
        </w:rPr>
        <w:t>compromisso de troca</w:t>
      </w:r>
      <w:r>
        <w:rPr>
          <w:rFonts w:ascii="Calibri" w:hAnsi="Calibri" w:cs="Calibri"/>
          <w:color w:val="000000"/>
          <w:sz w:val="22"/>
          <w:szCs w:val="22"/>
          <w:lang w:eastAsia="pt-BR"/>
        </w:rPr>
        <w:t xml:space="preserve"> de todo quantitativo não utilizado.</w:t>
      </w:r>
    </w:p>
    <w:p>
      <w:pPr>
        <w:suppressAutoHyphens w:val="0"/>
        <w:spacing w:before="100" w:beforeAutospacing="1" w:after="100" w:afterAutospacing="1"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 xml:space="preserve">9.6.1. A </w:t>
      </w:r>
      <w:r>
        <w:rPr>
          <w:rFonts w:ascii="Calibri" w:hAnsi="Calibri" w:cs="Calibri"/>
          <w:b/>
          <w:bCs/>
          <w:color w:val="000000"/>
          <w:sz w:val="22"/>
          <w:szCs w:val="22"/>
          <w:u w:val="single"/>
          <w:lang w:eastAsia="pt-BR"/>
        </w:rPr>
        <w:t>carta de comprometimento de troca</w:t>
      </w:r>
      <w:r>
        <w:rPr>
          <w:rFonts w:ascii="Calibri" w:hAnsi="Calibri" w:cs="Calibri"/>
          <w:color w:val="000000"/>
          <w:sz w:val="22"/>
          <w:szCs w:val="22"/>
          <w:lang w:eastAsia="pt-BR"/>
        </w:rPr>
        <w:t xml:space="preserve"> deverá acompanhar a nota fiscal no ato da entrega.</w:t>
      </w:r>
    </w:p>
    <w:p>
      <w:pPr>
        <w:suppressAutoHyphens w:val="0"/>
        <w:spacing w:before="100" w:beforeAutospacing="1" w:after="100" w:afterAutospacing="1"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 xml:space="preserve">9.6.2. </w:t>
      </w:r>
      <w:r>
        <w:rPr>
          <w:rFonts w:ascii="Calibri" w:hAnsi="Calibri" w:cs="Calibri"/>
          <w:sz w:val="22"/>
          <w:szCs w:val="22"/>
        </w:rPr>
        <w:t xml:space="preserve">A solicitação de troca e coleta do quantitativo não utilizado será realizado pelo CONTRATANTE em até </w:t>
      </w:r>
      <w:r>
        <w:rPr>
          <w:rFonts w:ascii="Calibri" w:hAnsi="Calibri" w:cs="Calibri"/>
          <w:b/>
          <w:sz w:val="22"/>
          <w:szCs w:val="22"/>
        </w:rPr>
        <w:t>30 (trinta) dias</w:t>
      </w:r>
      <w:r>
        <w:rPr>
          <w:rFonts w:ascii="Calibri" w:hAnsi="Calibri" w:cs="Calibri"/>
          <w:sz w:val="22"/>
          <w:szCs w:val="22"/>
        </w:rPr>
        <w:t xml:space="preserve"> após o vencimento do produto.</w:t>
      </w:r>
      <w:r>
        <w:rPr>
          <w:rFonts w:ascii="Calibri" w:hAnsi="Calibri" w:cs="Calibri"/>
          <w:color w:val="000000"/>
          <w:sz w:val="22"/>
          <w:szCs w:val="22"/>
          <w:lang w:eastAsia="pt-BR"/>
        </w:rPr>
        <w:t>.</w:t>
      </w:r>
    </w:p>
    <w:p>
      <w:pPr>
        <w:suppressAutoHyphens w:val="0"/>
        <w:spacing w:before="100" w:beforeAutospacing="1" w:after="100" w:afterAutospacing="1"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 xml:space="preserve">9.6.3. A troca deverá ser realizada </w:t>
      </w:r>
      <w:r>
        <w:rPr>
          <w:rFonts w:ascii="Calibri" w:hAnsi="Calibri" w:cs="Calibri"/>
          <w:b/>
          <w:bCs/>
          <w:color w:val="000000"/>
          <w:sz w:val="22"/>
          <w:szCs w:val="22"/>
          <w:lang w:eastAsia="pt-BR"/>
        </w:rPr>
        <w:t>em até 30 (trinta) dias</w:t>
      </w:r>
      <w:r>
        <w:rPr>
          <w:rFonts w:ascii="Calibri" w:hAnsi="Calibri" w:cs="Calibri"/>
          <w:color w:val="000000"/>
          <w:sz w:val="22"/>
          <w:szCs w:val="22"/>
          <w:lang w:eastAsia="pt-BR"/>
        </w:rPr>
        <w:t xml:space="preserve"> após a solicitação do CONTRATANTE.</w:t>
      </w:r>
    </w:p>
    <w:p>
      <w:pPr>
        <w:suppressAutoHyphens w:val="0"/>
        <w:spacing w:before="100" w:beforeAutospacing="1" w:after="100" w:afterAutospacing="1"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9.6.4. No ato da entrega de produtos garantidos pela carta de comprometimento de troca, a nota fiscal apresentada deve informar que o produto é referente a uma reposição por troca, especificando a nota fiscal e empenho de origem.</w:t>
      </w:r>
    </w:p>
    <w:p>
      <w:pPr>
        <w:suppressAutoHyphens w:val="0"/>
        <w:spacing w:before="100" w:beforeAutospacing="1" w:after="100" w:afterAutospacing="1"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 xml:space="preserve">9.7. As distribuidoras devem apresentar certificado de procedência dos produtos, lote a lote, a ser entregue de acordo com o estabelecido na licitação, conforme o </w:t>
      </w:r>
      <w:r>
        <w:rPr>
          <w:rFonts w:ascii="Calibri" w:hAnsi="Calibri" w:cs="Calibri"/>
          <w:b/>
          <w:bCs/>
          <w:color w:val="000000"/>
          <w:sz w:val="22"/>
          <w:szCs w:val="22"/>
          <w:u w:val="single"/>
          <w:lang w:eastAsia="pt-BR"/>
        </w:rPr>
        <w:t>art. 6º da Portaria nº. 2.814/1998 do Ministério da Saúde</w:t>
      </w:r>
      <w:r>
        <w:rPr>
          <w:rFonts w:ascii="Calibri" w:hAnsi="Calibri" w:cs="Calibri"/>
          <w:color w:val="000000"/>
          <w:sz w:val="22"/>
          <w:szCs w:val="22"/>
          <w:lang w:eastAsia="pt-BR"/>
        </w:rPr>
        <w:t>.</w:t>
      </w:r>
    </w:p>
    <w:p>
      <w:pPr>
        <w:suppressAutoHyphens w:val="0"/>
        <w:spacing w:before="100" w:beforeAutospacing="1" w:after="100" w:afterAutospacing="1"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 xml:space="preserve">9.8. Os produtos deverão ser entregues em embalagens adequadas contendo de forma visível os seguintes dizeres : “PROIBIDA A VENDA PELO COMÉRCIO” (vide </w:t>
      </w:r>
      <w:r>
        <w:rPr>
          <w:rFonts w:ascii="Calibri" w:hAnsi="Calibri" w:cs="Calibri"/>
          <w:b/>
          <w:bCs/>
          <w:color w:val="000000"/>
          <w:sz w:val="22"/>
          <w:szCs w:val="22"/>
          <w:u w:val="single"/>
          <w:lang w:eastAsia="pt-BR"/>
        </w:rPr>
        <w:t>art. 7º da Portaria nº. 2.814/1998 do Ministério da Saúde</w:t>
      </w:r>
      <w:r>
        <w:rPr>
          <w:rFonts w:ascii="Calibri" w:hAnsi="Calibri" w:cs="Calibri"/>
          <w:color w:val="000000"/>
          <w:sz w:val="22"/>
          <w:szCs w:val="22"/>
          <w:lang w:eastAsia="pt-BR"/>
        </w:rPr>
        <w:t>). Esta informação deverá constar da embalagem de forma que não possa ser removida sem danificá-la. Em caso de latas ou frascos, deve estar no corpo da embalagem e não na tampa.</w:t>
      </w:r>
    </w:p>
    <w:p>
      <w:pPr>
        <w:suppressAutoHyphens w:val="0"/>
        <w:spacing w:before="100" w:beforeAutospacing="1" w:after="100" w:afterAutospacing="1"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9.9. As embalagens primárias dos produtos devem apresentar o número do lote e o prazo de validade.</w:t>
      </w:r>
    </w:p>
    <w:p>
      <w:pPr>
        <w:suppressAutoHyphens w:val="0"/>
        <w:spacing w:before="100" w:beforeAutospacing="1" w:after="100" w:afterAutospacing="1"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9.10. Os produtos que necessitarem de acessórios para a sua aplicação ou administração deverão vir acompanhados desses, inclusive, dos respectivos diluentes, filtros, equipos para transferência ou infusão, se especificado em edital ou constante no registro do Ministério da Saúde.</w:t>
      </w:r>
    </w:p>
    <w:p>
      <w:pPr>
        <w:suppressAutoHyphens w:val="0"/>
        <w:spacing w:before="100" w:beforeAutospacing="1" w:after="100" w:afterAutospacing="1" w:line="360" w:lineRule="auto"/>
        <w:ind w:firstLine="709"/>
        <w:jc w:val="both"/>
        <w:rPr>
          <w:rFonts w:ascii="Calibri" w:hAnsi="Calibri" w:cs="Calibri"/>
          <w:sz w:val="22"/>
          <w:szCs w:val="22"/>
          <w:lang w:eastAsia="pt-BR"/>
        </w:rPr>
      </w:pPr>
      <w:r>
        <w:rPr>
          <w:rFonts w:ascii="Calibri" w:hAnsi="Calibri" w:cs="Calibri"/>
          <w:color w:val="000000"/>
          <w:sz w:val="22"/>
          <w:szCs w:val="22"/>
          <w:lang w:eastAsia="pt-BR"/>
        </w:rPr>
        <w:t xml:space="preserve">9.11. Havendo necessidade técnica ou administrativa, o licitante poderá encaminhar os produtos entregues para análise, em laboratórios analíticos – certificadores habilitados para atestar a conformidade às exigências e requisitos de qualidade a serem cumpridos por fabricantes e fornecedores (vide </w:t>
      </w:r>
      <w:r>
        <w:rPr>
          <w:rFonts w:ascii="Calibri" w:hAnsi="Calibri" w:cs="Calibri"/>
          <w:b/>
          <w:bCs/>
          <w:color w:val="000000"/>
          <w:sz w:val="22"/>
          <w:szCs w:val="22"/>
          <w:u w:val="single"/>
          <w:lang w:eastAsia="pt-BR"/>
        </w:rPr>
        <w:t>art. 3º da Portaria MS/GM nº. 1.818/1997</w:t>
      </w:r>
      <w:r>
        <w:rPr>
          <w:rFonts w:ascii="Calibri" w:hAnsi="Calibri" w:cs="Calibri"/>
          <w:color w:val="000000"/>
          <w:sz w:val="22"/>
          <w:szCs w:val="22"/>
          <w:lang w:eastAsia="pt-BR"/>
        </w:rPr>
        <w:t>).</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9.12. O objeto do contrato deverá será recebido pelo servidor designado como fiscal do contrato, nos seguintes termos:</w:t>
      </w:r>
    </w:p>
    <w:p>
      <w:pPr>
        <w:suppressAutoHyphens w:val="0"/>
        <w:spacing w:line="360" w:lineRule="auto"/>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9.12.1. Provisoriamente, para efeito de posterior verificação da conformidade dos bens recebidos com as especificações exigidas;</w:t>
      </w:r>
    </w:p>
    <w:p>
      <w:pPr>
        <w:suppressAutoHyphens w:val="0"/>
        <w:spacing w:line="360" w:lineRule="auto"/>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9.12.2. Definitivamente, após a verificação da compatibilidade dos bens com as especificações técnicas e exigências de qualidade e quantidade fixadas no Edital e seus anexos, com a conseqüente aceitação, no prazo de 15 (quinze) dias úteis, a contar do recebimento provisório.</w:t>
      </w:r>
    </w:p>
    <w:p>
      <w:pPr>
        <w:suppressAutoHyphens w:val="0"/>
        <w:spacing w:line="360" w:lineRule="auto"/>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10. DAS EXIGÊNCIAS DE QUALIFICAÇÃO TÉCNICA</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A licitante deverá comprovar os seguintes requisitos de qualificação técnica:</w:t>
      </w:r>
    </w:p>
    <w:p>
      <w:pPr>
        <w:suppressAutoHyphens w:val="0"/>
        <w:spacing w:line="360" w:lineRule="auto"/>
        <w:ind w:left="360"/>
        <w:jc w:val="both"/>
        <w:rPr>
          <w:rFonts w:ascii="Calibri" w:hAnsi="Calibri" w:cs="Calibri"/>
          <w:sz w:val="22"/>
          <w:szCs w:val="22"/>
          <w:lang w:eastAsia="pt-BR"/>
        </w:rPr>
      </w:pPr>
    </w:p>
    <w:p>
      <w:pPr>
        <w:suppressAutoHyphens w:val="0"/>
        <w:spacing w:after="120" w:line="360" w:lineRule="auto"/>
        <w:jc w:val="both"/>
        <w:rPr>
          <w:rFonts w:ascii="Calibri" w:hAnsi="Calibri" w:cs="Calibri"/>
          <w:sz w:val="22"/>
          <w:szCs w:val="22"/>
          <w:lang w:eastAsia="pt-BR"/>
        </w:rPr>
      </w:pPr>
      <w:r>
        <w:rPr>
          <w:rFonts w:ascii="Calibri" w:hAnsi="Calibri" w:cs="Calibri"/>
          <w:color w:val="000000"/>
          <w:sz w:val="22"/>
          <w:szCs w:val="22"/>
          <w:lang w:eastAsia="pt-BR"/>
        </w:rPr>
        <w:t>10.1. Licença de funcionamento do estabelecimento emitida pelo órgão sanitário competente da unidade federativa em que se localize.</w:t>
      </w:r>
    </w:p>
    <w:p>
      <w:pPr>
        <w:suppressAutoHyphens w:val="0"/>
        <w:spacing w:after="120" w:line="360" w:lineRule="auto"/>
        <w:jc w:val="both"/>
        <w:rPr>
          <w:rFonts w:ascii="Calibri" w:hAnsi="Calibri" w:cs="Calibri"/>
          <w:sz w:val="22"/>
          <w:szCs w:val="22"/>
          <w:lang w:eastAsia="pt-BR"/>
        </w:rPr>
      </w:pPr>
      <w:r>
        <w:rPr>
          <w:rFonts w:ascii="Calibri" w:hAnsi="Calibri" w:cs="Calibri"/>
          <w:color w:val="000000"/>
          <w:sz w:val="22"/>
          <w:szCs w:val="22"/>
          <w:lang w:eastAsia="pt-BR"/>
        </w:rPr>
        <w:t>10.2. Em se tratando de item importado, cuja importação seja realizada por terceiro não detentor do registro na Anvisa, Declaração do Detentor de Registro – DDR.</w:t>
      </w:r>
    </w:p>
    <w:p>
      <w:pPr>
        <w:suppressAutoHyphens w:val="0"/>
        <w:spacing w:after="120" w:line="360" w:lineRule="auto"/>
        <w:jc w:val="both"/>
        <w:rPr>
          <w:rFonts w:ascii="Calibri" w:hAnsi="Calibri" w:cs="Calibri"/>
          <w:sz w:val="22"/>
          <w:szCs w:val="22"/>
          <w:lang w:eastAsia="pt-BR"/>
        </w:rPr>
      </w:pPr>
      <w:r>
        <w:rPr>
          <w:rFonts w:ascii="Calibri" w:hAnsi="Calibri" w:cs="Calibri"/>
          <w:color w:val="000000"/>
          <w:sz w:val="22"/>
          <w:szCs w:val="22"/>
          <w:lang w:eastAsia="pt-BR"/>
        </w:rPr>
        <w:t>10.3. Certificado de Registro do Produto expedido pela ANVISA ou sua publicação no Diário Oficial da União.</w:t>
      </w:r>
    </w:p>
    <w:p>
      <w:pPr>
        <w:suppressAutoHyphens w:val="0"/>
        <w:spacing w:line="360" w:lineRule="auto"/>
        <w:ind w:left="360"/>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11. DAS EXIGÊNCIAS DE QUALIFICAÇÃO ECONÔMICO-FINANCEIRA</w:t>
      </w:r>
    </w:p>
    <w:p>
      <w:pPr>
        <w:suppressAutoHyphens w:val="0"/>
        <w:spacing w:line="360" w:lineRule="auto"/>
        <w:ind w:left="360"/>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A licitante deverá comprovar os seguintes requisitos de qualificação econômico-financeira:</w:t>
      </w:r>
    </w:p>
    <w:p>
      <w:pPr>
        <w:suppressAutoHyphens w:val="0"/>
        <w:spacing w:line="360" w:lineRule="auto"/>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11.1 Certidão Negativa de Falência ou Recuperação Judicial, expedida pelo distribuidor ou distribuidores (caso exista mais de um) da sede ou domicílio da licitante OU, no caso de empresas em recuperação judicial, que já tenham tido o plano de recuperação homologado em juízo, certidão emitida pela instância judicial competente que certifique que a licitante está apta econômica e financeiramente a participar do procedimento licitatório;</w:t>
      </w:r>
    </w:p>
    <w:p>
      <w:pPr>
        <w:suppressAutoHyphens w:val="0"/>
        <w:spacing w:line="360" w:lineRule="auto"/>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 xml:space="preserve">11.1.1 A certidão descrita no subitem 11.1 somente é exigível quando a certidão negativa de Falência ou Recuperação Judicial da sede ou do domicílio da licitante (subitem 11.1) contiver a </w:t>
      </w:r>
      <w:r>
        <w:rPr>
          <w:rFonts w:ascii="Calibri" w:hAnsi="Calibri" w:cs="Calibri"/>
          <w:b/>
          <w:bCs/>
          <w:color w:val="000000"/>
          <w:sz w:val="22"/>
          <w:szCs w:val="22"/>
          <w:u w:val="single"/>
          <w:lang w:eastAsia="pt-BR"/>
        </w:rPr>
        <w:t>ressalva expressa</w:t>
      </w:r>
      <w:r>
        <w:rPr>
          <w:rFonts w:ascii="Calibri" w:hAnsi="Calibri" w:cs="Calibri"/>
          <w:color w:val="000000"/>
          <w:sz w:val="22"/>
          <w:szCs w:val="22"/>
          <w:lang w:eastAsia="pt-BR"/>
        </w:rPr>
        <w:t xml:space="preserve"> de que não abrange os </w:t>
      </w:r>
      <w:r>
        <w:rPr>
          <w:rFonts w:ascii="Calibri" w:hAnsi="Calibri" w:cs="Calibri"/>
          <w:color w:val="000000"/>
          <w:sz w:val="22"/>
          <w:szCs w:val="22"/>
          <w:u w:val="single"/>
          <w:lang w:eastAsia="pt-BR"/>
        </w:rPr>
        <w:t>processos judiciais eletrônicos</w:t>
      </w:r>
      <w:r>
        <w:rPr>
          <w:rFonts w:ascii="Calibri" w:hAnsi="Calibri" w:cs="Calibri"/>
          <w:color w:val="000000"/>
          <w:sz w:val="22"/>
          <w:szCs w:val="22"/>
          <w:lang w:eastAsia="pt-BR"/>
        </w:rPr>
        <w:t>.</w:t>
      </w:r>
    </w:p>
    <w:p>
      <w:pPr>
        <w:suppressAutoHyphens w:val="0"/>
        <w:spacing w:line="360" w:lineRule="auto"/>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12. DO PRAZO DE ENTREGA</w:t>
      </w:r>
    </w:p>
    <w:p>
      <w:pPr>
        <w:suppressAutoHyphens w:val="0"/>
        <w:spacing w:line="360" w:lineRule="auto"/>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A entrega do(s) produto/insumo(s), será realizada de forma parcelada, em até 15 (quinze) dias corridos, contados da emissão da Ordem de Fornecimento.</w:t>
      </w:r>
    </w:p>
    <w:p>
      <w:pPr>
        <w:suppressAutoHyphens w:val="0"/>
        <w:spacing w:line="360" w:lineRule="auto"/>
        <w:jc w:val="both"/>
        <w:rPr>
          <w:rFonts w:ascii="Calibri" w:hAnsi="Calibri" w:cs="Calibri"/>
          <w:sz w:val="22"/>
          <w:szCs w:val="22"/>
          <w:lang w:eastAsia="pt-BR"/>
        </w:rPr>
      </w:pPr>
    </w:p>
    <w:p>
      <w:pPr>
        <w:suppressAutoHyphens w:val="0"/>
        <w:spacing w:line="360" w:lineRule="auto"/>
        <w:ind w:left="360" w:right="-570" w:hanging="360"/>
        <w:rPr>
          <w:rFonts w:ascii="Calibri" w:hAnsi="Calibri" w:cs="Calibri"/>
          <w:sz w:val="22"/>
          <w:szCs w:val="22"/>
          <w:lang w:eastAsia="pt-BR"/>
        </w:rPr>
      </w:pPr>
      <w:r>
        <w:rPr>
          <w:rFonts w:ascii="Calibri" w:hAnsi="Calibri" w:cs="Calibri"/>
          <w:b/>
          <w:bCs/>
          <w:color w:val="000000"/>
          <w:sz w:val="22"/>
          <w:szCs w:val="22"/>
          <w:lang w:eastAsia="pt-BR"/>
        </w:rPr>
        <w:t>13. DAS PENALIDADES</w:t>
      </w:r>
    </w:p>
    <w:p>
      <w:pPr>
        <w:suppressAutoHyphens w:val="0"/>
        <w:spacing w:line="360" w:lineRule="auto"/>
        <w:ind w:right="-570"/>
        <w:rPr>
          <w:rFonts w:ascii="Calibri" w:hAnsi="Calibri" w:cs="Calibri"/>
          <w:sz w:val="22"/>
          <w:szCs w:val="22"/>
          <w:lang w:eastAsia="pt-BR"/>
        </w:rPr>
      </w:pPr>
    </w:p>
    <w:p>
      <w:pPr>
        <w:suppressAutoHyphens w:val="0"/>
        <w:spacing w:line="360" w:lineRule="auto"/>
        <w:ind w:right="-570"/>
        <w:rPr>
          <w:rFonts w:ascii="Calibri" w:hAnsi="Calibri" w:cs="Calibri"/>
          <w:sz w:val="22"/>
          <w:szCs w:val="22"/>
          <w:lang w:eastAsia="pt-BR"/>
        </w:rPr>
      </w:pPr>
      <w:r>
        <w:rPr>
          <w:rFonts w:ascii="Calibri" w:hAnsi="Calibri" w:cs="Calibri"/>
          <w:color w:val="00000A"/>
          <w:sz w:val="22"/>
          <w:szCs w:val="22"/>
          <w:shd w:val="clear" w:color="auto" w:fill="FFFFFF"/>
          <w:lang w:eastAsia="pt-BR"/>
        </w:rPr>
        <w:t>13.1.</w:t>
      </w:r>
      <w:r>
        <w:rPr>
          <w:rFonts w:ascii="Calibri" w:hAnsi="Calibri" w:cs="Calibri"/>
          <w:b/>
          <w:bCs/>
          <w:color w:val="00000A"/>
          <w:sz w:val="22"/>
          <w:szCs w:val="22"/>
          <w:shd w:val="clear" w:color="auto" w:fill="FFFFFF"/>
          <w:lang w:eastAsia="pt-BR"/>
        </w:rPr>
        <w:t xml:space="preserve"> </w:t>
      </w:r>
      <w:r>
        <w:rPr>
          <w:rFonts w:ascii="Calibri" w:hAnsi="Calibri" w:cs="Calibri"/>
          <w:color w:val="00000A"/>
          <w:sz w:val="22"/>
          <w:szCs w:val="22"/>
          <w:shd w:val="clear" w:color="auto" w:fill="FFFFFF"/>
          <w:lang w:eastAsia="pt-BR"/>
        </w:rPr>
        <w:t>Pela inexecução total ou parcial do objeto</w:t>
      </w:r>
      <w:r>
        <w:rPr>
          <w:rFonts w:ascii="Calibri" w:hAnsi="Calibri" w:cs="Calibri"/>
          <w:b/>
          <w:bCs/>
          <w:color w:val="00000A"/>
          <w:sz w:val="22"/>
          <w:szCs w:val="22"/>
          <w:shd w:val="clear" w:color="auto" w:fill="FFFFFF"/>
          <w:lang w:eastAsia="pt-BR"/>
        </w:rPr>
        <w:t xml:space="preserve"> </w:t>
      </w:r>
      <w:r>
        <w:rPr>
          <w:rFonts w:ascii="Calibri" w:hAnsi="Calibri" w:cs="Calibri"/>
          <w:color w:val="00000A"/>
          <w:sz w:val="22"/>
          <w:szCs w:val="22"/>
          <w:shd w:val="clear" w:color="auto" w:fill="FFFFFF"/>
          <w:lang w:eastAsia="pt-BR"/>
        </w:rPr>
        <w:t xml:space="preserve">deste Termo de Referência, a </w:t>
      </w:r>
      <w:r>
        <w:rPr>
          <w:rFonts w:ascii="Calibri" w:hAnsi="Calibri" w:cs="Calibri"/>
          <w:b/>
          <w:bCs/>
          <w:color w:val="00000A"/>
          <w:sz w:val="22"/>
          <w:szCs w:val="22"/>
          <w:shd w:val="clear" w:color="auto" w:fill="FFFFFF"/>
          <w:lang w:eastAsia="pt-BR"/>
        </w:rPr>
        <w:t>CONTRATANTE</w:t>
      </w:r>
      <w:r>
        <w:rPr>
          <w:rFonts w:ascii="Calibri" w:hAnsi="Calibri" w:cs="Calibri"/>
          <w:color w:val="00000A"/>
          <w:sz w:val="22"/>
          <w:szCs w:val="22"/>
          <w:shd w:val="clear" w:color="auto" w:fill="FFFFFF"/>
          <w:lang w:eastAsia="pt-BR"/>
        </w:rPr>
        <w:t xml:space="preserve"> poderá garantida a prévia defesa, aplicar à </w:t>
      </w:r>
      <w:r>
        <w:rPr>
          <w:rFonts w:ascii="Calibri" w:hAnsi="Calibri" w:cs="Calibri"/>
          <w:b/>
          <w:bCs/>
          <w:color w:val="00000A"/>
          <w:sz w:val="22"/>
          <w:szCs w:val="22"/>
          <w:shd w:val="clear" w:color="auto" w:fill="FFFFFF"/>
          <w:lang w:eastAsia="pt-BR"/>
        </w:rPr>
        <w:t>CONTRATADA</w:t>
      </w:r>
      <w:r>
        <w:rPr>
          <w:rFonts w:ascii="Calibri" w:hAnsi="Calibri" w:cs="Calibri"/>
          <w:color w:val="00000A"/>
          <w:sz w:val="22"/>
          <w:szCs w:val="22"/>
          <w:shd w:val="clear" w:color="auto" w:fill="FFFFFF"/>
          <w:lang w:eastAsia="pt-BR"/>
        </w:rPr>
        <w:t xml:space="preserve"> as seguintes sanções:</w:t>
      </w:r>
    </w:p>
    <w:p>
      <w:pPr>
        <w:suppressAutoHyphens w:val="0"/>
        <w:spacing w:line="360" w:lineRule="auto"/>
        <w:ind w:right="-570"/>
        <w:rPr>
          <w:rFonts w:ascii="Calibri" w:hAnsi="Calibri" w:cs="Calibri"/>
          <w:sz w:val="22"/>
          <w:szCs w:val="22"/>
          <w:lang w:eastAsia="pt-BR"/>
        </w:rPr>
      </w:pPr>
    </w:p>
    <w:p>
      <w:pPr>
        <w:suppressAutoHyphens w:val="0"/>
        <w:spacing w:line="360" w:lineRule="auto"/>
        <w:ind w:right="-570"/>
        <w:rPr>
          <w:rFonts w:ascii="Calibri" w:hAnsi="Calibri" w:cs="Calibri"/>
          <w:sz w:val="22"/>
          <w:szCs w:val="22"/>
          <w:lang w:eastAsia="pt-BR"/>
        </w:rPr>
      </w:pPr>
    </w:p>
    <w:p>
      <w:pPr>
        <w:suppressAutoHyphens w:val="0"/>
        <w:spacing w:line="360" w:lineRule="auto"/>
        <w:ind w:right="-570"/>
        <w:rPr>
          <w:rFonts w:ascii="Calibri" w:hAnsi="Calibri" w:cs="Calibri"/>
          <w:sz w:val="22"/>
          <w:szCs w:val="22"/>
          <w:lang w:eastAsia="pt-BR"/>
        </w:rPr>
      </w:pPr>
      <w:r>
        <w:rPr>
          <w:rFonts w:ascii="Calibri" w:hAnsi="Calibri" w:cs="Calibri"/>
          <w:color w:val="00000A"/>
          <w:sz w:val="22"/>
          <w:szCs w:val="22"/>
          <w:shd w:val="clear" w:color="auto" w:fill="FFFFFF"/>
          <w:lang w:eastAsia="pt-BR"/>
        </w:rPr>
        <w:t>I – ADVERTÊNCIA;</w:t>
      </w:r>
    </w:p>
    <w:p>
      <w:pPr>
        <w:suppressAutoHyphens w:val="0"/>
        <w:spacing w:line="360" w:lineRule="auto"/>
        <w:ind w:right="-570"/>
        <w:rPr>
          <w:rFonts w:ascii="Calibri" w:hAnsi="Calibri" w:cs="Calibri"/>
          <w:sz w:val="22"/>
          <w:szCs w:val="22"/>
          <w:lang w:eastAsia="pt-BR"/>
        </w:rPr>
      </w:pPr>
    </w:p>
    <w:p>
      <w:pPr>
        <w:suppressAutoHyphens w:val="0"/>
        <w:spacing w:line="360" w:lineRule="auto"/>
        <w:ind w:right="-570"/>
        <w:rPr>
          <w:rFonts w:ascii="Calibri" w:hAnsi="Calibri" w:cs="Calibri"/>
          <w:sz w:val="22"/>
          <w:szCs w:val="22"/>
          <w:lang w:eastAsia="pt-BR"/>
        </w:rPr>
      </w:pPr>
      <w:r>
        <w:rPr>
          <w:rFonts w:ascii="Calibri" w:hAnsi="Calibri" w:cs="Calibri"/>
          <w:color w:val="00000A"/>
          <w:sz w:val="22"/>
          <w:szCs w:val="22"/>
          <w:shd w:val="clear" w:color="auto" w:fill="FFFFFF"/>
          <w:lang w:eastAsia="pt-BR"/>
        </w:rPr>
        <w:t>II – multa, nos seguintes termos:</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a) em relação ao prazo estipulado, de 1% (um por cento) do valor do fornecimento, por cada dia de atraso;</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b) pela recusa em executar o fornecimento, caracterizada em dez dias após o vencimento do prazo estipulado, de 10% (dez por cento) do valor do fornecimento;</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c) pela demora em corrigir falhas do fornecimento executado, a contar do segundo dia da data da notificação da rejeição, de 2% (dois por cento) do valor do bem ou do fornecimento, por cada dia decorrido;</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d) pela recusa da CONTRATADA em corrigir as falhas no fornecimento executado, entendendo-se como recusa o fornecimento não efetivado nos cinco dias que se seguirem à data da rejeição: 10% (dez por cento) do valor do fornecimento rejeitado.</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III - suspensão temporária de participar em licitação e impedimento de contratar com a Administração, pelo prazo de até 2 (dois) anos.</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IV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à Administração, pelos prejuízos resultantes e depois de decorrido o prazo da sanção aplicada com base no item III acima.</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13.2 Pelos motivos que se seguem, a contratada estará sujeita às penalidades tratadas nos incisos III e IV acima:</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I- pelo descumprimento do prazo de fornecimento do objeto;</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II- pela recusa em atender alguma solicitação para correção do fornecimento do objeto, caracterizada se o atendimento á solicitação não ocorrer no prazo 10 (dez) dias úteis, contados da data da recusa, com a notificação devia; e</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III- pela não execução do objeto de acordo com as especificações e prazos estipulados no Termo de Referência.</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13.3 Além das penalidades citadas, a contratada ficará sujeita, ainda, no que couber, às demais penalidades referidas no Capitulo IV da Lei Federal nº 8.666/93;</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13.4 As multas estabelecidas podem ser aplicadas isoladas ou cumulativamente, ficando o seu total limitado a 10% (dez) por cento do valor contratado, sem prejuízo das perdas e danos cabíveis.</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13.5 As importâncias alusivas às multas serão descontadas da garantia contratual ou dos pagamentos porventura devido à contratada ou ainda efetuada a sua cobrança mediante inscrição em divida do Estado ou por qualquer outra fora prevista em Lei.</w:t>
      </w:r>
    </w:p>
    <w:p>
      <w:pPr>
        <w:suppressAutoHyphens w:val="0"/>
        <w:spacing w:line="360" w:lineRule="auto"/>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14. DO PRAZO DE VIGÊNCIA DO CONTRATO</w:t>
      </w:r>
    </w:p>
    <w:p>
      <w:pPr>
        <w:suppressAutoHyphens w:val="0"/>
        <w:spacing w:line="360" w:lineRule="auto"/>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O presente contrato terá encerramento automático, independente de anuência de qualquer das partes, pela ocorrência da disponibilização da Ata de Registro de Preços para fornecimento dos itens tramitando através do SEI nº 2300000386.000229/2023-30, SEI nº 2300000386.000405/2023-33 e SEI nº 2300000386.000228/2023-95 ou condicionado à conclusão da reposição solicitada dos complementos para pacientes de 01 a 08 anos de idade e para maiores de 08 anos de idade. Ocorrendo tal fato, a CONTRATANTE deverá notificar a CONTRATADA, informando o encerramento deste instrumento contratual, devendo a CONTRATADA arcar com todos os ônus até a data do seu término.</w:t>
      </w:r>
    </w:p>
    <w:p>
      <w:pPr>
        <w:suppressAutoHyphens w:val="0"/>
        <w:spacing w:line="360" w:lineRule="auto"/>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15. DO LOCAL E HORÁRIO DE ENTREGA DO PRODUTO</w:t>
      </w:r>
    </w:p>
    <w:p>
      <w:pPr>
        <w:suppressAutoHyphens w:val="0"/>
        <w:spacing w:line="360" w:lineRule="auto"/>
        <w:ind w:left="360"/>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Os itens serão entregues no endereço Rodovia Empresário João Santos Filho, Condomínio Industrial AJAM, Bloco D, nº. 732, Muribeca, Jaboatão dos Guararapes, PE – CEP: 54.350-100.</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 xml:space="preserve">Antes de efetuar as entregas dos itens, deverá agendar o respectivo procedimento com a CENTRAL DE DISTRIBUIÇÃO DO </w:t>
      </w:r>
      <w:r>
        <w:rPr>
          <w:rFonts w:ascii="Calibri" w:hAnsi="Calibri" w:cs="Calibri"/>
          <w:b/>
          <w:bCs/>
          <w:color w:val="000000"/>
          <w:sz w:val="22"/>
          <w:szCs w:val="22"/>
          <w:u w:val="single"/>
          <w:lang w:eastAsia="pt-BR"/>
        </w:rPr>
        <w:t>ALCLOG</w:t>
      </w:r>
      <w:r>
        <w:rPr>
          <w:rFonts w:ascii="Calibri" w:hAnsi="Calibri" w:cs="Calibri"/>
          <w:color w:val="000000"/>
          <w:sz w:val="22"/>
          <w:szCs w:val="22"/>
          <w:lang w:eastAsia="pt-BR"/>
        </w:rPr>
        <w:t xml:space="preserve"> no horário das 8:00 às 12:00 e 14:00 às 17:00, no telefone: (81) 3437.4994.</w:t>
      </w: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Para a entrega, é imprescindível anexar a DANFE, a Nota Fiscal Eletrônica e a cópia da Nota de Empenho.</w:t>
      </w:r>
    </w:p>
    <w:p>
      <w:pPr>
        <w:suppressAutoHyphens w:val="0"/>
        <w:spacing w:line="360" w:lineRule="auto"/>
        <w:ind w:left="360"/>
        <w:jc w:val="both"/>
        <w:rPr>
          <w:rFonts w:ascii="Calibri" w:hAnsi="Calibri" w:cs="Calibri"/>
          <w:sz w:val="22"/>
          <w:szCs w:val="22"/>
          <w:lang w:eastAsia="pt-BR"/>
        </w:rPr>
      </w:pPr>
    </w:p>
    <w:p>
      <w:pPr>
        <w:suppressAutoHyphens w:val="0"/>
        <w:spacing w:line="360" w:lineRule="auto"/>
        <w:ind w:left="360" w:hanging="360"/>
        <w:jc w:val="both"/>
        <w:rPr>
          <w:rFonts w:ascii="Calibri" w:hAnsi="Calibri" w:cs="Calibri"/>
          <w:sz w:val="22"/>
          <w:szCs w:val="22"/>
          <w:lang w:eastAsia="pt-BR"/>
        </w:rPr>
      </w:pPr>
      <w:r>
        <w:rPr>
          <w:rFonts w:ascii="Calibri" w:hAnsi="Calibri" w:cs="Calibri"/>
          <w:b/>
          <w:bCs/>
          <w:color w:val="000000"/>
          <w:sz w:val="22"/>
          <w:szCs w:val="22"/>
          <w:lang w:eastAsia="pt-BR"/>
        </w:rPr>
        <w:t>16. DA FORMA DE PAGAMENTO</w:t>
      </w:r>
    </w:p>
    <w:p>
      <w:pPr>
        <w:suppressAutoHyphens w:val="0"/>
        <w:spacing w:line="360" w:lineRule="auto"/>
        <w:jc w:val="both"/>
        <w:rPr>
          <w:rFonts w:ascii="Calibri" w:hAnsi="Calibri" w:cs="Calibri"/>
          <w:sz w:val="22"/>
          <w:szCs w:val="22"/>
          <w:lang w:eastAsia="pt-BR"/>
        </w:rPr>
      </w:pPr>
    </w:p>
    <w:p>
      <w:pPr>
        <w:suppressAutoHyphens w:val="0"/>
        <w:spacing w:line="360" w:lineRule="auto"/>
        <w:jc w:val="both"/>
        <w:rPr>
          <w:rFonts w:ascii="Calibri" w:hAnsi="Calibri" w:cs="Calibri"/>
          <w:sz w:val="22"/>
          <w:szCs w:val="22"/>
          <w:lang w:eastAsia="pt-BR"/>
        </w:rPr>
      </w:pPr>
      <w:r>
        <w:rPr>
          <w:rFonts w:ascii="Calibri" w:hAnsi="Calibri" w:cs="Calibri"/>
          <w:color w:val="000000"/>
          <w:sz w:val="22"/>
          <w:szCs w:val="22"/>
          <w:lang w:eastAsia="pt-BR"/>
        </w:rPr>
        <w:t>O pagamento dar-se-á após o prazo de 30 dias, a contar do recebimento definitivo do(s) itens, aplicando-se o IPCA em caso de atraso da Administração.</w:t>
      </w:r>
    </w:p>
    <w:p>
      <w:pPr>
        <w:suppressAutoHyphens w:val="0"/>
        <w:spacing w:line="360" w:lineRule="auto"/>
        <w:ind w:left="360"/>
        <w:jc w:val="both"/>
        <w:rPr>
          <w:rFonts w:ascii="Calibri" w:hAnsi="Calibri" w:cs="Calibri"/>
          <w:sz w:val="22"/>
          <w:szCs w:val="22"/>
          <w:lang w:eastAsia="pt-BR"/>
        </w:rPr>
      </w:pPr>
    </w:p>
    <w:p>
      <w:pPr>
        <w:suppressAutoHyphens w:val="0"/>
        <w:spacing w:line="360" w:lineRule="auto"/>
        <w:rPr>
          <w:rFonts w:ascii="Calibri" w:hAnsi="Calibri" w:cs="Calibri"/>
          <w:sz w:val="22"/>
          <w:szCs w:val="22"/>
          <w:lang w:eastAsia="pt-BR"/>
        </w:rPr>
      </w:pPr>
    </w:p>
    <w:p>
      <w:pPr>
        <w:suppressAutoHyphens w:val="0"/>
        <w:spacing w:line="360" w:lineRule="auto"/>
        <w:ind w:left="360"/>
        <w:jc w:val="both"/>
        <w:rPr>
          <w:rFonts w:ascii="Calibri" w:hAnsi="Calibri" w:cs="Calibri"/>
          <w:sz w:val="22"/>
          <w:szCs w:val="22"/>
          <w:lang w:eastAsia="pt-BR"/>
        </w:rPr>
      </w:pPr>
    </w:p>
    <w:p>
      <w:pPr>
        <w:suppressAutoHyphens w:val="0"/>
        <w:spacing w:line="360" w:lineRule="auto"/>
        <w:rPr>
          <w:rFonts w:ascii="Calibri" w:hAnsi="Calibri" w:cs="Calibri"/>
          <w:sz w:val="22"/>
          <w:szCs w:val="22"/>
          <w:lang w:eastAsia="pt-BR"/>
        </w:rPr>
      </w:pPr>
    </w:p>
    <w:p>
      <w:pPr>
        <w:suppressAutoHyphens w:val="0"/>
        <w:spacing w:line="360" w:lineRule="auto"/>
        <w:rPr>
          <w:rFonts w:ascii="Calibri" w:hAnsi="Calibri" w:cs="Calibri"/>
          <w:sz w:val="22"/>
          <w:szCs w:val="22"/>
          <w:lang w:eastAsia="pt-BR"/>
        </w:rPr>
      </w:pPr>
    </w:p>
    <w:p>
      <w:pPr>
        <w:suppressAutoHyphens w:val="0"/>
        <w:spacing w:line="360" w:lineRule="auto"/>
        <w:jc w:val="center"/>
        <w:rPr>
          <w:rFonts w:ascii="Calibri" w:hAnsi="Calibri" w:cs="Calibri"/>
          <w:sz w:val="22"/>
          <w:szCs w:val="22"/>
          <w:lang w:eastAsia="pt-BR"/>
        </w:rPr>
      </w:pPr>
    </w:p>
    <w:p>
      <w:pPr>
        <w:suppressAutoHyphens w:val="0"/>
        <w:spacing w:before="120" w:after="120" w:line="360" w:lineRule="auto"/>
        <w:ind w:left="120" w:right="120"/>
        <w:jc w:val="center"/>
        <w:rPr>
          <w:rFonts w:ascii="Calibri" w:hAnsi="Calibri" w:cs="Calibri"/>
          <w:sz w:val="22"/>
          <w:szCs w:val="22"/>
          <w:lang w:eastAsia="pt-BR"/>
        </w:rPr>
      </w:pPr>
      <w:r>
        <w:rPr>
          <w:rFonts w:ascii="Calibri" w:hAnsi="Calibri" w:cs="Calibri"/>
          <w:color w:val="000000"/>
          <w:sz w:val="22"/>
          <w:szCs w:val="22"/>
          <w:lang w:eastAsia="pt-BR"/>
        </w:rPr>
        <w:t>Recife, 30 de Agosto 2023.</w:t>
      </w:r>
    </w:p>
    <w:p>
      <w:pPr>
        <w:suppressAutoHyphens w:val="0"/>
        <w:spacing w:before="120" w:after="120" w:line="360" w:lineRule="auto"/>
        <w:ind w:left="120" w:right="120"/>
        <w:jc w:val="center"/>
        <w:rPr>
          <w:rFonts w:ascii="Calibri" w:hAnsi="Calibri" w:cs="Calibri"/>
          <w:sz w:val="22"/>
          <w:szCs w:val="22"/>
          <w:lang w:eastAsia="pt-BR"/>
        </w:rPr>
      </w:pPr>
    </w:p>
    <w:p>
      <w:pPr>
        <w:suppressAutoHyphens w:val="0"/>
        <w:spacing w:before="120" w:after="120" w:line="360" w:lineRule="auto"/>
        <w:ind w:left="120" w:right="120"/>
        <w:jc w:val="center"/>
        <w:rPr>
          <w:rFonts w:ascii="Calibri" w:hAnsi="Calibri" w:cs="Calibri"/>
          <w:sz w:val="22"/>
          <w:szCs w:val="22"/>
          <w:lang w:eastAsia="pt-BR"/>
        </w:rPr>
      </w:pPr>
      <w:r>
        <w:rPr>
          <w:rFonts w:ascii="Calibri" w:hAnsi="Calibri" w:cs="Calibri"/>
          <w:color w:val="000000"/>
          <w:sz w:val="22"/>
          <w:szCs w:val="22"/>
          <w:lang w:eastAsia="pt-BR"/>
        </w:rPr>
        <w:t>___________________________________________</w:t>
      </w:r>
    </w:p>
    <w:p>
      <w:pPr>
        <w:suppressAutoHyphens w:val="0"/>
        <w:spacing w:before="120" w:after="120" w:line="360" w:lineRule="auto"/>
        <w:ind w:left="120" w:right="120"/>
        <w:jc w:val="center"/>
        <w:rPr>
          <w:rFonts w:ascii="Calibri" w:hAnsi="Calibri" w:cs="Calibri"/>
          <w:sz w:val="22"/>
          <w:szCs w:val="22"/>
          <w:lang w:eastAsia="pt-BR"/>
        </w:rPr>
      </w:pPr>
      <w:r>
        <w:rPr>
          <w:rFonts w:ascii="Calibri" w:hAnsi="Calibri" w:cs="Calibri"/>
          <w:b/>
          <w:bCs/>
          <w:color w:val="000000"/>
          <w:sz w:val="22"/>
          <w:szCs w:val="22"/>
          <w:lang w:eastAsia="pt-BR"/>
        </w:rPr>
        <w:t>Evanilson Alves feitosa</w:t>
      </w:r>
    </w:p>
    <w:p>
      <w:pPr>
        <w:suppressAutoHyphens w:val="0"/>
        <w:spacing w:before="120" w:after="120" w:line="360" w:lineRule="auto"/>
        <w:ind w:left="120" w:right="120"/>
        <w:jc w:val="center"/>
        <w:rPr>
          <w:rFonts w:ascii="Calibri" w:hAnsi="Calibri" w:cs="Calibri"/>
          <w:sz w:val="22"/>
          <w:szCs w:val="22"/>
          <w:lang w:eastAsia="pt-BR"/>
        </w:rPr>
      </w:pPr>
      <w:r>
        <w:rPr>
          <w:rFonts w:ascii="Calibri" w:hAnsi="Calibri" w:cs="Calibri"/>
          <w:color w:val="000000"/>
          <w:sz w:val="22"/>
          <w:szCs w:val="22"/>
          <w:lang w:eastAsia="pt-BR"/>
        </w:rPr>
        <w:t>Farmacêutico</w:t>
      </w:r>
    </w:p>
    <w:p>
      <w:pPr>
        <w:suppressAutoHyphens w:val="0"/>
        <w:spacing w:before="120" w:after="120" w:line="360" w:lineRule="auto"/>
        <w:ind w:left="120" w:right="120"/>
        <w:jc w:val="center"/>
        <w:rPr>
          <w:rFonts w:ascii="Calibri" w:hAnsi="Calibri" w:cs="Calibri"/>
          <w:sz w:val="22"/>
          <w:szCs w:val="22"/>
          <w:lang w:eastAsia="pt-BR"/>
        </w:rPr>
      </w:pPr>
      <w:r>
        <w:rPr>
          <w:rFonts w:ascii="Calibri" w:hAnsi="Calibri" w:cs="Calibri"/>
          <w:color w:val="000000"/>
          <w:sz w:val="22"/>
          <w:szCs w:val="22"/>
          <w:lang w:eastAsia="pt-BR"/>
        </w:rPr>
        <w:t>SES - Gerência de Monitoramento de Avaliação e Sustentabilidade</w:t>
      </w:r>
    </w:p>
    <w:p>
      <w:pPr>
        <w:suppressAutoHyphens w:val="0"/>
        <w:spacing w:before="120" w:after="120" w:line="360" w:lineRule="auto"/>
        <w:ind w:left="120" w:right="120"/>
        <w:jc w:val="center"/>
        <w:rPr>
          <w:rFonts w:ascii="Calibri" w:hAnsi="Calibri" w:cs="Calibri"/>
          <w:sz w:val="22"/>
          <w:szCs w:val="22"/>
          <w:lang w:eastAsia="pt-BR"/>
        </w:rPr>
      </w:pPr>
    </w:p>
    <w:p>
      <w:pPr>
        <w:suppressAutoHyphens w:val="0"/>
        <w:spacing w:before="120" w:after="120" w:line="360" w:lineRule="auto"/>
        <w:ind w:left="120" w:right="120"/>
        <w:jc w:val="center"/>
        <w:rPr>
          <w:rFonts w:ascii="Calibri" w:hAnsi="Calibri" w:cs="Calibri"/>
          <w:sz w:val="22"/>
          <w:szCs w:val="22"/>
          <w:lang w:eastAsia="pt-BR"/>
        </w:rPr>
      </w:pPr>
    </w:p>
    <w:p>
      <w:pPr>
        <w:suppressAutoHyphens w:val="0"/>
        <w:spacing w:before="120" w:after="120" w:line="360" w:lineRule="auto"/>
        <w:ind w:left="120" w:right="120"/>
        <w:jc w:val="center"/>
        <w:rPr>
          <w:rFonts w:ascii="Calibri" w:hAnsi="Calibri" w:cs="Calibri"/>
          <w:sz w:val="22"/>
          <w:szCs w:val="22"/>
          <w:lang w:eastAsia="pt-BR"/>
        </w:rPr>
      </w:pPr>
    </w:p>
    <w:p>
      <w:pPr>
        <w:suppressAutoHyphens w:val="0"/>
        <w:spacing w:before="120" w:after="120" w:line="360" w:lineRule="auto"/>
        <w:ind w:left="120" w:right="120"/>
        <w:jc w:val="center"/>
        <w:rPr>
          <w:rFonts w:ascii="Calibri" w:hAnsi="Calibri" w:cs="Calibri"/>
          <w:sz w:val="22"/>
          <w:szCs w:val="22"/>
          <w:lang w:eastAsia="pt-BR"/>
        </w:rPr>
      </w:pPr>
    </w:p>
    <w:p>
      <w:pPr>
        <w:spacing w:line="360" w:lineRule="auto"/>
        <w:jc w:val="center"/>
        <w:rPr>
          <w:rFonts w:ascii="Calibri" w:hAnsi="Calibri" w:cs="Calibri"/>
          <w:sz w:val="22"/>
          <w:szCs w:val="22"/>
        </w:rPr>
      </w:pPr>
    </w:p>
    <w:sectPr>
      <w:headerReference r:id="rId5" w:type="default"/>
      <w:footerReference r:id="rId6" w:type="default"/>
      <w:pgSz w:w="12240" w:h="15840"/>
      <w:pgMar w:top="720" w:right="720" w:bottom="720" w:left="720" w:header="567" w:footer="718"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360"/>
    </w:pPr>
    <w:r>
      <w:rPr>
        <w:lang w:eastAsia="pt-BR"/>
      </w:rPr>
      <mc:AlternateContent>
        <mc:Choice Requires="wps">
          <w:drawing>
            <wp:anchor distT="0" distB="0" distL="0" distR="0" simplePos="0" relativeHeight="251659264" behindDoc="0" locked="0" layoutInCell="1" allowOverlap="1">
              <wp:simplePos x="0" y="0"/>
              <wp:positionH relativeFrom="page">
                <wp:posOffset>6879590</wp:posOffset>
              </wp:positionH>
              <wp:positionV relativeFrom="paragraph">
                <wp:posOffset>635</wp:posOffset>
              </wp:positionV>
              <wp:extent cx="132715" cy="137160"/>
              <wp:effectExtent l="0" t="0" r="635" b="15240"/>
              <wp:wrapSquare wrapText="largest"/>
              <wp:docPr id="2" name="Caixa de Texto 2"/>
              <wp:cNvGraphicFramePr/>
              <a:graphic xmlns:a="http://schemas.openxmlformats.org/drawingml/2006/main">
                <a:graphicData uri="http://schemas.microsoft.com/office/word/2010/wordprocessingShape">
                  <wps:wsp>
                    <wps:cNvSpPr txBox="1">
                      <a:spLocks noChangeArrowheads="1"/>
                    </wps:cNvSpPr>
                    <wps:spPr bwMode="auto">
                      <a:xfrm>
                        <a:off x="0" y="0"/>
                        <a:ext cx="132715" cy="137160"/>
                      </a:xfrm>
                      <a:prstGeom prst="rect">
                        <a:avLst/>
                      </a:prstGeom>
                      <a:solidFill>
                        <a:srgbClr val="FFFFFF"/>
                      </a:solidFill>
                      <a:ln>
                        <a:noFill/>
                      </a:ln>
                      <a:effectLst/>
                    </wps:spPr>
                    <wps:txbx>
                      <w:txbxContent>
                        <w:p>
                          <w:pPr>
                            <w:pStyle w:val="13"/>
                          </w:pPr>
                          <w:r>
                            <w:rPr>
                              <w:rStyle w:val="10"/>
                              <w:rFonts w:cs="Arial"/>
                            </w:rPr>
                            <w:fldChar w:fldCharType="begin"/>
                          </w:r>
                          <w:r>
                            <w:rPr>
                              <w:rStyle w:val="10"/>
                              <w:rFonts w:cs="Arial"/>
                            </w:rPr>
                            <w:instrText xml:space="preserve"> PAGE </w:instrText>
                          </w:r>
                          <w:r>
                            <w:rPr>
                              <w:rStyle w:val="10"/>
                              <w:rFonts w:cs="Arial"/>
                            </w:rPr>
                            <w:fldChar w:fldCharType="separate"/>
                          </w:r>
                          <w:r>
                            <w:rPr>
                              <w:rStyle w:val="10"/>
                              <w:rFonts w:cs="Arial"/>
                            </w:rPr>
                            <w:t>4</w:t>
                          </w:r>
                          <w:r>
                            <w:rPr>
                              <w:rStyle w:val="10"/>
                              <w:rFonts w:cs="Arial"/>
                            </w:rPr>
                            <w:fldChar w:fldCharType="end"/>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541.7pt;margin-top:0.05pt;height:10.8pt;width:10.45pt;mso-position-horizontal-relative:page;mso-wrap-distance-bottom:0pt;mso-wrap-distance-left:0pt;mso-wrap-distance-right:0pt;mso-wrap-distance-top:0pt;z-index:251659264;mso-width-relative:page;mso-height-relative:page;" fillcolor="#FFFFFF" filled="t" stroked="f" coordsize="21600,21600" o:gfxdata="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Q9nOdcAAAAJAQAA&#10;DwAAAAAAAAABACAAAAAiAAAAZHJzL2Rvd25yZXYueG1sUEsBAhQAFAAAAAgAh07iQN2dBAcaAgAA&#10;QAQAAA4AAAAAAAAAAQAgAAAAJgEAAGRycy9lMm9Eb2MueG1sUEsFBgAAAAAGAAYAWQEAALIFAAAA&#10;AA==&#10;">
              <v:fill on="t" focussize="0,0"/>
              <v:stroke on="f"/>
              <v:imagedata o:title=""/>
              <o:lock v:ext="edit" aspectratio="f"/>
              <v:textbox inset="0mm,0mm,0mm,0mm">
                <w:txbxContent>
                  <w:p>
                    <w:pPr>
                      <w:pStyle w:val="13"/>
                    </w:pPr>
                    <w:r>
                      <w:rPr>
                        <w:rStyle w:val="10"/>
                        <w:rFonts w:cs="Arial"/>
                      </w:rPr>
                      <w:fldChar w:fldCharType="begin"/>
                    </w:r>
                    <w:r>
                      <w:rPr>
                        <w:rStyle w:val="10"/>
                        <w:rFonts w:cs="Arial"/>
                      </w:rPr>
                      <w:instrText xml:space="preserve"> PAGE </w:instrText>
                    </w:r>
                    <w:r>
                      <w:rPr>
                        <w:rStyle w:val="10"/>
                        <w:rFonts w:cs="Arial"/>
                      </w:rPr>
                      <w:fldChar w:fldCharType="separate"/>
                    </w:r>
                    <w:r>
                      <w:rPr>
                        <w:rStyle w:val="10"/>
                        <w:rFonts w:cs="Arial"/>
                      </w:rPr>
                      <w:t>4</w:t>
                    </w:r>
                    <w:r>
                      <w:rPr>
                        <w:rStyle w:val="10"/>
                        <w:rFonts w:cs="Arial"/>
                      </w:rPr>
                      <w:fldChar w:fldCharType="end"/>
                    </w:r>
                  </w:p>
                </w:txbxContent>
              </v:textbox>
              <w10:wrap type="square" side="largest"/>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
    <w:pPr>
      <w:jc w:val="center"/>
    </w:pPr>
    <w:r>
      <w:rPr>
        <w:b/>
        <w:sz w:val="30"/>
        <w:lang w:eastAsia="pt-BR"/>
      </w:rPr>
      <w:drawing>
        <wp:inline distT="0" distB="0" distL="0" distR="0">
          <wp:extent cx="3657600" cy="8572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657600" cy="857250"/>
                  </a:xfrm>
                  <a:prstGeom prst="rect">
                    <a:avLst/>
                  </a:prstGeom>
                  <a:solidFill>
                    <a:srgbClr val="FFFFFF">
                      <a:alpha val="0"/>
                    </a:srgbClr>
                  </a:solidFill>
                  <a:ln>
                    <a:noFill/>
                  </a:ln>
                </pic:spPr>
              </pic:pic>
            </a:graphicData>
          </a:graphic>
        </wp:inline>
      </w:drawing>
    </w:r>
  </w:p>
  <w:tbl>
    <w:tblPr>
      <w:tblStyle w:val="8"/>
      <w:tblW w:w="0" w:type="auto"/>
      <w:tblInd w:w="70" w:type="dxa"/>
      <w:tblLayout w:type="fixed"/>
      <w:tblCellMar>
        <w:top w:w="0" w:type="dxa"/>
        <w:left w:w="70" w:type="dxa"/>
        <w:bottom w:w="0" w:type="dxa"/>
        <w:right w:w="70" w:type="dxa"/>
      </w:tblCellMar>
    </w:tblPr>
    <w:tblGrid>
      <w:gridCol w:w="1843"/>
      <w:gridCol w:w="7796"/>
    </w:tblGrid>
    <w:tr>
      <w:tblPrEx>
        <w:tblCellMar>
          <w:top w:w="0" w:type="dxa"/>
          <w:left w:w="70" w:type="dxa"/>
          <w:bottom w:w="0" w:type="dxa"/>
          <w:right w:w="70" w:type="dxa"/>
        </w:tblCellMar>
      </w:tblPrEx>
      <w:tc>
        <w:tcPr>
          <w:tcW w:w="1843" w:type="dxa"/>
          <w:tcBorders>
            <w:bottom w:val="single" w:color="000000" w:sz="4" w:space="0"/>
          </w:tcBorders>
          <w:shd w:val="clear" w:color="auto" w:fill="auto"/>
        </w:tcPr>
        <w:p>
          <w:pPr>
            <w:pStyle w:val="12"/>
            <w:snapToGrid w:val="0"/>
            <w:jc w:val="center"/>
          </w:pPr>
        </w:p>
      </w:tc>
      <w:tc>
        <w:tcPr>
          <w:tcW w:w="7796" w:type="dxa"/>
          <w:tcBorders>
            <w:bottom w:val="single" w:color="000000" w:sz="4" w:space="0"/>
          </w:tcBorders>
          <w:shd w:val="clear" w:color="auto" w:fill="auto"/>
        </w:tcPr>
        <w:p>
          <w:pPr>
            <w:pStyle w:val="5"/>
            <w:snapToGrid w:val="0"/>
            <w:jc w:val="center"/>
          </w:pPr>
        </w:p>
      </w:tc>
    </w:tr>
  </w:tbl>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432" w:hanging="432"/>
      </w:pPr>
    </w:lvl>
    <w:lvl w:ilvl="1" w:tentative="0">
      <w:start w:val="1"/>
      <w:numFmt w:val="none"/>
      <w:pStyle w:val="3"/>
      <w:suff w:val="nothing"/>
      <w:lvlText w:val=""/>
      <w:lvlJc w:val="left"/>
      <w:pPr>
        <w:tabs>
          <w:tab w:val="left" w:pos="0"/>
        </w:tabs>
        <w:ind w:left="576" w:hanging="576"/>
      </w:pPr>
    </w:lvl>
    <w:lvl w:ilvl="2" w:tentative="0">
      <w:start w:val="1"/>
      <w:numFmt w:val="none"/>
      <w:pStyle w:val="4"/>
      <w:suff w:val="nothing"/>
      <w:lvlText w:val=""/>
      <w:lvlJc w:val="left"/>
      <w:pPr>
        <w:tabs>
          <w:tab w:val="left" w:pos="0"/>
        </w:tabs>
        <w:ind w:left="720" w:hanging="720"/>
      </w:pPr>
    </w:lvl>
    <w:lvl w:ilvl="3" w:tentative="0">
      <w:start w:val="1"/>
      <w:numFmt w:val="none"/>
      <w:pStyle w:val="5"/>
      <w:suff w:val="nothing"/>
      <w:lvlText w:val=""/>
      <w:lvlJc w:val="left"/>
      <w:pPr>
        <w:tabs>
          <w:tab w:val="left" w:pos="0"/>
        </w:tabs>
        <w:ind w:left="864" w:hanging="864"/>
      </w:pPr>
    </w:lvl>
    <w:lvl w:ilvl="4" w:tentative="0">
      <w:start w:val="1"/>
      <w:numFmt w:val="none"/>
      <w:suff w:val="nothing"/>
      <w:lvlText w:val=""/>
      <w:lvlJc w:val="left"/>
      <w:pPr>
        <w:tabs>
          <w:tab w:val="left" w:pos="1008"/>
        </w:tabs>
        <w:ind w:left="1008" w:hanging="1008"/>
      </w:pPr>
    </w:lvl>
    <w:lvl w:ilvl="5" w:tentative="0">
      <w:start w:val="1"/>
      <w:numFmt w:val="none"/>
      <w:suff w:val="nothing"/>
      <w:lvlText w:val=""/>
      <w:lvlJc w:val="left"/>
      <w:pPr>
        <w:tabs>
          <w:tab w:val="left" w:pos="1152"/>
        </w:tabs>
        <w:ind w:left="1152" w:hanging="1152"/>
      </w:pPr>
    </w:lvl>
    <w:lvl w:ilvl="6" w:tentative="0">
      <w:start w:val="1"/>
      <w:numFmt w:val="none"/>
      <w:pStyle w:val="6"/>
      <w:suff w:val="nothing"/>
      <w:lvlText w:val=""/>
      <w:lvlJc w:val="left"/>
      <w:pPr>
        <w:tabs>
          <w:tab w:val="left" w:pos="0"/>
        </w:tabs>
        <w:ind w:left="1296" w:hanging="1296"/>
      </w:pPr>
    </w:lvl>
    <w:lvl w:ilvl="7" w:tentative="0">
      <w:start w:val="1"/>
      <w:numFmt w:val="none"/>
      <w:suff w:val="nothing"/>
      <w:lvlText w:val=""/>
      <w:lvlJc w:val="left"/>
      <w:pPr>
        <w:tabs>
          <w:tab w:val="left" w:pos="1440"/>
        </w:tabs>
        <w:ind w:left="1440" w:hanging="1440"/>
      </w:pPr>
    </w:lvl>
    <w:lvl w:ilvl="8" w:tentative="0">
      <w:start w:val="1"/>
      <w:numFmt w:val="none"/>
      <w:suff w:val="nothing"/>
      <w:lvlText w:val=""/>
      <w:lvlJc w:val="left"/>
      <w:pPr>
        <w:tabs>
          <w:tab w:val="left"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08"/>
  <w:hyphenationZone w:val="425"/>
  <w:drawingGridHorizontalSpacing w:val="100"/>
  <w:displayHorizontalDrawingGridEvery w:val="2"/>
  <w:characterSpacingControl w:val="doNotCompress"/>
  <w:hdrShapeDefaults>
    <o:shapelayout v:ext="edit">
      <o:idmap v:ext="edit" data="1"/>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74C"/>
    <w:rsid w:val="0004598D"/>
    <w:rsid w:val="0019451F"/>
    <w:rsid w:val="002C174C"/>
    <w:rsid w:val="00355C1B"/>
    <w:rsid w:val="00473D65"/>
    <w:rsid w:val="0048502C"/>
    <w:rsid w:val="00642C15"/>
    <w:rsid w:val="006F0AAD"/>
    <w:rsid w:val="00740443"/>
    <w:rsid w:val="009847CA"/>
    <w:rsid w:val="00D00595"/>
    <w:rsid w:val="00D8280E"/>
    <w:rsid w:val="00DF41AB"/>
    <w:rsid w:val="3A3B7482"/>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uppressAutoHyphens/>
      <w:spacing w:after="0" w:line="240" w:lineRule="auto"/>
    </w:pPr>
    <w:rPr>
      <w:rFonts w:ascii="Times New Roman" w:hAnsi="Times New Roman" w:eastAsia="Times New Roman" w:cs="Times New Roman"/>
      <w:sz w:val="20"/>
      <w:szCs w:val="20"/>
      <w:lang w:val="pt-BR" w:eastAsia="zh-CN" w:bidi="ar-SA"/>
    </w:rPr>
  </w:style>
  <w:style w:type="paragraph" w:styleId="2">
    <w:name w:val="heading 1"/>
    <w:basedOn w:val="1"/>
    <w:next w:val="1"/>
    <w:link w:val="15"/>
    <w:qFormat/>
    <w:uiPriority w:val="0"/>
    <w:pPr>
      <w:keepNext/>
      <w:numPr>
        <w:ilvl w:val="0"/>
        <w:numId w:val="1"/>
      </w:numPr>
      <w:jc w:val="center"/>
      <w:outlineLvl w:val="0"/>
    </w:pPr>
    <w:rPr>
      <w:rFonts w:ascii="Arial" w:hAnsi="Arial" w:cs="Arial"/>
      <w:b/>
      <w:sz w:val="24"/>
    </w:rPr>
  </w:style>
  <w:style w:type="paragraph" w:styleId="3">
    <w:name w:val="heading 2"/>
    <w:basedOn w:val="1"/>
    <w:next w:val="1"/>
    <w:link w:val="16"/>
    <w:qFormat/>
    <w:uiPriority w:val="0"/>
    <w:pPr>
      <w:keepNext/>
      <w:numPr>
        <w:ilvl w:val="1"/>
        <w:numId w:val="1"/>
      </w:numPr>
      <w:jc w:val="center"/>
      <w:outlineLvl w:val="1"/>
    </w:pPr>
    <w:rPr>
      <w:rFonts w:ascii="Arial" w:hAnsi="Arial" w:cs="Arial"/>
      <w:sz w:val="24"/>
    </w:rPr>
  </w:style>
  <w:style w:type="paragraph" w:styleId="4">
    <w:name w:val="heading 3"/>
    <w:basedOn w:val="1"/>
    <w:next w:val="1"/>
    <w:link w:val="17"/>
    <w:qFormat/>
    <w:uiPriority w:val="0"/>
    <w:pPr>
      <w:keepNext/>
      <w:numPr>
        <w:ilvl w:val="2"/>
        <w:numId w:val="1"/>
      </w:numPr>
      <w:jc w:val="both"/>
      <w:outlineLvl w:val="2"/>
    </w:pPr>
    <w:rPr>
      <w:b/>
      <w:color w:val="000000"/>
      <w:sz w:val="24"/>
    </w:rPr>
  </w:style>
  <w:style w:type="paragraph" w:styleId="5">
    <w:name w:val="heading 4"/>
    <w:basedOn w:val="1"/>
    <w:next w:val="1"/>
    <w:link w:val="18"/>
    <w:qFormat/>
    <w:uiPriority w:val="0"/>
    <w:pPr>
      <w:keepNext/>
      <w:numPr>
        <w:ilvl w:val="3"/>
        <w:numId w:val="1"/>
      </w:numPr>
      <w:outlineLvl w:val="3"/>
    </w:pPr>
    <w:rPr>
      <w:rFonts w:ascii="Arial" w:hAnsi="Arial" w:cs="Arial"/>
      <w:b/>
      <w:sz w:val="24"/>
    </w:rPr>
  </w:style>
  <w:style w:type="paragraph" w:styleId="6">
    <w:name w:val="heading 7"/>
    <w:basedOn w:val="1"/>
    <w:next w:val="1"/>
    <w:link w:val="19"/>
    <w:qFormat/>
    <w:uiPriority w:val="0"/>
    <w:pPr>
      <w:keepNext/>
      <w:numPr>
        <w:ilvl w:val="6"/>
        <w:numId w:val="1"/>
      </w:numPr>
      <w:ind w:left="-567" w:firstLine="0"/>
      <w:jc w:val="both"/>
      <w:outlineLvl w:val="6"/>
    </w:pPr>
    <w:rPr>
      <w:rFonts w:ascii="Arial" w:hAnsi="Arial" w:cs="Arial"/>
      <w:b/>
      <w:sz w:val="24"/>
    </w:rPr>
  </w:style>
  <w:style w:type="character" w:default="1" w:styleId="7">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character" w:styleId="9">
    <w:name w:val="Strong"/>
    <w:basedOn w:val="7"/>
    <w:qFormat/>
    <w:uiPriority w:val="22"/>
    <w:rPr>
      <w:b/>
      <w:bCs/>
    </w:rPr>
  </w:style>
  <w:style w:type="character" w:styleId="10">
    <w:name w:val="page number"/>
    <w:qFormat/>
    <w:uiPriority w:val="0"/>
    <w:rPr>
      <w:rFonts w:cs="Times New Roman"/>
    </w:rPr>
  </w:style>
  <w:style w:type="paragraph" w:styleId="11">
    <w:name w:val="Normal (Web)"/>
    <w:basedOn w:val="1"/>
    <w:semiHidden/>
    <w:unhideWhenUsed/>
    <w:uiPriority w:val="99"/>
    <w:pPr>
      <w:suppressAutoHyphens w:val="0"/>
      <w:spacing w:before="100" w:beforeAutospacing="1" w:after="100" w:afterAutospacing="1"/>
    </w:pPr>
    <w:rPr>
      <w:sz w:val="24"/>
      <w:szCs w:val="24"/>
      <w:lang w:eastAsia="pt-BR"/>
    </w:rPr>
  </w:style>
  <w:style w:type="paragraph" w:styleId="12">
    <w:name w:val="header"/>
    <w:basedOn w:val="1"/>
    <w:link w:val="20"/>
    <w:uiPriority w:val="0"/>
  </w:style>
  <w:style w:type="paragraph" w:styleId="13">
    <w:name w:val="footer"/>
    <w:basedOn w:val="1"/>
    <w:link w:val="21"/>
    <w:uiPriority w:val="0"/>
  </w:style>
  <w:style w:type="paragraph" w:styleId="14">
    <w:name w:val="Balloon Text"/>
    <w:basedOn w:val="1"/>
    <w:link w:val="23"/>
    <w:semiHidden/>
    <w:unhideWhenUsed/>
    <w:uiPriority w:val="99"/>
    <w:rPr>
      <w:rFonts w:ascii="Tahoma" w:hAnsi="Tahoma" w:cs="Tahoma"/>
      <w:sz w:val="16"/>
      <w:szCs w:val="16"/>
    </w:rPr>
  </w:style>
  <w:style w:type="character" w:customStyle="1" w:styleId="15">
    <w:name w:val="Título 1 Char"/>
    <w:basedOn w:val="7"/>
    <w:link w:val="2"/>
    <w:uiPriority w:val="0"/>
    <w:rPr>
      <w:rFonts w:ascii="Arial" w:hAnsi="Arial" w:eastAsia="Times New Roman" w:cs="Arial"/>
      <w:b/>
      <w:sz w:val="24"/>
      <w:szCs w:val="20"/>
      <w:lang w:eastAsia="zh-CN"/>
    </w:rPr>
  </w:style>
  <w:style w:type="character" w:customStyle="1" w:styleId="16">
    <w:name w:val="Título 2 Char"/>
    <w:basedOn w:val="7"/>
    <w:link w:val="3"/>
    <w:uiPriority w:val="0"/>
    <w:rPr>
      <w:rFonts w:ascii="Arial" w:hAnsi="Arial" w:eastAsia="Times New Roman" w:cs="Arial"/>
      <w:sz w:val="24"/>
      <w:szCs w:val="20"/>
      <w:lang w:eastAsia="zh-CN"/>
    </w:rPr>
  </w:style>
  <w:style w:type="character" w:customStyle="1" w:styleId="17">
    <w:name w:val="Título 3 Char"/>
    <w:basedOn w:val="7"/>
    <w:link w:val="4"/>
    <w:uiPriority w:val="0"/>
    <w:rPr>
      <w:rFonts w:ascii="Times New Roman" w:hAnsi="Times New Roman" w:eastAsia="Times New Roman" w:cs="Times New Roman"/>
      <w:b/>
      <w:color w:val="000000"/>
      <w:sz w:val="24"/>
      <w:szCs w:val="20"/>
      <w:lang w:eastAsia="zh-CN"/>
    </w:rPr>
  </w:style>
  <w:style w:type="character" w:customStyle="1" w:styleId="18">
    <w:name w:val="Título 4 Char"/>
    <w:basedOn w:val="7"/>
    <w:link w:val="5"/>
    <w:uiPriority w:val="0"/>
    <w:rPr>
      <w:rFonts w:ascii="Arial" w:hAnsi="Arial" w:eastAsia="Times New Roman" w:cs="Arial"/>
      <w:b/>
      <w:sz w:val="24"/>
      <w:szCs w:val="20"/>
      <w:lang w:eastAsia="zh-CN"/>
    </w:rPr>
  </w:style>
  <w:style w:type="character" w:customStyle="1" w:styleId="19">
    <w:name w:val="Título 7 Char"/>
    <w:basedOn w:val="7"/>
    <w:link w:val="6"/>
    <w:uiPriority w:val="0"/>
    <w:rPr>
      <w:rFonts w:ascii="Arial" w:hAnsi="Arial" w:eastAsia="Times New Roman" w:cs="Arial"/>
      <w:b/>
      <w:sz w:val="24"/>
      <w:szCs w:val="20"/>
      <w:lang w:eastAsia="zh-CN"/>
    </w:rPr>
  </w:style>
  <w:style w:type="character" w:customStyle="1" w:styleId="20">
    <w:name w:val="Cabeçalho Char"/>
    <w:basedOn w:val="7"/>
    <w:link w:val="12"/>
    <w:qFormat/>
    <w:uiPriority w:val="0"/>
    <w:rPr>
      <w:rFonts w:ascii="Times New Roman" w:hAnsi="Times New Roman" w:eastAsia="Times New Roman" w:cs="Times New Roman"/>
      <w:sz w:val="20"/>
      <w:szCs w:val="20"/>
      <w:lang w:eastAsia="zh-CN"/>
    </w:rPr>
  </w:style>
  <w:style w:type="character" w:customStyle="1" w:styleId="21">
    <w:name w:val="Rodapé Char"/>
    <w:basedOn w:val="7"/>
    <w:link w:val="13"/>
    <w:uiPriority w:val="0"/>
    <w:rPr>
      <w:rFonts w:ascii="Times New Roman" w:hAnsi="Times New Roman" w:eastAsia="Times New Roman" w:cs="Times New Roman"/>
      <w:sz w:val="20"/>
      <w:szCs w:val="20"/>
      <w:lang w:eastAsia="zh-CN"/>
    </w:rPr>
  </w:style>
  <w:style w:type="paragraph" w:customStyle="1" w:styleId="22">
    <w:name w:val="texto_centralizado"/>
    <w:basedOn w:val="1"/>
    <w:uiPriority w:val="0"/>
    <w:pPr>
      <w:suppressAutoHyphens w:val="0"/>
      <w:spacing w:before="100" w:beforeAutospacing="1" w:after="100" w:afterAutospacing="1"/>
    </w:pPr>
    <w:rPr>
      <w:sz w:val="24"/>
      <w:szCs w:val="24"/>
      <w:lang w:eastAsia="pt-BR"/>
    </w:rPr>
  </w:style>
  <w:style w:type="character" w:customStyle="1" w:styleId="23">
    <w:name w:val="Texto de balão Char"/>
    <w:basedOn w:val="7"/>
    <w:link w:val="14"/>
    <w:semiHidden/>
    <w:uiPriority w:val="99"/>
    <w:rPr>
      <w:rFonts w:ascii="Tahoma" w:hAnsi="Tahoma" w:eastAsia="Times New Roman" w:cs="Tahoma"/>
      <w:sz w:val="16"/>
      <w:szCs w:val="16"/>
      <w:lang w:eastAsia="zh-CN"/>
    </w:rPr>
  </w:style>
  <w:style w:type="paragraph" w:customStyle="1" w:styleId="24">
    <w:name w:val="tabela_texto_centralizado"/>
    <w:basedOn w:val="1"/>
    <w:uiPriority w:val="0"/>
    <w:pPr>
      <w:suppressAutoHyphens w:val="0"/>
      <w:spacing w:before="100" w:beforeAutospacing="1" w:after="100" w:afterAutospacing="1"/>
    </w:pPr>
    <w:rPr>
      <w:sz w:val="24"/>
      <w:szCs w:val="24"/>
      <w:lang w:eastAsia="pt-B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2289</Words>
  <Characters>12364</Characters>
  <Lines>103</Lines>
  <Paragraphs>29</Paragraphs>
  <TotalTime>107</TotalTime>
  <ScaleCrop>false</ScaleCrop>
  <LinksUpToDate>false</LinksUpToDate>
  <CharactersWithSpaces>14624</CharactersWithSpaces>
  <Application>WPS Office_12.2.0.13208_F1E327BC-269C-435d-A152-05C5408002CA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2023-08-30T15:14:00Z</dcterms:created>
  <dc:creator>leaodonorte</dc:creator>
  <cp:lastModifiedBy>claudiana.rosa</cp:lastModifiedBy>
  <dcterms:modified xsi:type="dcterms:W3CDTF">2023-10-03T18:11:17Z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1046-12.2.0.13208</vt:lpwstr>
  </property>
  <property fmtid="{D5CDD505-2E9C-101B-9397-08002B2CF9AE}" pid="3" name="ICV">
    <vt:lpwstr>24CBF779CE124DACA09FCE23CC81254E_13</vt:lpwstr>
  </property>
</Properties>
</file>