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hd w:val="clear" w:color="auto" w:fill="D9D9D9"/>
        <w:spacing w:after="0" w:line="240" w:lineRule="auto"/>
        <w:jc w:val="center"/>
        <w:rPr>
          <w:rFonts w:ascii="Times New Roman" w:hAnsi="Times New Roman" w:eastAsia="Arial" w:cs="Times New Roman"/>
          <w:b/>
          <w:sz w:val="20"/>
          <w:szCs w:val="20"/>
        </w:rPr>
      </w:pPr>
      <w:r>
        <w:rPr>
          <w:rFonts w:ascii="Times New Roman" w:hAnsi="Times New Roman" w:eastAsia="Arial" w:cs="Times New Roman"/>
          <w:b/>
          <w:sz w:val="20"/>
          <w:szCs w:val="20"/>
        </w:rPr>
        <w:t>DOCUMENTO DE FORMALIZAÇÃO DE DEMANDA PARA AQUISIÇÕES EMERGENCIAIS DE PRODUTOS MÉDICOS CONFORME LEI NLLC 14.133/2021</w:t>
      </w:r>
    </w:p>
    <w:p>
      <w:pPr>
        <w:spacing w:after="0" w:line="240" w:lineRule="auto"/>
        <w:ind w:left="5126" w:firstLine="3"/>
        <w:jc w:val="both"/>
        <w:rPr>
          <w:rFonts w:ascii="Times New Roman" w:hAnsi="Times New Roman" w:eastAsia="Arial" w:cs="Times New Roman"/>
          <w:b/>
        </w:rPr>
      </w:pPr>
      <w:r>
        <w:rPr>
          <w:rFonts w:ascii="Times New Roman" w:hAnsi="Times New Roman" w:cs="Times New Roman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205105</wp:posOffset>
                </wp:positionV>
                <wp:extent cx="6734175" cy="309245"/>
                <wp:effectExtent l="15875" t="15875" r="31750" b="17780"/>
                <wp:wrapSquare wrapText="bothSides"/>
                <wp:docPr id="10378374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30924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default" w:ascii="Times New Roman" w:hAnsi="Times New Roman" w:eastAsia="Arial" w:cs="Times New Roman"/>
                                <w:b/>
                                <w:sz w:val="20"/>
                                <w:szCs w:val="20"/>
                                <w:lang w:val="pt-BR"/>
                              </w:rPr>
                            </w:pPr>
                            <w:r>
                              <w:rPr>
                                <w:rFonts w:ascii="Times New Roman" w:hAnsi="Times New Roman" w:eastAsia="Arial" w:cs="Times New Roman"/>
                                <w:b/>
                                <w:sz w:val="20"/>
                                <w:szCs w:val="20"/>
                              </w:rPr>
                              <w:t>N° DA SC:</w:t>
                            </w:r>
                            <w:r>
                              <w:rPr>
                                <w:rFonts w:ascii="Tahoma" w:hAnsi="Tahoma" w:eastAsia="Tahoma" w:cs="Tahoma"/>
                                <w:i w:val="0"/>
                                <w:iCs w:val="0"/>
                                <w:caps w:val="0"/>
                                <w:color w:val="333333"/>
                                <w:spacing w:val="0"/>
                                <w:sz w:val="16"/>
                                <w:szCs w:val="16"/>
                                <w:shd w:val="clear" w:fill="FFFFFF"/>
                              </w:rPr>
                              <w:t>530407000232025000978</w:t>
                            </w:r>
                          </w:p>
                          <w:tbl>
                            <w:tblPr>
                              <w:tblStyle w:val="10"/>
                              <w:tblW w:w="0" w:type="auto"/>
                              <w:tblCellSpacing w:w="15" w:type="dxa"/>
                              <w:tblInd w:w="0" w:type="dxa"/>
                              <w:tblBorders>
                                <w:top w:val="none" w:color="auto" w:sz="0" w:space="0"/>
                                <w:left w:val="none" w:color="auto" w:sz="0" w:space="0"/>
                                <w:bottom w:val="none" w:color="auto" w:sz="0" w:space="0"/>
                                <w:right w:val="none" w:color="auto" w:sz="0" w:space="0"/>
                                <w:insideH w:val="none" w:color="auto" w:sz="0" w:space="0"/>
                                <w:insideV w:val="none" w:color="auto" w:sz="0" w:space="0"/>
                              </w:tblBorders>
                              <w:shd w:val="clear" w:color="auto" w:fill="FFFFFF"/>
                              <w:tblLayout w:type="autofit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</w:tblPr>
                            <w:tblGrid>
                              <w:gridCol w:w="1925"/>
                            </w:tblGrid>
                            <w:tr>
                              <w:tblPrEx>
                                <w:tblBorders>
                                  <w:top w:val="none" w:color="auto" w:sz="0" w:space="0"/>
                                  <w:left w:val="none" w:color="auto" w:sz="0" w:space="0"/>
                                  <w:bottom w:val="none" w:color="auto" w:sz="0" w:space="0"/>
                                  <w:right w:val="none" w:color="auto" w:sz="0" w:space="0"/>
                                  <w:insideH w:val="none" w:color="auto" w:sz="0" w:space="0"/>
                                  <w:insideV w:val="none" w:color="auto" w:sz="0" w:space="0"/>
                                </w:tblBorders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</w:tblPrEx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keepNext w:val="0"/>
                                    <w:keepLines w:val="0"/>
                                    <w:widowControl/>
                                    <w:suppressLineNumbers w:val="0"/>
                                    <w:pBdr>
                                      <w:bottom w:val="single" w:color="D6D6D6" w:sz="6" w:space="0"/>
                                    </w:pBdr>
                                    <w:jc w:val="left"/>
                                    <w:rPr>
                                      <w:rFonts w:ascii="Tahoma" w:hAnsi="Tahoma" w:eastAsia="Tahoma" w:cs="Tahoma"/>
                                      <w:i w:val="0"/>
                                      <w:iCs w:val="0"/>
                                      <w:caps w:val="0"/>
                                      <w:color w:val="333333"/>
                                      <w:spacing w:val="0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hint="default" w:ascii="Tahoma" w:hAnsi="Tahoma" w:eastAsia="Tahoma" w:cs="Tahoma"/>
                                      <w:i w:val="0"/>
                                      <w:iCs w:val="0"/>
                                      <w:caps w:val="0"/>
                                      <w:color w:val="333333"/>
                                      <w:spacing w:val="0"/>
                                      <w:kern w:val="0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 w:type="textWrapping"/>
                                  </w:r>
                                  <w:r>
                                    <w:rPr>
                                      <w:rFonts w:hint="default" w:ascii="Tahoma" w:hAnsi="Tahoma" w:eastAsia="Tahoma" w:cs="Tahoma"/>
                                      <w:i w:val="0"/>
                                      <w:iCs w:val="0"/>
                                      <w:caps w:val="0"/>
                                      <w:color w:val="333333"/>
                                      <w:spacing w:val="0"/>
                                      <w:kern w:val="0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t>530407000232025000904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jc w:val="center"/>
                              <w:rPr>
                                <w:rFonts w:ascii="Times New Roman" w:hAnsi="Times New Roman" w:eastAsia="Arial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tbl>
                            <w:tblPr>
                              <w:tblStyle w:val="10"/>
                              <w:tblW w:w="0" w:type="auto"/>
                              <w:tblCellSpacing w:w="15" w:type="dxa"/>
                              <w:tblInd w:w="0" w:type="dxa"/>
                              <w:tblBorders>
                                <w:top w:val="none" w:color="auto" w:sz="0" w:space="0"/>
                                <w:left w:val="none" w:color="auto" w:sz="0" w:space="0"/>
                                <w:bottom w:val="none" w:color="auto" w:sz="0" w:space="0"/>
                                <w:right w:val="none" w:color="auto" w:sz="0" w:space="0"/>
                                <w:insideH w:val="none" w:color="auto" w:sz="0" w:space="0"/>
                                <w:insideV w:val="none" w:color="auto" w:sz="0" w:space="0"/>
                              </w:tblBorders>
                              <w:shd w:val="clear" w:color="auto" w:fill="FFFFFF"/>
                              <w:tblLayout w:type="autofit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</w:tblPr>
                            <w:tblGrid>
                              <w:gridCol w:w="96"/>
                            </w:tblGrid>
                            <w:tr>
                              <w:tblPrEx>
                                <w:tblBorders>
                                  <w:top w:val="none" w:color="auto" w:sz="0" w:space="0"/>
                                  <w:left w:val="none" w:color="auto" w:sz="0" w:space="0"/>
                                  <w:bottom w:val="none" w:color="auto" w:sz="0" w:space="0"/>
                                  <w:right w:val="none" w:color="auto" w:sz="0" w:space="0"/>
                                  <w:insideH w:val="none" w:color="auto" w:sz="0" w:space="0"/>
                                  <w:insideV w:val="none" w:color="auto" w:sz="0" w:space="0"/>
                                </w:tblBorders>
                                <w:shd w:val="clear" w:color="auto" w:fill="FFFFFF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</w:tblPrEx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keepNext w:val="0"/>
                                    <w:keepLines w:val="0"/>
                                    <w:widowControl/>
                                    <w:suppressLineNumbers w:val="0"/>
                                    <w:pBdr>
                                      <w:bottom w:val="single" w:color="D6D6D6" w:sz="6" w:space="0"/>
                                    </w:pBdr>
                                    <w:jc w:val="left"/>
                                    <w:rPr>
                                      <w:rFonts w:ascii="Tahoma" w:hAnsi="Tahoma" w:eastAsia="Tahoma" w:cs="Tahoma"/>
                                      <w:i w:val="0"/>
                                      <w:iCs w:val="0"/>
                                      <w:caps w:val="0"/>
                                      <w:color w:val="333333"/>
                                      <w:spacing w:val="0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>
                            <w:pPr>
                              <w:jc w:val="center"/>
                              <w:rPr>
                                <w:rFonts w:ascii="Times New Roman" w:hAnsi="Times New Roman" w:eastAsia="Arial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tbl>
                            <w:tblPr>
                              <w:tblStyle w:val="10"/>
                              <w:tblW w:w="0" w:type="auto"/>
                              <w:tblCellSpacing w:w="15" w:type="dxa"/>
                              <w:tblInd w:w="0" w:type="dxa"/>
                              <w:tblBorders>
                                <w:top w:val="none" w:color="auto" w:sz="0" w:space="0"/>
                                <w:left w:val="none" w:color="auto" w:sz="0" w:space="0"/>
                                <w:bottom w:val="none" w:color="auto" w:sz="0" w:space="0"/>
                                <w:right w:val="none" w:color="auto" w:sz="0" w:space="0"/>
                                <w:insideH w:val="none" w:color="auto" w:sz="0" w:space="0"/>
                                <w:insideV w:val="none" w:color="auto" w:sz="0" w:space="0"/>
                              </w:tblBorders>
                              <w:shd w:val="clear" w:color="auto" w:fill="FFFFFF"/>
                              <w:tblLayout w:type="autofit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</w:tblPr>
                            <w:tblGrid>
                              <w:gridCol w:w="1925"/>
                            </w:tblGrid>
                            <w:tr>
                              <w:tblPrEx>
                                <w:tblBorders>
                                  <w:top w:val="none" w:color="auto" w:sz="0" w:space="0"/>
                                  <w:left w:val="none" w:color="auto" w:sz="0" w:space="0"/>
                                  <w:bottom w:val="none" w:color="auto" w:sz="0" w:space="0"/>
                                  <w:right w:val="none" w:color="auto" w:sz="0" w:space="0"/>
                                  <w:insideH w:val="none" w:color="auto" w:sz="0" w:space="0"/>
                                  <w:insideV w:val="none" w:color="auto" w:sz="0" w:space="0"/>
                                </w:tblBorders>
                                <w:shd w:val="clear" w:color="auto" w:fill="FFFFFF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</w:tblPrEx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keepNext w:val="0"/>
                                    <w:keepLines w:val="0"/>
                                    <w:widowControl/>
                                    <w:suppressLineNumbers w:val="0"/>
                                    <w:pBdr>
                                      <w:bottom w:val="single" w:color="D6D6D6" w:sz="6" w:space="0"/>
                                    </w:pBdr>
                                    <w:jc w:val="left"/>
                                    <w:rPr>
                                      <w:rFonts w:ascii="Tahoma" w:hAnsi="Tahoma" w:eastAsia="Tahoma" w:cs="Tahoma"/>
                                      <w:i w:val="0"/>
                                      <w:iCs w:val="0"/>
                                      <w:caps w:val="0"/>
                                      <w:color w:val="333333"/>
                                      <w:spacing w:val="0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hint="default" w:ascii="Tahoma" w:hAnsi="Tahoma" w:eastAsia="Tahoma" w:cs="Tahoma"/>
                                      <w:i w:val="0"/>
                                      <w:iCs w:val="0"/>
                                      <w:caps w:val="0"/>
                                      <w:color w:val="333333"/>
                                      <w:spacing w:val="0"/>
                                      <w:kern w:val="0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 w:type="textWrapping"/>
                                  </w:r>
                                  <w:r>
                                    <w:rPr>
                                      <w:rFonts w:hint="default" w:ascii="Tahoma" w:hAnsi="Tahoma" w:eastAsia="Tahoma" w:cs="Tahoma"/>
                                      <w:i w:val="0"/>
                                      <w:iCs w:val="0"/>
                                      <w:caps w:val="0"/>
                                      <w:color w:val="333333"/>
                                      <w:spacing w:val="0"/>
                                      <w:kern w:val="0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t>530407000232025000898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jc w:val="center"/>
                              <w:rPr>
                                <w:rFonts w:ascii="Times New Roman" w:hAnsi="Times New Roman" w:eastAsia="Arial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tbl>
                            <w:tblPr>
                              <w:tblStyle w:val="10"/>
                              <w:tblW w:w="0" w:type="auto"/>
                              <w:tblCellSpacing w:w="15" w:type="dxa"/>
                              <w:tblInd w:w="0" w:type="dxa"/>
                              <w:tblBorders>
                                <w:top w:val="none" w:color="auto" w:sz="0" w:space="0"/>
                                <w:left w:val="none" w:color="auto" w:sz="0" w:space="0"/>
                                <w:bottom w:val="none" w:color="auto" w:sz="0" w:space="0"/>
                                <w:right w:val="none" w:color="auto" w:sz="0" w:space="0"/>
                                <w:insideH w:val="none" w:color="auto" w:sz="0" w:space="0"/>
                                <w:insideV w:val="none" w:color="auto" w:sz="0" w:space="0"/>
                              </w:tblBorders>
                              <w:shd w:val="clear" w:color="auto" w:fill="FFFFFF"/>
                              <w:tblLayout w:type="autofit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</w:tblPr>
                            <w:tblGrid>
                              <w:gridCol w:w="96"/>
                            </w:tblGrid>
                            <w:tr>
                              <w:tblPrEx>
                                <w:tblBorders>
                                  <w:top w:val="none" w:color="auto" w:sz="0" w:space="0"/>
                                  <w:left w:val="none" w:color="auto" w:sz="0" w:space="0"/>
                                  <w:bottom w:val="none" w:color="auto" w:sz="0" w:space="0"/>
                                  <w:right w:val="none" w:color="auto" w:sz="0" w:space="0"/>
                                  <w:insideH w:val="none" w:color="auto" w:sz="0" w:space="0"/>
                                  <w:insideV w:val="none" w:color="auto" w:sz="0" w:space="0"/>
                                </w:tblBorders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</w:tblPrEx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keepNext w:val="0"/>
                                    <w:keepLines w:val="0"/>
                                    <w:widowControl/>
                                    <w:suppressLineNumbers w:val="0"/>
                                    <w:pBdr>
                                      <w:bottom w:val="single" w:color="D6D6D6" w:sz="6" w:space="0"/>
                                    </w:pBdr>
                                    <w:jc w:val="left"/>
                                    <w:rPr>
                                      <w:rFonts w:hint="default" w:ascii="Tahoma" w:hAnsi="Tahoma" w:eastAsia="Tahoma" w:cs="Tahoma"/>
                                      <w:i w:val="0"/>
                                      <w:iCs w:val="0"/>
                                      <w:caps w:val="0"/>
                                      <w:color w:val="333333"/>
                                      <w:spacing w:val="0"/>
                                      <w:sz w:val="16"/>
                                      <w:szCs w:val="16"/>
                                      <w:lang w:val="pt-BR"/>
                                    </w:rPr>
                                  </w:pPr>
                                  <w:r>
                                    <w:rPr>
                                      <w:rFonts w:hint="default" w:ascii="Tahoma" w:hAnsi="Tahoma" w:eastAsia="Tahoma" w:cs="Tahoma"/>
                                      <w:i w:val="0"/>
                                      <w:iCs w:val="0"/>
                                      <w:caps w:val="0"/>
                                      <w:color w:val="333333"/>
                                      <w:spacing w:val="0"/>
                                      <w:kern w:val="0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 w:type="textWrapping"/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jc w:val="center"/>
                              <w:rPr>
                                <w:rFonts w:ascii="Times New Roman" w:hAnsi="Times New Roman" w:eastAsia="Arial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eastAsia="Arial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tbl>
                            <w:tblPr>
                              <w:tblStyle w:val="10"/>
                              <w:tblW w:w="0" w:type="auto"/>
                              <w:tblCellSpacing w:w="15" w:type="dxa"/>
                              <w:tblInd w:w="0" w:type="dxa"/>
                              <w:tblBorders>
                                <w:top w:val="none" w:color="auto" w:sz="0" w:space="0"/>
                                <w:left w:val="none" w:color="auto" w:sz="0" w:space="0"/>
                                <w:bottom w:val="none" w:color="auto" w:sz="0" w:space="0"/>
                                <w:right w:val="none" w:color="auto" w:sz="0" w:space="0"/>
                                <w:insideH w:val="none" w:color="auto" w:sz="0" w:space="0"/>
                                <w:insideV w:val="none" w:color="auto" w:sz="0" w:space="0"/>
                              </w:tblBorders>
                              <w:shd w:val="clear" w:color="auto" w:fill="FFFFFF"/>
                              <w:tblLayout w:type="autofit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</w:tblPr>
                            <w:tblGrid>
                              <w:gridCol w:w="1837"/>
                            </w:tblGrid>
                            <w:tr>
                              <w:tblPrEx>
                                <w:tblBorders>
                                  <w:top w:val="none" w:color="auto" w:sz="0" w:space="0"/>
                                  <w:left w:val="none" w:color="auto" w:sz="0" w:space="0"/>
                                  <w:bottom w:val="none" w:color="auto" w:sz="0" w:space="0"/>
                                  <w:right w:val="none" w:color="auto" w:sz="0" w:space="0"/>
                                  <w:insideH w:val="none" w:color="auto" w:sz="0" w:space="0"/>
                                  <w:insideV w:val="none" w:color="auto" w:sz="0" w:space="0"/>
                                </w:tblBorders>
                                <w:shd w:val="clear" w:color="auto" w:fill="FFFFFF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</w:tblPrEx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keepNext w:val="0"/>
                                    <w:keepLines w:val="0"/>
                                    <w:widowControl/>
                                    <w:suppressLineNumbers w:val="0"/>
                                    <w:pBdr>
                                      <w:bottom w:val="single" w:color="D6D6D6" w:sz="6" w:space="0"/>
                                    </w:pBdr>
                                    <w:jc w:val="left"/>
                                    <w:rPr>
                                      <w:rFonts w:ascii="Tahoma" w:hAnsi="Tahoma" w:eastAsia="Tahoma" w:cs="Tahoma"/>
                                      <w:i w:val="0"/>
                                      <w:iCs w:val="0"/>
                                      <w:caps w:val="0"/>
                                      <w:color w:val="333333"/>
                                      <w:spacing w:val="0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hint="default" w:ascii="Tahoma" w:hAnsi="Tahoma" w:eastAsia="Tahoma" w:cs="Tahoma"/>
                                      <w:i w:val="0"/>
                                      <w:iCs w:val="0"/>
                                      <w:caps w:val="0"/>
                                      <w:color w:val="333333"/>
                                      <w:spacing w:val="0"/>
                                      <w:kern w:val="0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 w:type="textWrapping"/>
                                  </w:r>
                                  <w:r>
                                    <w:rPr>
                                      <w:rFonts w:hint="default" w:ascii="Tahoma" w:hAnsi="Tahoma" w:eastAsia="Tahoma" w:cs="Tahoma"/>
                                      <w:i w:val="0"/>
                                      <w:iCs w:val="0"/>
                                      <w:caps w:val="0"/>
                                      <w:color w:val="333333"/>
                                      <w:spacing w:val="0"/>
                                      <w:kern w:val="0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t>53040700023202500085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jc w:val="center"/>
                              <w:rPr>
                                <w:rFonts w:hint="default"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val="en-US" w:eastAsia="pt-BR"/>
                              </w:rPr>
                            </w:pPr>
                            <w:r>
                              <w:rPr>
                                <w:rFonts w:hint="default"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val="en-US" w:eastAsia="pt-BR"/>
                              </w:rPr>
                              <w:t>8</w:t>
                            </w: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26" o:spt="202" type="#_x0000_t202" style="position:absolute;left:0pt;margin-left:-0.1pt;margin-top:16.15pt;height:24.35pt;width:530.25pt;mso-wrap-distance-bottom:0pt;mso-wrap-distance-left:9pt;mso-wrap-distance-right:9pt;mso-wrap-distance-top:0pt;z-index:251659264;mso-width-relative:page;mso-height-relative:page;" fillcolor="#FFFFFF [3217]" filled="t" stroked="t" coordsize="21600,21600" o:gfxdata="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">
                <v:fill on="t" focussize="0,0"/>
                <v:stroke weight="2.5pt" color="#000000 [3216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default" w:ascii="Times New Roman" w:hAnsi="Times New Roman" w:eastAsia="Arial" w:cs="Times New Roman"/>
                          <w:b/>
                          <w:sz w:val="20"/>
                          <w:szCs w:val="20"/>
                          <w:lang w:val="pt-BR"/>
                        </w:rPr>
                      </w:pPr>
                      <w:r>
                        <w:rPr>
                          <w:rFonts w:ascii="Times New Roman" w:hAnsi="Times New Roman" w:eastAsia="Arial" w:cs="Times New Roman"/>
                          <w:b/>
                          <w:sz w:val="20"/>
                          <w:szCs w:val="20"/>
                        </w:rPr>
                        <w:t>N° DA SC:</w:t>
                      </w:r>
                      <w:r>
                        <w:rPr>
                          <w:rFonts w:ascii="Tahoma" w:hAnsi="Tahoma" w:eastAsia="Tahoma" w:cs="Tahoma"/>
                          <w:i w:val="0"/>
                          <w:iCs w:val="0"/>
                          <w:caps w:val="0"/>
                          <w:color w:val="333333"/>
                          <w:spacing w:val="0"/>
                          <w:sz w:val="16"/>
                          <w:szCs w:val="16"/>
                          <w:shd w:val="clear" w:fill="FFFFFF"/>
                        </w:rPr>
                        <w:t>530407000232025000978</w:t>
                      </w:r>
                    </w:p>
                    <w:tbl>
                      <w:tblPr>
                        <w:tblStyle w:val="10"/>
                        <w:tblW w:w="0" w:type="auto"/>
                        <w:tblCellSpacing w:w="15" w:type="dxa"/>
                        <w:tblInd w:w="0" w:type="dxa"/>
                        <w:tblBorders>
                          <w:top w:val="none" w:color="auto" w:sz="0" w:space="0"/>
                          <w:left w:val="none" w:color="auto" w:sz="0" w:space="0"/>
                          <w:bottom w:val="none" w:color="auto" w:sz="0" w:space="0"/>
                          <w:right w:val="none" w:color="auto" w:sz="0" w:space="0"/>
                          <w:insideH w:val="none" w:color="auto" w:sz="0" w:space="0"/>
                          <w:insideV w:val="none" w:color="auto" w:sz="0" w:space="0"/>
                        </w:tblBorders>
                        <w:shd w:val="clear" w:color="auto" w:fill="FFFFFF"/>
                        <w:tblLayout w:type="autofit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</w:tblPr>
                      <w:tblGrid>
                        <w:gridCol w:w="1925"/>
                      </w:tblGrid>
                      <w:tr>
                        <w:tblPrEx>
                          <w:tblBorders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  <w:insideH w:val="none" w:color="auto" w:sz="0" w:space="0"/>
                            <w:insideV w:val="none" w:color="auto" w:sz="0" w:space="0"/>
                          </w:tblBorders>
                        </w:tblPrEx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>
                            <w:pPr>
                              <w:keepNext w:val="0"/>
                              <w:keepLines w:val="0"/>
                              <w:widowControl/>
                              <w:suppressLineNumbers w:val="0"/>
                              <w:pBdr>
                                <w:bottom w:val="single" w:color="D6D6D6" w:sz="6" w:space="0"/>
                              </w:pBdr>
                              <w:jc w:val="left"/>
                              <w:rPr>
                                <w:rFonts w:ascii="Tahoma" w:hAnsi="Tahoma" w:eastAsia="Tahoma" w:cs="Tahoma"/>
                                <w:i w:val="0"/>
                                <w:iCs w:val="0"/>
                                <w:caps w:val="0"/>
                                <w:color w:val="333333"/>
                                <w:spacing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default" w:ascii="Tahoma" w:hAnsi="Tahoma" w:eastAsia="Tahoma" w:cs="Tahoma"/>
                                <w:i w:val="0"/>
                                <w:iCs w:val="0"/>
                                <w:caps w:val="0"/>
                                <w:color w:val="333333"/>
                                <w:spacing w:val="0"/>
                                <w:kern w:val="0"/>
                                <w:sz w:val="16"/>
                                <w:szCs w:val="16"/>
                                <w:lang w:val="en-US" w:eastAsia="zh-CN" w:bidi="ar"/>
                              </w:rPr>
                              <w:br w:type="textWrapping"/>
                            </w:r>
                            <w:r>
                              <w:rPr>
                                <w:rFonts w:hint="default" w:ascii="Tahoma" w:hAnsi="Tahoma" w:eastAsia="Tahoma" w:cs="Tahoma"/>
                                <w:i w:val="0"/>
                                <w:iCs w:val="0"/>
                                <w:caps w:val="0"/>
                                <w:color w:val="333333"/>
                                <w:spacing w:val="0"/>
                                <w:kern w:val="0"/>
                                <w:sz w:val="16"/>
                                <w:szCs w:val="16"/>
                                <w:lang w:val="en-US" w:eastAsia="zh-CN" w:bidi="ar"/>
                              </w:rPr>
                              <w:t>530407000232025000904</w:t>
                            </w:r>
                          </w:p>
                        </w:tc>
                      </w:tr>
                    </w:tbl>
                    <w:p>
                      <w:pPr>
                        <w:jc w:val="center"/>
                        <w:rPr>
                          <w:rFonts w:ascii="Times New Roman" w:hAnsi="Times New Roman" w:eastAsia="Arial" w:cs="Times New Roman"/>
                          <w:b/>
                          <w:sz w:val="20"/>
                          <w:szCs w:val="20"/>
                        </w:rPr>
                      </w:pPr>
                    </w:p>
                    <w:tbl>
                      <w:tblPr>
                        <w:tblStyle w:val="10"/>
                        <w:tblW w:w="0" w:type="auto"/>
                        <w:tblCellSpacing w:w="15" w:type="dxa"/>
                        <w:tblInd w:w="0" w:type="dxa"/>
                        <w:tblBorders>
                          <w:top w:val="none" w:color="auto" w:sz="0" w:space="0"/>
                          <w:left w:val="none" w:color="auto" w:sz="0" w:space="0"/>
                          <w:bottom w:val="none" w:color="auto" w:sz="0" w:space="0"/>
                          <w:right w:val="none" w:color="auto" w:sz="0" w:space="0"/>
                          <w:insideH w:val="none" w:color="auto" w:sz="0" w:space="0"/>
                          <w:insideV w:val="none" w:color="auto" w:sz="0" w:space="0"/>
                        </w:tblBorders>
                        <w:shd w:val="clear" w:color="auto" w:fill="FFFFFF"/>
                        <w:tblLayout w:type="autofit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</w:tblPr>
                      <w:tblGrid>
                        <w:gridCol w:w="96"/>
                      </w:tblGrid>
                      <w:tr>
                        <w:tblPrEx>
                          <w:tblBorders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  <w:insideH w:val="none" w:color="auto" w:sz="0" w:space="0"/>
                            <w:insideV w:val="none" w:color="auto" w:sz="0" w:space="0"/>
                          </w:tblBorders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</w:tblPrEx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>
                            <w:pPr>
                              <w:keepNext w:val="0"/>
                              <w:keepLines w:val="0"/>
                              <w:widowControl/>
                              <w:suppressLineNumbers w:val="0"/>
                              <w:pBdr>
                                <w:bottom w:val="single" w:color="D6D6D6" w:sz="6" w:space="0"/>
                              </w:pBdr>
                              <w:jc w:val="left"/>
                              <w:rPr>
                                <w:rFonts w:ascii="Tahoma" w:hAnsi="Tahoma" w:eastAsia="Tahoma" w:cs="Tahoma"/>
                                <w:i w:val="0"/>
                                <w:iCs w:val="0"/>
                                <w:caps w:val="0"/>
                                <w:color w:val="333333"/>
                                <w:spacing w:val="0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</w:tbl>
                    <w:p>
                      <w:pPr>
                        <w:jc w:val="center"/>
                        <w:rPr>
                          <w:rFonts w:ascii="Times New Roman" w:hAnsi="Times New Roman" w:eastAsia="Arial" w:cs="Times New Roman"/>
                          <w:b/>
                          <w:sz w:val="20"/>
                          <w:szCs w:val="20"/>
                        </w:rPr>
                      </w:pPr>
                    </w:p>
                    <w:tbl>
                      <w:tblPr>
                        <w:tblStyle w:val="10"/>
                        <w:tblW w:w="0" w:type="auto"/>
                        <w:tblCellSpacing w:w="15" w:type="dxa"/>
                        <w:tblInd w:w="0" w:type="dxa"/>
                        <w:tblBorders>
                          <w:top w:val="none" w:color="auto" w:sz="0" w:space="0"/>
                          <w:left w:val="none" w:color="auto" w:sz="0" w:space="0"/>
                          <w:bottom w:val="none" w:color="auto" w:sz="0" w:space="0"/>
                          <w:right w:val="none" w:color="auto" w:sz="0" w:space="0"/>
                          <w:insideH w:val="none" w:color="auto" w:sz="0" w:space="0"/>
                          <w:insideV w:val="none" w:color="auto" w:sz="0" w:space="0"/>
                        </w:tblBorders>
                        <w:shd w:val="clear" w:color="auto" w:fill="FFFFFF"/>
                        <w:tblLayout w:type="autofit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</w:tblPr>
                      <w:tblGrid>
                        <w:gridCol w:w="1925"/>
                      </w:tblGrid>
                      <w:tr>
                        <w:tblPrEx>
                          <w:tblBorders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  <w:insideH w:val="none" w:color="auto" w:sz="0" w:space="0"/>
                            <w:insideV w:val="none" w:color="auto" w:sz="0" w:space="0"/>
                          </w:tblBorders>
                          <w:shd w:val="clear" w:color="auto" w:fill="FFFFFF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</w:tblPrEx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>
                            <w:pPr>
                              <w:keepNext w:val="0"/>
                              <w:keepLines w:val="0"/>
                              <w:widowControl/>
                              <w:suppressLineNumbers w:val="0"/>
                              <w:pBdr>
                                <w:bottom w:val="single" w:color="D6D6D6" w:sz="6" w:space="0"/>
                              </w:pBdr>
                              <w:jc w:val="left"/>
                              <w:rPr>
                                <w:rFonts w:ascii="Tahoma" w:hAnsi="Tahoma" w:eastAsia="Tahoma" w:cs="Tahoma"/>
                                <w:i w:val="0"/>
                                <w:iCs w:val="0"/>
                                <w:caps w:val="0"/>
                                <w:color w:val="333333"/>
                                <w:spacing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default" w:ascii="Tahoma" w:hAnsi="Tahoma" w:eastAsia="Tahoma" w:cs="Tahoma"/>
                                <w:i w:val="0"/>
                                <w:iCs w:val="0"/>
                                <w:caps w:val="0"/>
                                <w:color w:val="333333"/>
                                <w:spacing w:val="0"/>
                                <w:kern w:val="0"/>
                                <w:sz w:val="16"/>
                                <w:szCs w:val="16"/>
                                <w:lang w:val="en-US" w:eastAsia="zh-CN" w:bidi="ar"/>
                              </w:rPr>
                              <w:br w:type="textWrapping"/>
                            </w:r>
                            <w:r>
                              <w:rPr>
                                <w:rFonts w:hint="default" w:ascii="Tahoma" w:hAnsi="Tahoma" w:eastAsia="Tahoma" w:cs="Tahoma"/>
                                <w:i w:val="0"/>
                                <w:iCs w:val="0"/>
                                <w:caps w:val="0"/>
                                <w:color w:val="333333"/>
                                <w:spacing w:val="0"/>
                                <w:kern w:val="0"/>
                                <w:sz w:val="16"/>
                                <w:szCs w:val="16"/>
                                <w:lang w:val="en-US" w:eastAsia="zh-CN" w:bidi="ar"/>
                              </w:rPr>
                              <w:t>530407000232025000898</w:t>
                            </w:r>
                          </w:p>
                        </w:tc>
                      </w:tr>
                    </w:tbl>
                    <w:p>
                      <w:pPr>
                        <w:jc w:val="center"/>
                        <w:rPr>
                          <w:rFonts w:ascii="Times New Roman" w:hAnsi="Times New Roman" w:eastAsia="Arial" w:cs="Times New Roman"/>
                          <w:b/>
                          <w:sz w:val="20"/>
                          <w:szCs w:val="20"/>
                        </w:rPr>
                      </w:pPr>
                    </w:p>
                    <w:tbl>
                      <w:tblPr>
                        <w:tblStyle w:val="10"/>
                        <w:tblW w:w="0" w:type="auto"/>
                        <w:tblCellSpacing w:w="15" w:type="dxa"/>
                        <w:tblInd w:w="0" w:type="dxa"/>
                        <w:tblBorders>
                          <w:top w:val="none" w:color="auto" w:sz="0" w:space="0"/>
                          <w:left w:val="none" w:color="auto" w:sz="0" w:space="0"/>
                          <w:bottom w:val="none" w:color="auto" w:sz="0" w:space="0"/>
                          <w:right w:val="none" w:color="auto" w:sz="0" w:space="0"/>
                          <w:insideH w:val="none" w:color="auto" w:sz="0" w:space="0"/>
                          <w:insideV w:val="none" w:color="auto" w:sz="0" w:space="0"/>
                        </w:tblBorders>
                        <w:shd w:val="clear" w:color="auto" w:fill="FFFFFF"/>
                        <w:tblLayout w:type="autofit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</w:tblPr>
                      <w:tblGrid>
                        <w:gridCol w:w="96"/>
                      </w:tblGrid>
                      <w:tr>
                        <w:tblPrEx>
                          <w:tblBorders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  <w:insideH w:val="none" w:color="auto" w:sz="0" w:space="0"/>
                            <w:insideV w:val="none" w:color="auto" w:sz="0" w:space="0"/>
                          </w:tblBorders>
                          <w:shd w:val="clear" w:color="auto" w:fill="FFFFFF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</w:tblPrEx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>
                            <w:pPr>
                              <w:keepNext w:val="0"/>
                              <w:keepLines w:val="0"/>
                              <w:widowControl/>
                              <w:suppressLineNumbers w:val="0"/>
                              <w:pBdr>
                                <w:bottom w:val="single" w:color="D6D6D6" w:sz="6" w:space="0"/>
                              </w:pBdr>
                              <w:jc w:val="left"/>
                              <w:rPr>
                                <w:rFonts w:hint="default" w:ascii="Tahoma" w:hAnsi="Tahoma" w:eastAsia="Tahoma" w:cs="Tahoma"/>
                                <w:i w:val="0"/>
                                <w:iCs w:val="0"/>
                                <w:caps w:val="0"/>
                                <w:color w:val="333333"/>
                                <w:spacing w:val="0"/>
                                <w:sz w:val="16"/>
                                <w:szCs w:val="16"/>
                                <w:lang w:val="pt-BR"/>
                              </w:rPr>
                            </w:pPr>
                            <w:r>
                              <w:rPr>
                                <w:rFonts w:hint="default" w:ascii="Tahoma" w:hAnsi="Tahoma" w:eastAsia="Tahoma" w:cs="Tahoma"/>
                                <w:i w:val="0"/>
                                <w:iCs w:val="0"/>
                                <w:caps w:val="0"/>
                                <w:color w:val="333333"/>
                                <w:spacing w:val="0"/>
                                <w:kern w:val="0"/>
                                <w:sz w:val="16"/>
                                <w:szCs w:val="16"/>
                                <w:lang w:val="en-US" w:eastAsia="zh-CN" w:bidi="ar"/>
                              </w:rPr>
                              <w:br w:type="textWrapping"/>
                            </w:r>
                          </w:p>
                        </w:tc>
                      </w:tr>
                    </w:tbl>
                    <w:p>
                      <w:pPr>
                        <w:jc w:val="center"/>
                        <w:rPr>
                          <w:rFonts w:ascii="Times New Roman" w:hAnsi="Times New Roman" w:eastAsia="Arial" w:cs="Times New Roman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eastAsia="Arial" w:cs="Times New Roman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  <w:tbl>
                      <w:tblPr>
                        <w:tblStyle w:val="10"/>
                        <w:tblW w:w="0" w:type="auto"/>
                        <w:tblCellSpacing w:w="15" w:type="dxa"/>
                        <w:tblInd w:w="0" w:type="dxa"/>
                        <w:tblBorders>
                          <w:top w:val="none" w:color="auto" w:sz="0" w:space="0"/>
                          <w:left w:val="none" w:color="auto" w:sz="0" w:space="0"/>
                          <w:bottom w:val="none" w:color="auto" w:sz="0" w:space="0"/>
                          <w:right w:val="none" w:color="auto" w:sz="0" w:space="0"/>
                          <w:insideH w:val="none" w:color="auto" w:sz="0" w:space="0"/>
                          <w:insideV w:val="none" w:color="auto" w:sz="0" w:space="0"/>
                        </w:tblBorders>
                        <w:shd w:val="clear" w:color="auto" w:fill="FFFFFF"/>
                        <w:tblLayout w:type="autofit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</w:tblPr>
                      <w:tblGrid>
                        <w:gridCol w:w="1837"/>
                      </w:tblGrid>
                      <w:tr>
                        <w:tblPrEx>
                          <w:tblBorders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  <w:insideH w:val="none" w:color="auto" w:sz="0" w:space="0"/>
                            <w:insideV w:val="none" w:color="auto" w:sz="0" w:space="0"/>
                          </w:tblBorders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</w:tblPrEx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>
                            <w:pPr>
                              <w:keepNext w:val="0"/>
                              <w:keepLines w:val="0"/>
                              <w:widowControl/>
                              <w:suppressLineNumbers w:val="0"/>
                              <w:pBdr>
                                <w:bottom w:val="single" w:color="D6D6D6" w:sz="6" w:space="0"/>
                              </w:pBdr>
                              <w:jc w:val="left"/>
                              <w:rPr>
                                <w:rFonts w:ascii="Tahoma" w:hAnsi="Tahoma" w:eastAsia="Tahoma" w:cs="Tahoma"/>
                                <w:i w:val="0"/>
                                <w:iCs w:val="0"/>
                                <w:caps w:val="0"/>
                                <w:color w:val="333333"/>
                                <w:spacing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default" w:ascii="Tahoma" w:hAnsi="Tahoma" w:eastAsia="Tahoma" w:cs="Tahoma"/>
                                <w:i w:val="0"/>
                                <w:iCs w:val="0"/>
                                <w:caps w:val="0"/>
                                <w:color w:val="333333"/>
                                <w:spacing w:val="0"/>
                                <w:kern w:val="0"/>
                                <w:sz w:val="16"/>
                                <w:szCs w:val="16"/>
                                <w:lang w:val="en-US" w:eastAsia="zh-CN" w:bidi="ar"/>
                              </w:rPr>
                              <w:br w:type="textWrapping"/>
                            </w:r>
                            <w:r>
                              <w:rPr>
                                <w:rFonts w:hint="default" w:ascii="Tahoma" w:hAnsi="Tahoma" w:eastAsia="Tahoma" w:cs="Tahoma"/>
                                <w:i w:val="0"/>
                                <w:iCs w:val="0"/>
                                <w:caps w:val="0"/>
                                <w:color w:val="333333"/>
                                <w:spacing w:val="0"/>
                                <w:kern w:val="0"/>
                                <w:sz w:val="16"/>
                                <w:szCs w:val="16"/>
                                <w:lang w:val="en-US" w:eastAsia="zh-CN" w:bidi="ar"/>
                              </w:rPr>
                              <w:t>53040700023202500085</w:t>
                            </w:r>
                          </w:p>
                        </w:tc>
                      </w:tr>
                    </w:tbl>
                    <w:p>
                      <w:pPr>
                        <w:jc w:val="center"/>
                        <w:rPr>
                          <w:rFonts w:hint="default" w:ascii="Tahoma" w:hAnsi="Tahoma" w:eastAsia="Times New Roman" w:cs="Tahoma"/>
                          <w:color w:val="333333"/>
                          <w:sz w:val="17"/>
                          <w:szCs w:val="17"/>
                          <w:lang w:val="en-US" w:eastAsia="pt-BR"/>
                        </w:rPr>
                      </w:pPr>
                      <w:r>
                        <w:rPr>
                          <w:rFonts w:hint="default" w:ascii="Tahoma" w:hAnsi="Tahoma" w:eastAsia="Times New Roman" w:cs="Tahoma"/>
                          <w:color w:val="333333"/>
                          <w:sz w:val="17"/>
                          <w:szCs w:val="17"/>
                          <w:lang w:val="en-US" w:eastAsia="pt-BR"/>
                        </w:rPr>
                        <w:t>8</w:t>
                      </w: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>
      <w:pPr>
        <w:pStyle w:val="30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>
      <w:pPr>
        <w:pStyle w:val="30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>
      <w:pPr>
        <w:pStyle w:val="30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eastAsia="Arial" w:cs="Times New Roman"/>
          <w:b/>
        </w:rPr>
      </w:pPr>
      <w:r>
        <w:rPr>
          <w:rFonts w:ascii="Times New Roman" w:hAnsi="Times New Roman" w:eastAsia="Arial" w:cs="Times New Roman"/>
          <w:b/>
        </w:rPr>
        <w:t>Identificação da Unidade Requisitante</w:t>
      </w:r>
    </w:p>
    <w:p>
      <w:pPr>
        <w:pStyle w:val="24"/>
        <w:numPr>
          <w:ilvl w:val="1"/>
          <w:numId w:val="1"/>
        </w:numPr>
        <w:spacing w:after="0" w:line="240" w:lineRule="auto"/>
        <w:jc w:val="both"/>
        <w:rPr>
          <w:rStyle w:val="11"/>
          <w:rFonts w:ascii="Times New Roman" w:hAnsi="Times New Roman" w:eastAsia="Arial" w:cs="Times New Roman"/>
          <w:bCs w:val="0"/>
          <w:sz w:val="20"/>
          <w:szCs w:val="20"/>
        </w:rPr>
      </w:pPr>
      <w:r>
        <w:rPr>
          <w:rStyle w:val="11"/>
          <w:rFonts w:ascii="Times New Roman" w:hAnsi="Times New Roman" w:cs="Times New Roman"/>
          <w:color w:val="000000"/>
          <w:sz w:val="20"/>
          <w:szCs w:val="20"/>
        </w:rPr>
        <w:t>Setor/Serviço requisitante: PLANEJAMENTO DE MATERIAIS MÉDICOS HOSPITALARES</w:t>
      </w:r>
    </w:p>
    <w:p>
      <w:pPr>
        <w:pStyle w:val="24"/>
        <w:numPr>
          <w:ilvl w:val="1"/>
          <w:numId w:val="1"/>
        </w:numPr>
        <w:spacing w:after="0" w:line="240" w:lineRule="auto"/>
        <w:jc w:val="both"/>
        <w:rPr>
          <w:rStyle w:val="11"/>
          <w:rFonts w:ascii="Times New Roman" w:hAnsi="Times New Roman" w:eastAsia="Arial" w:cs="Times New Roman"/>
          <w:bCs w:val="0"/>
          <w:sz w:val="20"/>
          <w:szCs w:val="20"/>
        </w:rPr>
      </w:pPr>
      <w:r>
        <w:rPr>
          <w:rStyle w:val="11"/>
          <w:rFonts w:ascii="Times New Roman" w:hAnsi="Times New Roman" w:cs="Times New Roman"/>
          <w:color w:val="000000"/>
          <w:sz w:val="20"/>
          <w:szCs w:val="20"/>
        </w:rPr>
        <w:t xml:space="preserve">Responsável pela demanda: </w:t>
      </w:r>
      <w:r>
        <w:rPr>
          <w:rStyle w:val="11"/>
          <w:rFonts w:hint="default" w:ascii="Times New Roman" w:hAnsi="Times New Roman" w:cs="Times New Roman"/>
          <w:color w:val="000000"/>
          <w:sz w:val="20"/>
          <w:szCs w:val="20"/>
          <w:lang w:val="pt-BR"/>
        </w:rPr>
        <w:t>GABRIELA RODRIGUES ALMEIDA</w:t>
      </w:r>
    </w:p>
    <w:p>
      <w:pPr>
        <w:pStyle w:val="24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  <w:r>
        <w:rPr>
          <w:rStyle w:val="11"/>
          <w:rFonts w:ascii="Times New Roman" w:hAnsi="Times New Roman" w:cs="Times New Roman"/>
          <w:color w:val="000000"/>
          <w:sz w:val="20"/>
          <w:szCs w:val="20"/>
        </w:rPr>
        <w:t>Contato: 31815589</w:t>
      </w:r>
    </w:p>
    <w:p>
      <w:pPr>
        <w:spacing w:after="0" w:line="240" w:lineRule="auto"/>
        <w:ind w:left="5126" w:firstLine="3"/>
        <w:jc w:val="both"/>
        <w:rPr>
          <w:rFonts w:ascii="Times New Roman" w:hAnsi="Times New Roman" w:eastAsia="Arial" w:cs="Times New Roman"/>
        </w:rPr>
      </w:pPr>
    </w:p>
    <w:p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eastAsia="Arial" w:cs="Times New Roman"/>
          <w:b/>
        </w:rPr>
      </w:pPr>
      <w:r>
        <w:rPr>
          <w:rFonts w:ascii="Times New Roman" w:hAnsi="Times New Roman" w:eastAsia="Arial" w:cs="Times New Roman"/>
          <w:b/>
        </w:rPr>
        <w:t>Objeto da Contratação</w:t>
      </w:r>
    </w:p>
    <w:p>
      <w:pPr>
        <w:pStyle w:val="24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  <w:r>
        <w:rPr>
          <w:rFonts w:ascii="Times New Roman" w:hAnsi="Times New Roman" w:eastAsia="Arial" w:cs="Times New Roman"/>
          <w:sz w:val="20"/>
          <w:szCs w:val="20"/>
        </w:rPr>
        <w:t>Contratação direta, via dispensa de licitação emergencial, para aquisição de Produtos médicos,</w:t>
      </w:r>
      <w:r>
        <w:rPr>
          <w:rFonts w:ascii="Times New Roman" w:hAnsi="Times New Roman" w:eastAsia="Arial" w:cs="Times New Roman"/>
          <w:b/>
          <w:sz w:val="20"/>
          <w:szCs w:val="20"/>
        </w:rPr>
        <w:t xml:space="preserve"> </w:t>
      </w:r>
      <w:r>
        <w:rPr>
          <w:rFonts w:ascii="Times New Roman" w:hAnsi="Times New Roman" w:eastAsia="Arial" w:cs="Times New Roman"/>
          <w:sz w:val="20"/>
          <w:szCs w:val="20"/>
        </w:rPr>
        <w:t>visando atender às necessidades do Hospital da Restauração para continuidade da assistência.</w:t>
      </w:r>
    </w:p>
    <w:p>
      <w:pPr>
        <w:spacing w:after="0" w:line="240" w:lineRule="auto"/>
        <w:ind w:left="5126" w:firstLine="3"/>
        <w:jc w:val="both"/>
        <w:rPr>
          <w:rFonts w:ascii="Times New Roman" w:hAnsi="Times New Roman" w:eastAsia="Arial" w:cs="Times New Roman"/>
        </w:rPr>
      </w:pPr>
    </w:p>
    <w:p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eastAsia="Arial" w:cs="Times New Roman"/>
          <w:b/>
        </w:rPr>
      </w:pPr>
      <w:r>
        <w:rPr>
          <w:rFonts w:ascii="Times New Roman" w:hAnsi="Times New Roman" w:eastAsia="Arial" w:cs="Times New Roman"/>
          <w:b/>
        </w:rPr>
        <w:t>Descrição e quantidades</w:t>
      </w:r>
    </w:p>
    <w:tbl>
      <w:tblPr>
        <w:tblStyle w:val="10"/>
        <w:tblpPr w:leftFromText="141" w:rightFromText="141" w:vertAnchor="text" w:horzAnchor="margin" w:tblpXSpec="center" w:tblpY="172"/>
        <w:tblW w:w="4843" w:type="pct"/>
        <w:tblInd w:w="0" w:type="dxa"/>
        <w:tblLayout w:type="autofit"/>
        <w:tblCellMar>
          <w:top w:w="0" w:type="dxa"/>
          <w:left w:w="70" w:type="dxa"/>
          <w:bottom w:w="0" w:type="dxa"/>
          <w:right w:w="70" w:type="dxa"/>
        </w:tblCellMar>
      </w:tblPr>
      <w:tblGrid>
        <w:gridCol w:w="982"/>
        <w:gridCol w:w="4863"/>
        <w:gridCol w:w="1088"/>
        <w:gridCol w:w="1530"/>
        <w:gridCol w:w="687"/>
        <w:gridCol w:w="1123"/>
      </w:tblGrid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804" w:hRule="atLeast"/>
        </w:trPr>
        <w:tc>
          <w:tcPr>
            <w:tcW w:w="4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6A6A6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6A6A6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2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33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  <w:tc>
          <w:tcPr>
            <w:tcW w:w="546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48" w:hRule="atLeast"/>
        </w:trPr>
        <w:tc>
          <w:tcPr>
            <w:tcW w:w="4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en-US" w:eastAsia="pt-BR"/>
              </w:rPr>
            </w:pPr>
            <w:r>
              <w:rPr>
                <w:rFonts w:hint="default" w:ascii="Times New Roman" w:hAnsi="Times New Roman"/>
                <w:b/>
                <w:bCs/>
                <w:sz w:val="20"/>
                <w:szCs w:val="20"/>
                <w:lang w:val="en-US" w:eastAsia="pt-BR"/>
              </w:rPr>
              <w:t>1794043</w:t>
            </w:r>
          </w:p>
        </w:tc>
        <w:tc>
          <w:tcPr>
            <w:tcW w:w="2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125" w:line="252" w:lineRule="auto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</w:pPr>
            <w:r>
              <w:rPr>
                <w:rFonts w:hint="default" w:ascii="Times New Roman" w:hAnsi="Times New Roman"/>
                <w:b/>
                <w:bCs/>
                <w:sz w:val="20"/>
                <w:szCs w:val="20"/>
                <w:lang w:val="pt-BR"/>
              </w:rPr>
              <w:t xml:space="preserve">SONDA ENDOTRAQUEAL - N-3,5 PROVIDA DE CONECTOR, BALONETE DE BAIXA PRESSAO E ALTO VOLUME, VALVULA EXT. REGULADORA PRESSAO, </w:t>
            </w:r>
            <w:r>
              <w:rPr>
                <w:rFonts w:hint="default" w:ascii="Times New Roman" w:hAnsi="Times New Roman"/>
                <w:b/>
                <w:bCs/>
                <w:sz w:val="20"/>
                <w:szCs w:val="20"/>
                <w:highlight w:val="yellow"/>
                <w:lang w:val="pt-BR"/>
              </w:rPr>
              <w:t>SEM BALAO</w:t>
            </w:r>
            <w:r>
              <w:rPr>
                <w:rFonts w:hint="default" w:ascii="Times New Roman" w:hAnsi="Times New Roman"/>
                <w:b/>
                <w:bCs/>
                <w:sz w:val="20"/>
                <w:szCs w:val="20"/>
                <w:lang w:val="pt-BR"/>
              </w:rPr>
              <w:t>, CALIBRE E GRADUACAO ESTAMPADOS EM LOCAL VISIVEL, PVC TRANSPARENTE FLEXIVEL, RADIOPACA, A APRESENTACAO DO PRODUTO DEVERA OBEDECER A LEGISLACAO VIGENTE, EMBALAGEM CONF. MS.</w:t>
            </w:r>
          </w:p>
        </w:tc>
        <w:tc>
          <w:tcPr>
            <w:tcW w:w="52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25" w:line="252" w:lineRule="auto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UNIDADE</w:t>
            </w:r>
          </w:p>
        </w:tc>
        <w:tc>
          <w:tcPr>
            <w:tcW w:w="74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25" w:line="252" w:lineRule="auto"/>
              <w:jc w:val="center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30</w:t>
            </w:r>
          </w:p>
        </w:tc>
        <w:tc>
          <w:tcPr>
            <w:tcW w:w="33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25" w:line="252" w:lineRule="auto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5</w:t>
            </w:r>
          </w:p>
        </w:tc>
        <w:tc>
          <w:tcPr>
            <w:tcW w:w="546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25" w:line="252" w:lineRule="auto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0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48" w:hRule="atLeast"/>
        </w:trPr>
        <w:tc>
          <w:tcPr>
            <w:tcW w:w="4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/>
                <w:b/>
                <w:bCs/>
                <w:sz w:val="20"/>
                <w:szCs w:val="20"/>
                <w:lang w:val="en-US" w:eastAsia="pt-BR"/>
              </w:rPr>
            </w:pPr>
            <w:r>
              <w:rPr>
                <w:rFonts w:hint="default" w:ascii="Times New Roman" w:hAnsi="Times New Roman"/>
                <w:b/>
                <w:bCs/>
                <w:sz w:val="20"/>
                <w:szCs w:val="20"/>
                <w:lang w:val="en-US" w:eastAsia="pt-BR"/>
              </w:rPr>
              <w:t>1823108</w:t>
            </w:r>
          </w:p>
        </w:tc>
        <w:tc>
          <w:tcPr>
            <w:tcW w:w="2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125" w:line="252" w:lineRule="auto"/>
              <w:jc w:val="center"/>
              <w:rPr>
                <w:rFonts w:hint="default" w:ascii="Times New Roman" w:hAnsi="Times New Roman"/>
                <w:b/>
                <w:bCs/>
                <w:sz w:val="20"/>
                <w:szCs w:val="20"/>
                <w:lang w:val="pt-BR"/>
              </w:rPr>
            </w:pPr>
            <w:r>
              <w:rPr>
                <w:rFonts w:hint="default" w:ascii="Times New Roman" w:hAnsi="Times New Roman"/>
                <w:b/>
                <w:bCs/>
                <w:sz w:val="20"/>
                <w:szCs w:val="20"/>
                <w:lang w:val="pt-BR"/>
              </w:rPr>
              <w:t xml:space="preserve">SONDA ENDOTRAQUEAL - N-3,5 PROVIDA DE CONECTOR, BALONETE DE BAIXA PRESSAO E ALTO VOLUME, VALVULA EXT. REGULADORA PRESSAO, </w:t>
            </w:r>
            <w:r>
              <w:rPr>
                <w:rFonts w:hint="default" w:ascii="Times New Roman" w:hAnsi="Times New Roman"/>
                <w:b/>
                <w:bCs/>
                <w:sz w:val="20"/>
                <w:szCs w:val="20"/>
                <w:highlight w:val="yellow"/>
                <w:lang w:val="pt-BR"/>
              </w:rPr>
              <w:t>COM BALAO</w:t>
            </w:r>
            <w:r>
              <w:rPr>
                <w:rFonts w:hint="default" w:ascii="Times New Roman" w:hAnsi="Times New Roman"/>
                <w:b/>
                <w:bCs/>
                <w:sz w:val="20"/>
                <w:szCs w:val="20"/>
                <w:lang w:val="pt-BR"/>
              </w:rPr>
              <w:t>, CALIBRE E GRADUACAO ESTAMPADOS EM LOCAL VISIVEL, PVC TRANSPARENTE, FLEXIVEL, RADIOPACA, A APRESENTACAO DO PRODUTO DEVERA OBEDECER A LEGISLACAO VIGENTE, EMBALAGEM CONF. MS.</w:t>
            </w:r>
          </w:p>
        </w:tc>
        <w:tc>
          <w:tcPr>
            <w:tcW w:w="52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25" w:line="252" w:lineRule="auto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UNIDADE</w:t>
            </w:r>
          </w:p>
        </w:tc>
        <w:tc>
          <w:tcPr>
            <w:tcW w:w="74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25" w:line="252" w:lineRule="auto"/>
              <w:jc w:val="center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50</w:t>
            </w:r>
          </w:p>
        </w:tc>
        <w:tc>
          <w:tcPr>
            <w:tcW w:w="33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25" w:line="252" w:lineRule="auto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10</w:t>
            </w:r>
          </w:p>
        </w:tc>
        <w:tc>
          <w:tcPr>
            <w:tcW w:w="546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25" w:line="252" w:lineRule="auto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0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48" w:hRule="atLeast"/>
        </w:trPr>
        <w:tc>
          <w:tcPr>
            <w:tcW w:w="4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/>
                <w:b/>
                <w:bCs/>
                <w:sz w:val="20"/>
                <w:szCs w:val="20"/>
                <w:lang w:val="en-US" w:eastAsia="pt-BR"/>
              </w:rPr>
            </w:pPr>
            <w:r>
              <w:rPr>
                <w:rFonts w:hint="default" w:ascii="Times New Roman" w:hAnsi="Times New Roman"/>
                <w:b/>
                <w:bCs/>
                <w:sz w:val="20"/>
                <w:szCs w:val="20"/>
                <w:lang w:val="en-US" w:eastAsia="pt-BR"/>
              </w:rPr>
              <w:t>1619799</w:t>
            </w:r>
          </w:p>
        </w:tc>
        <w:tc>
          <w:tcPr>
            <w:tcW w:w="2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125" w:line="252" w:lineRule="auto"/>
              <w:jc w:val="center"/>
              <w:rPr>
                <w:rFonts w:hint="default" w:ascii="Times New Roman" w:hAnsi="Times New Roman"/>
                <w:b/>
                <w:bCs/>
                <w:sz w:val="20"/>
                <w:szCs w:val="20"/>
                <w:lang w:val="pt-BR"/>
              </w:rPr>
            </w:pPr>
            <w:r>
              <w:rPr>
                <w:rFonts w:hint="default" w:ascii="Times New Roman" w:hAnsi="Times New Roman"/>
                <w:b/>
                <w:bCs/>
                <w:sz w:val="20"/>
                <w:szCs w:val="20"/>
                <w:lang w:val="pt-BR"/>
              </w:rPr>
              <w:t>SONDA ENDOTRAQUEAL - N-5,5 PROVIDA DE CONECTOR, BALONETE DE BAIXA PRESSAO E ALTO VOLUME, VALVULA EXT. REGULADORA PRESSAO, COM BALAO, CALIBRE E GRADUACAO ESTAMPADOS EM LOCAL VISIVEL, PVC TRANSPARENTE, FLEXIVEL, RADIOPACA, A APRESENTACAO DO PRODUTO DEVERA OBEDECER A LEGISLACAO VIGENTE, EMBALAGEM CONF. MS.</w:t>
            </w:r>
          </w:p>
        </w:tc>
        <w:tc>
          <w:tcPr>
            <w:tcW w:w="52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25" w:line="252" w:lineRule="auto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UNIDADE</w:t>
            </w:r>
          </w:p>
        </w:tc>
        <w:tc>
          <w:tcPr>
            <w:tcW w:w="74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25" w:line="252" w:lineRule="auto"/>
              <w:jc w:val="center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250</w:t>
            </w:r>
          </w:p>
        </w:tc>
        <w:tc>
          <w:tcPr>
            <w:tcW w:w="33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25" w:line="252" w:lineRule="auto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50</w:t>
            </w:r>
          </w:p>
        </w:tc>
        <w:tc>
          <w:tcPr>
            <w:tcW w:w="546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25" w:line="252" w:lineRule="auto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0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48" w:hRule="atLeast"/>
        </w:trPr>
        <w:tc>
          <w:tcPr>
            <w:tcW w:w="4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/>
                <w:b/>
                <w:bCs/>
                <w:sz w:val="20"/>
                <w:szCs w:val="20"/>
                <w:lang w:val="en-US" w:eastAsia="pt-BR"/>
              </w:rPr>
            </w:pPr>
            <w:r>
              <w:rPr>
                <w:rFonts w:hint="default" w:ascii="Times New Roman" w:hAnsi="Times New Roman"/>
                <w:b/>
                <w:bCs/>
                <w:sz w:val="20"/>
                <w:szCs w:val="20"/>
                <w:lang w:val="en-US" w:eastAsia="pt-BR"/>
              </w:rPr>
              <w:t>1548387</w:t>
            </w:r>
          </w:p>
        </w:tc>
        <w:tc>
          <w:tcPr>
            <w:tcW w:w="2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125" w:line="252" w:lineRule="auto"/>
              <w:jc w:val="center"/>
              <w:rPr>
                <w:rFonts w:hint="default" w:ascii="Times New Roman" w:hAnsi="Times New Roman"/>
                <w:b/>
                <w:bCs/>
                <w:sz w:val="20"/>
                <w:szCs w:val="20"/>
                <w:lang w:val="pt-BR"/>
              </w:rPr>
            </w:pPr>
            <w:r>
              <w:rPr>
                <w:rFonts w:hint="default" w:ascii="Times New Roman" w:hAnsi="Times New Roman"/>
                <w:b/>
                <w:bCs/>
                <w:sz w:val="20"/>
                <w:szCs w:val="20"/>
                <w:lang w:val="pt-BR"/>
              </w:rPr>
              <w:t>SONDA ENDOTRAQUEAL - N-8,0 PROVIDA DE CONECTOR, BALONETE DE BAIXA PRESSAO E ALTO VOLUME, VALVULA EXT. REGULADORA PRESSAO, COM BALAO, CALIBRE E GRADUACAO ESTAMPADOS EM LOCAL VISIVEL, PVC TRANSPARENTE FLEXIVEL, RADIOPACA, A APRESENTACAO DO PRODUTO DEVERA OBEDECER A LEGISLACAO VIGENTE, EMBALAGEM CONF. MS.</w:t>
            </w:r>
          </w:p>
        </w:tc>
        <w:tc>
          <w:tcPr>
            <w:tcW w:w="52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25" w:line="252" w:lineRule="auto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UNIDADE</w:t>
            </w:r>
          </w:p>
        </w:tc>
        <w:tc>
          <w:tcPr>
            <w:tcW w:w="74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25" w:line="252" w:lineRule="auto"/>
              <w:jc w:val="center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1550</w:t>
            </w:r>
          </w:p>
        </w:tc>
        <w:tc>
          <w:tcPr>
            <w:tcW w:w="33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25" w:line="252" w:lineRule="auto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310</w:t>
            </w:r>
          </w:p>
        </w:tc>
        <w:tc>
          <w:tcPr>
            <w:tcW w:w="546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25" w:line="252" w:lineRule="auto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100</w:t>
            </w:r>
          </w:p>
        </w:tc>
      </w:tr>
    </w:tbl>
    <w:p>
      <w:pPr>
        <w:numPr>
          <w:ilvl w:val="1"/>
          <w:numId w:val="1"/>
        </w:numPr>
        <w:spacing w:after="0" w:line="360" w:lineRule="auto"/>
        <w:jc w:val="both"/>
        <w:rPr>
          <w:rFonts w:hint="default" w:ascii="Times New Roman" w:hAnsi="Times New Roman" w:eastAsia="Arial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</w:t>
      </w:r>
      <w:r>
        <w:rPr>
          <w:rFonts w:hint="default" w:ascii="Times New Roman" w:hAnsi="Times New Roman" w:cs="Times New Roman"/>
          <w:color w:val="000000"/>
          <w:sz w:val="20"/>
          <w:szCs w:val="20"/>
          <w:lang w:val="pt-BR"/>
        </w:rPr>
        <w:t>aproximada de 150 dias;</w:t>
      </w:r>
    </w:p>
    <w:p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eastAsia="Arial" w:cs="Times New Roman"/>
          <w:b/>
        </w:rPr>
      </w:pPr>
      <w:r>
        <w:rPr>
          <w:rFonts w:ascii="Times New Roman" w:hAnsi="Times New Roman" w:eastAsia="Arial" w:cs="Times New Roman"/>
          <w:b/>
        </w:rPr>
        <w:t>Da Justificativa do Quantitativo</w:t>
      </w:r>
    </w:p>
    <w:p>
      <w:p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</w:p>
    <w:p>
      <w:p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  <w:r>
        <w:rPr>
          <w:rFonts w:ascii="Times New Roman" w:hAnsi="Times New Roman" w:eastAsia="Arial" w:cs="Times New Roman"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-104775</wp:posOffset>
                </wp:positionH>
                <wp:positionV relativeFrom="paragraph">
                  <wp:posOffset>-80645</wp:posOffset>
                </wp:positionV>
                <wp:extent cx="6600825" cy="1932305"/>
                <wp:effectExtent l="15875" t="15875" r="31750" b="33020"/>
                <wp:wrapNone/>
                <wp:docPr id="1337931885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0825" cy="193230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numPr>
                                <w:ilvl w:val="0"/>
                                <w:numId w:val="2"/>
                              </w:numPr>
                              <w:ind w:left="425" w:leftChars="0" w:hanging="425" w:firstLineChars="0"/>
                              <w:rPr>
                                <w:rFonts w:hint="default"/>
                                <w:lang w:val="en-US" w:eastAsia="pt-BR"/>
                              </w:rPr>
                            </w:pPr>
                            <w:r>
                              <w:rPr>
                                <w:rFonts w:hint="default"/>
                                <w:lang w:val="en-US" w:eastAsia="pt-BR"/>
                              </w:rPr>
                              <w:t>PE HR HOMOLOGADO 0448.2023.AC-45.PE.0386.SAD.HR- VENCIDO</w:t>
                            </w:r>
                          </w:p>
                          <w:p>
                            <w:pPr>
                              <w:numPr>
                                <w:ilvl w:val="0"/>
                                <w:numId w:val="2"/>
                              </w:numPr>
                              <w:ind w:left="425" w:leftChars="0" w:hanging="425" w:firstLineChars="0"/>
                              <w:rPr>
                                <w:rFonts w:hint="default"/>
                                <w:lang w:val="en-US" w:eastAsia="pt-BR"/>
                              </w:rPr>
                            </w:pPr>
                            <w:r>
                              <w:rPr>
                                <w:rFonts w:hint="default"/>
                                <w:lang w:val="en-US" w:eastAsia="pt-BR"/>
                              </w:rPr>
                              <w:t>ADESÃO 352/2024 - VENCIDO</w:t>
                            </w:r>
                          </w:p>
                          <w:p>
                            <w:pPr>
                              <w:numPr>
                                <w:ilvl w:val="0"/>
                                <w:numId w:val="2"/>
                              </w:numPr>
                              <w:ind w:left="425" w:leftChars="0" w:hanging="425" w:firstLineChars="0"/>
                              <w:rPr>
                                <w:rFonts w:hint="default"/>
                                <w:lang w:val="en-US" w:eastAsia="pt-BR"/>
                              </w:rPr>
                            </w:pPr>
                            <w:r>
                              <w:rPr>
                                <w:rFonts w:hint="default"/>
                                <w:lang w:val="en-US" w:eastAsia="pt-BR"/>
                              </w:rPr>
                              <w:t>DL CENTRALIZADA 3316.2024.CCD - I.CD.0183.SES.FES-PE - SALDO CONSUMIDO</w:t>
                            </w:r>
                          </w:p>
                          <w:p>
                            <w:pPr>
                              <w:numPr>
                                <w:ilvl w:val="0"/>
                                <w:numId w:val="2"/>
                              </w:numPr>
                              <w:ind w:left="425" w:leftChars="0" w:hanging="425" w:firstLineChars="0"/>
                              <w:rPr>
                                <w:rFonts w:hint="default"/>
                                <w:lang w:val="en-US" w:eastAsia="pt-BR"/>
                              </w:rPr>
                            </w:pPr>
                            <w:r>
                              <w:rPr>
                                <w:rFonts w:hint="default"/>
                                <w:lang w:val="en-US" w:eastAsia="pt-BR"/>
                              </w:rPr>
                              <w:t>PROCESSO UNIFICADO EM ANDAMENTO 2300002315.000040/2024-97 (PREGÃO) E 2300002414.000030/2025-14 (DISPENSA SAZONALIDADE);</w:t>
                            </w:r>
                          </w:p>
                          <w:p>
                            <w:pPr>
                              <w:numPr>
                                <w:ilvl w:val="0"/>
                                <w:numId w:val="2"/>
                              </w:numPr>
                              <w:ind w:left="425" w:leftChars="0" w:hanging="425" w:firstLineChars="0"/>
                              <w:rPr>
                                <w:rFonts w:hint="default"/>
                                <w:lang w:val="en-US" w:eastAsia="pt-BR"/>
                              </w:rPr>
                            </w:pPr>
                            <w:r>
                              <w:rPr>
                                <w:rFonts w:hint="default"/>
                                <w:lang w:val="en-US" w:eastAsia="pt-BR"/>
                              </w:rPr>
                              <w:t>SOLICITO BUSCA POR ADESÃO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" o:spid="_x0000_s1026" o:spt="202" type="#_x0000_t202" style="position:absolute;left:0pt;margin-left:-8.25pt;margin-top:-6.35pt;height:152.15pt;width:519.75pt;mso-position-horizontal-relative:margin;z-index:251660288;mso-width-relative:page;mso-height-relative:page;" fillcolor="#FFFFFF [3217]" filled="t" stroked="t" coordsize="21600,21600" o:gfxdata="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">
                <v:fill on="t" focussize="0,0"/>
                <v:stroke weight="2.5pt" color="#000000 [3216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numPr>
                          <w:ilvl w:val="0"/>
                          <w:numId w:val="2"/>
                        </w:numPr>
                        <w:ind w:left="425" w:leftChars="0" w:hanging="425" w:firstLineChars="0"/>
                        <w:rPr>
                          <w:rFonts w:hint="default"/>
                          <w:lang w:val="en-US" w:eastAsia="pt-BR"/>
                        </w:rPr>
                      </w:pPr>
                      <w:r>
                        <w:rPr>
                          <w:rFonts w:hint="default"/>
                          <w:lang w:val="en-US" w:eastAsia="pt-BR"/>
                        </w:rPr>
                        <w:t>PE HR HOMOLOGADO 0448.2023.AC-45.PE.0386.SAD.HR- VENCIDO</w:t>
                      </w:r>
                    </w:p>
                    <w:p>
                      <w:pPr>
                        <w:numPr>
                          <w:ilvl w:val="0"/>
                          <w:numId w:val="2"/>
                        </w:numPr>
                        <w:ind w:left="425" w:leftChars="0" w:hanging="425" w:firstLineChars="0"/>
                        <w:rPr>
                          <w:rFonts w:hint="default"/>
                          <w:lang w:val="en-US" w:eastAsia="pt-BR"/>
                        </w:rPr>
                      </w:pPr>
                      <w:r>
                        <w:rPr>
                          <w:rFonts w:hint="default"/>
                          <w:lang w:val="en-US" w:eastAsia="pt-BR"/>
                        </w:rPr>
                        <w:t>ADESÃO 352/2024 - VENCIDO</w:t>
                      </w:r>
                    </w:p>
                    <w:p>
                      <w:pPr>
                        <w:numPr>
                          <w:ilvl w:val="0"/>
                          <w:numId w:val="2"/>
                        </w:numPr>
                        <w:ind w:left="425" w:leftChars="0" w:hanging="425" w:firstLineChars="0"/>
                        <w:rPr>
                          <w:rFonts w:hint="default"/>
                          <w:lang w:val="en-US" w:eastAsia="pt-BR"/>
                        </w:rPr>
                      </w:pPr>
                      <w:r>
                        <w:rPr>
                          <w:rFonts w:hint="default"/>
                          <w:lang w:val="en-US" w:eastAsia="pt-BR"/>
                        </w:rPr>
                        <w:t>DL CENTRALIZADA 3316.2024.CCD - I.CD.0183.SES.FES-PE - SALDO CONSUMIDO</w:t>
                      </w:r>
                    </w:p>
                    <w:p>
                      <w:pPr>
                        <w:numPr>
                          <w:ilvl w:val="0"/>
                          <w:numId w:val="2"/>
                        </w:numPr>
                        <w:ind w:left="425" w:leftChars="0" w:hanging="425" w:firstLineChars="0"/>
                        <w:rPr>
                          <w:rFonts w:hint="default"/>
                          <w:lang w:val="en-US" w:eastAsia="pt-BR"/>
                        </w:rPr>
                      </w:pPr>
                      <w:r>
                        <w:rPr>
                          <w:rFonts w:hint="default"/>
                          <w:lang w:val="en-US" w:eastAsia="pt-BR"/>
                        </w:rPr>
                        <w:t>PROCESSO UNIFICADO EM ANDAMENTO 2300002315.000040/2024-97 (PREGÃO) E 2300002414.000030/2025-14 (DISPENSA SAZONALIDADE);</w:t>
                      </w:r>
                    </w:p>
                    <w:p>
                      <w:pPr>
                        <w:numPr>
                          <w:ilvl w:val="0"/>
                          <w:numId w:val="2"/>
                        </w:numPr>
                        <w:ind w:left="425" w:leftChars="0" w:hanging="425" w:firstLineChars="0"/>
                        <w:rPr>
                          <w:rFonts w:hint="default"/>
                          <w:lang w:val="en-US" w:eastAsia="pt-BR"/>
                        </w:rPr>
                      </w:pPr>
                      <w:r>
                        <w:rPr>
                          <w:rFonts w:hint="default"/>
                          <w:lang w:val="en-US" w:eastAsia="pt-BR"/>
                        </w:rPr>
                        <w:t>SOLICITO BUSCA POR ADESÃO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</w:p>
    <w:p>
      <w:p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</w:p>
    <w:p>
      <w:p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</w:p>
    <w:p>
      <w:p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</w:p>
    <w:p>
      <w:p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</w:p>
    <w:p>
      <w:p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</w:p>
    <w:p>
      <w:p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</w:p>
    <w:p>
      <w:p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</w:p>
    <w:p>
      <w:p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  <w:r>
        <w:rPr>
          <w:rFonts w:ascii="Times New Roman" w:hAnsi="Times New Roman" w:eastAsia="Arial" w:cs="Times New Roman"/>
          <w:sz w:val="20"/>
          <w:szCs w:val="20"/>
        </w:rPr>
        <w:t>A contratação para aquisição deste Produto médico é medida imprescindível para dar continuidade ao atendimento dos pacientes internados, garantindo o suprimento contínuo e adequado na instituição;</w:t>
      </w:r>
    </w:p>
    <w:p>
      <w:p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</w:p>
    <w:p>
      <w:pPr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  <w:r>
        <w:rPr>
          <w:rFonts w:ascii="Times New Roman" w:hAnsi="Times New Roman" w:eastAsia="Arial" w:cs="Times New Roman"/>
          <w:sz w:val="20"/>
          <w:szCs w:val="20"/>
        </w:rPr>
        <w:t xml:space="preserve">O quantitativo estimado para aquisição </w:t>
      </w:r>
      <w:r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>
        <w:rPr>
          <w:rFonts w:ascii="Times New Roman" w:hAnsi="Times New Roman" w:eastAsia="Arial" w:cs="Times New Roman"/>
          <w:sz w:val="20"/>
          <w:szCs w:val="20"/>
        </w:rPr>
        <w:t>)</w:t>
      </w:r>
      <w:r>
        <w:rPr>
          <w:rFonts w:ascii="Times New Roman" w:hAnsi="Times New Roman" w:cs="Times New Roman"/>
          <w:sz w:val="20"/>
          <w:szCs w:val="20"/>
        </w:rPr>
        <w:t xml:space="preserve"> iten(s) nos últimos meses, utilizando como referencial os relatórios provenientes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da Plataforma </w:t>
      </w:r>
      <w:r>
        <w:rPr>
          <w:rFonts w:ascii="Times New Roman" w:hAnsi="Times New Roman" w:cs="Times New Roman"/>
          <w:sz w:val="20"/>
          <w:szCs w:val="20"/>
        </w:rPr>
        <w:t>Efisco e CEOS. Aos valores obtidos, foi acrescentada uma reserva técnica de 25%, para atendimento de possíveis variaçõ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es sazonais importantes </w:t>
      </w:r>
      <w:r>
        <w:rPr>
          <w:rFonts w:ascii="Times New Roman" w:hAnsi="Times New Roman" w:cs="Times New Roman"/>
          <w:sz w:val="20"/>
          <w:szCs w:val="20"/>
        </w:rPr>
        <w:t>(relatórios anexos).</w:t>
      </w:r>
    </w:p>
    <w:p>
      <w:pPr>
        <w:pStyle w:val="24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  <w:r>
        <w:rPr>
          <w:rFonts w:ascii="Times New Roman" w:hAnsi="Times New Roman" w:eastAsia="Arial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  <w:r>
        <w:rPr>
          <w:rFonts w:hint="default" w:ascii="Times New Roman" w:hAnsi="Times New Roman" w:eastAsia="Arial" w:cs="Times New Roman"/>
          <w:b/>
          <w:sz w:val="20"/>
          <w:szCs w:val="20"/>
          <w:lang w:val="pt-BR"/>
        </w:rPr>
        <w:t xml:space="preserve"> </w:t>
      </w:r>
    </w:p>
    <w:p>
      <w:pPr>
        <w:pStyle w:val="24"/>
        <w:spacing w:after="0" w:line="240" w:lineRule="auto"/>
        <w:ind w:left="708"/>
        <w:jc w:val="both"/>
        <w:rPr>
          <w:rFonts w:ascii="Times New Roman" w:hAnsi="Times New Roman" w:eastAsia="Arial" w:cs="Times New Roman"/>
        </w:rPr>
      </w:pPr>
    </w:p>
    <w:p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eastAsia="Arial" w:cs="Times New Roman"/>
          <w:b/>
        </w:rPr>
      </w:pPr>
      <w:r>
        <w:rPr>
          <w:rFonts w:ascii="Times New Roman" w:hAnsi="Times New Roman" w:eastAsia="Arial" w:cs="Times New Roman"/>
          <w:b/>
        </w:rPr>
        <w:t>Estimativa de prazos</w:t>
      </w:r>
    </w:p>
    <w:p>
      <w:pPr>
        <w:pStyle w:val="24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  <w:r>
        <w:rPr>
          <w:rStyle w:val="11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>
        <w:rPr>
          <w:rStyle w:val="11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empenho.</w:t>
      </w:r>
    </w:p>
    <w:p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eastAsia="Arial" w:cs="Times New Roman"/>
          <w:b/>
        </w:rPr>
      </w:pPr>
      <w:r>
        <w:rPr>
          <w:rFonts w:ascii="Times New Roman" w:hAnsi="Times New Roman" w:eastAsia="Arial" w:cs="Times New Roman"/>
          <w:b/>
        </w:rPr>
        <w:t>Dos prazos e local(is) de entrega</w:t>
      </w:r>
    </w:p>
    <w:p>
      <w:pPr>
        <w:pStyle w:val="24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>
        <w:rPr>
          <w:rFonts w:ascii="Times New Roman" w:hAnsi="Times New Roman" w:cs="Times New Roman"/>
          <w:bCs/>
          <w:sz w:val="20"/>
          <w:szCs w:val="20"/>
        </w:rPr>
        <w:t>Os produtos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>
        <w:rPr>
          <w:rFonts w:ascii="Times New Roman" w:hAnsi="Times New Roman" w:cs="Times New Roman"/>
          <w:b/>
          <w:sz w:val="20"/>
          <w:szCs w:val="20"/>
        </w:rPr>
        <w:t>02 (dois) dias úteis</w:t>
      </w:r>
      <w:r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email com a cópia da respectiva nota de empenho, na </w:t>
      </w:r>
      <w:r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email </w:t>
      </w:r>
      <w:r>
        <w:fldChar w:fldCharType="begin"/>
      </w:r>
      <w:r>
        <w:instrText xml:space="preserve"> HYPERLINK "mailto:agendamento@alclog.com.br" </w:instrText>
      </w:r>
      <w:r>
        <w:fldChar w:fldCharType="separate"/>
      </w:r>
      <w:r>
        <w:rPr>
          <w:rStyle w:val="12"/>
          <w:rFonts w:ascii="Times New Roman" w:hAnsi="Times New Roman" w:cs="Times New Roman"/>
          <w:b/>
          <w:sz w:val="20"/>
          <w:szCs w:val="20"/>
        </w:rPr>
        <w:t>agendamento@alclog.com.br</w:t>
      </w:r>
      <w:r>
        <w:rPr>
          <w:rStyle w:val="12"/>
          <w:rFonts w:ascii="Times New Roman" w:hAnsi="Times New Roman" w:cs="Times New Roman"/>
          <w:b/>
          <w:sz w:val="20"/>
          <w:szCs w:val="20"/>
        </w:rPr>
        <w:fldChar w:fldCharType="end"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>
      <w:pPr>
        <w:pStyle w:val="24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Por necessidade do serviço, poderá a entrega ser direcionada à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Indl. Ajan - Muribeca, Jaboatão dos Guararapes/PE - Fone: (081) 3437-4994, mediante prévio agendamento unicamente através do e-mail </w:t>
      </w:r>
      <w:r>
        <w:fldChar w:fldCharType="begin"/>
      </w:r>
      <w:r>
        <w:instrText xml:space="preserve"> HYPERLINK "mailto:agendamento@alclog.com.br" </w:instrText>
      </w:r>
      <w:r>
        <w:fldChar w:fldCharType="separate"/>
      </w:r>
      <w:r>
        <w:rPr>
          <w:rStyle w:val="12"/>
          <w:rFonts w:ascii="Times New Roman" w:hAnsi="Times New Roman" w:cs="Times New Roman"/>
          <w:b/>
          <w:sz w:val="20"/>
          <w:szCs w:val="20"/>
        </w:rPr>
        <w:t>agendamento@alclog.com.br</w:t>
      </w:r>
      <w:r>
        <w:rPr>
          <w:rStyle w:val="12"/>
          <w:rFonts w:ascii="Times New Roman" w:hAnsi="Times New Roman" w:cs="Times New Roman"/>
          <w:b/>
          <w:sz w:val="20"/>
          <w:szCs w:val="20"/>
        </w:rPr>
        <w:fldChar w:fldCharType="end"/>
      </w:r>
    </w:p>
    <w:p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eastAsia="Arial" w:cs="Times New Roman"/>
          <w:b/>
        </w:rPr>
      </w:pPr>
      <w:r>
        <w:rPr>
          <w:rFonts w:ascii="Times New Roman" w:hAnsi="Times New Roman" w:eastAsia="Arial" w:cs="Times New Roman"/>
          <w:b/>
        </w:rPr>
        <w:t>Da Proposta</w:t>
      </w:r>
    </w:p>
    <w:p>
      <w:pPr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  <w:r>
        <w:rPr>
          <w:rFonts w:ascii="Times New Roman" w:hAnsi="Times New Roman" w:eastAsia="Arial" w:cs="Times New Roman"/>
          <w:sz w:val="20"/>
          <w:szCs w:val="20"/>
        </w:rPr>
        <w:t>A proposta comercial deverá ser enviada exclusivamente via PE Integrado durante a fase de cotação (72 h ou 3 dias úteis) e/ou Compra Direta (24 h ou 1 dia útil);</w:t>
      </w:r>
    </w:p>
    <w:p>
      <w:pPr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  <w:r>
        <w:rPr>
          <w:rFonts w:ascii="Times New Roman" w:hAnsi="Times New Roman" w:eastAsia="Arial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>
      <w:pPr>
        <w:spacing w:after="0" w:line="240" w:lineRule="auto"/>
        <w:ind w:left="708"/>
        <w:jc w:val="both"/>
        <w:rPr>
          <w:rFonts w:ascii="Times New Roman" w:hAnsi="Times New Roman" w:eastAsia="Arial" w:cs="Times New Roman"/>
        </w:rPr>
      </w:pPr>
    </w:p>
    <w:p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>
        <w:rPr>
          <w:rFonts w:ascii="Times New Roman" w:hAnsi="Times New Roman" w:eastAsia="Arial" w:cs="Times New Roman"/>
          <w:b/>
        </w:rPr>
        <w:t>Qualificação técnica</w:t>
      </w:r>
    </w:p>
    <w:p>
      <w:pPr>
        <w:pStyle w:val="30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>
      <w:pPr>
        <w:pStyle w:val="30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>
      <w:pPr>
        <w:pStyle w:val="30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 e obedecendo o ao prazo de entrega deste termo de referência;</w:t>
      </w:r>
    </w:p>
    <w:p>
      <w:pPr>
        <w:pStyle w:val="30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>
      <w:pPr>
        <w:pStyle w:val="30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No momento da entrega, o prazo de validade do produto não poderá ser inferior a 12 meses;</w:t>
      </w:r>
    </w:p>
    <w:p>
      <w:pPr>
        <w:pStyle w:val="30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>
      <w:pPr>
        <w:pStyle w:val="30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>
      <w:pPr>
        <w:pStyle w:val="30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>
      <w:pPr>
        <w:pStyle w:val="30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>
      <w:pPr>
        <w:pStyle w:val="30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empresa que vencer a compra direta em que haja comodato de equipamento(s) ou que arcará com o processo de instalação e manutenção do equipamento, assim como, se responsabilizará pelo treinamento dos funcionários;</w:t>
      </w:r>
    </w:p>
    <w:p>
      <w:pPr>
        <w:jc w:val="both"/>
        <w:rPr>
          <w:rFonts w:ascii="Times New Roman" w:hAnsi="Times New Roman" w:cs="Times New Roman"/>
          <w:b/>
        </w:rPr>
      </w:pPr>
    </w:p>
    <w:p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Recife, </w:t>
      </w:r>
      <w:r>
        <w:rPr>
          <w:rFonts w:hint="default" w:ascii="Times New Roman" w:hAnsi="Times New Roman" w:cs="Times New Roman"/>
          <w:b/>
          <w:lang w:val="pt-BR"/>
        </w:rPr>
        <w:t>13</w:t>
      </w:r>
      <w:r>
        <w:rPr>
          <w:rFonts w:ascii="Times New Roman" w:hAnsi="Times New Roman" w:cs="Times New Roman"/>
          <w:b/>
        </w:rPr>
        <w:t xml:space="preserve"> de </w:t>
      </w:r>
      <w:r>
        <w:rPr>
          <w:rFonts w:hint="default" w:ascii="Times New Roman" w:hAnsi="Times New Roman" w:cs="Times New Roman"/>
          <w:b/>
          <w:lang w:val="pt-BR"/>
        </w:rPr>
        <w:t>OUTUBRO</w:t>
      </w:r>
      <w:r>
        <w:rPr>
          <w:rFonts w:ascii="Times New Roman" w:hAnsi="Times New Roman" w:cs="Times New Roman"/>
          <w:b/>
        </w:rPr>
        <w:t xml:space="preserve"> de 2025.</w:t>
      </w:r>
    </w:p>
    <w:p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br w:type="textWrapping"/>
      </w:r>
      <w:r>
        <w:rPr>
          <w:rFonts w:ascii="Times New Roman" w:hAnsi="Times New Roman" w:cs="Times New Roman"/>
        </w:rPr>
        <w:t>_______________________________</w:t>
      </w:r>
    </w:p>
    <w:p>
      <w:pPr>
        <w:spacing w:after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Responsável</w:t>
      </w:r>
    </w:p>
    <w:p>
      <w:pPr>
        <w:spacing w:after="0" w:line="360" w:lineRule="auto"/>
        <w:jc w:val="center"/>
        <w:rPr>
          <w:rFonts w:hint="default" w:ascii="Times New Roman" w:hAnsi="Times New Roman" w:cs="Times New Roman"/>
          <w:b/>
          <w:bCs/>
          <w:lang w:val="pt-BR"/>
        </w:rPr>
      </w:pPr>
      <w:r>
        <w:rPr>
          <w:rFonts w:hint="default" w:ascii="Times New Roman" w:hAnsi="Times New Roman" w:cs="Times New Roman"/>
          <w:b/>
          <w:bCs/>
          <w:lang w:val="pt-BR"/>
        </w:rPr>
        <w:t>GABRIELA RODRIGUES ALMEIDA</w:t>
      </w:r>
    </w:p>
    <w:p>
      <w:pPr>
        <w:spacing w:after="0" w:line="360" w:lineRule="auto"/>
        <w:jc w:val="center"/>
        <w:rPr>
          <w:rFonts w:hint="default" w:ascii="Times New Roman" w:hAnsi="Times New Roman" w:cs="Times New Roman"/>
          <w:b/>
          <w:bCs/>
          <w:lang w:val="pt-BR"/>
        </w:rPr>
      </w:pPr>
      <w:r>
        <w:rPr>
          <w:rFonts w:ascii="Times New Roman" w:hAnsi="Times New Roman" w:cs="Times New Roman"/>
          <w:b/>
          <w:bCs/>
        </w:rPr>
        <w:t xml:space="preserve">Farmacêutico / CRF/PE: </w:t>
      </w:r>
      <w:r>
        <w:rPr>
          <w:rFonts w:hint="default" w:ascii="Times New Roman" w:hAnsi="Times New Roman" w:cs="Times New Roman"/>
          <w:b/>
          <w:bCs/>
          <w:lang w:val="pt-BR"/>
        </w:rPr>
        <w:t>6953</w:t>
      </w:r>
    </w:p>
    <w:p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Setor de Planejamento de Suprimentos - HR</w:t>
      </w:r>
    </w:p>
    <w:p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>
      <w:pPr>
        <w:rPr>
          <w:rFonts w:ascii="Times New Roman" w:hAnsi="Times New Roman" w:cs="Times New Roman"/>
        </w:rPr>
      </w:pPr>
      <w:r>
        <w:drawing>
          <wp:inline distT="0" distB="0" distL="114300" distR="114300">
            <wp:extent cx="6643370" cy="2508885"/>
            <wp:effectExtent l="0" t="0" r="5080" b="571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3370" cy="2508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        </w:t>
      </w:r>
    </w:p>
    <w:p>
      <w:pPr>
        <w:spacing w:after="0" w:line="360" w:lineRule="auto"/>
        <w:jc w:val="center"/>
        <w:rPr>
          <w:sz w:val="18"/>
          <w:szCs w:val="18"/>
        </w:rPr>
      </w:pPr>
      <w:bookmarkStart w:id="0" w:name="_GoBack"/>
      <w:bookmarkEnd w:id="0"/>
    </w:p>
    <w:sectPr>
      <w:headerReference r:id="rId5" w:type="default"/>
      <w:pgSz w:w="11906" w:h="16838"/>
      <w:pgMar w:top="720" w:right="720" w:bottom="720" w:left="720" w:header="708" w:footer="708" w:gutter="0"/>
      <w:pgNumType w:start="1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Georgia">
    <w:panose1 w:val="02040502050405020303"/>
    <w:charset w:val="00"/>
    <w:family w:val="roman"/>
    <w:pitch w:val="default"/>
    <w:sig w:usb0="00000287" w:usb1="00000000" w:usb2="00000000" w:usb3="00000000" w:csb0="2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5"/>
    </w:pPr>
    <w:r>
      <w:rPr>
        <w:lang w:eastAsia="pt-BR"/>
      </w:rPr>
      <w:drawing>
        <wp:inline distT="0" distB="0" distL="0" distR="0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40464926" name="Imagem 2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lang w:eastAsia="pt-BR"/>
      </w:rPr>
      <w:drawing>
        <wp:inline distT="0" distB="0" distL="0" distR="0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8601537" name="Imagem 1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>
    <w:pPr>
      <w:jc w:val="center"/>
      <w:rPr>
        <w:rFonts w:ascii="Times New Roman" w:hAnsi="Times New Roman" w:cs="Times New Roman"/>
        <w:b/>
        <w:sz w:val="20"/>
        <w:szCs w:val="20"/>
      </w:rPr>
    </w:pPr>
    <w:r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>
    <w:pPr>
      <w:jc w:val="center"/>
      <w:rPr>
        <w:rFonts w:ascii="Times New Roman" w:hAnsi="Times New Roman" w:cs="Times New Roman"/>
        <w:b/>
        <w:sz w:val="20"/>
        <w:szCs w:val="20"/>
      </w:rPr>
    </w:pPr>
    <w:r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>
    <w:pPr>
      <w:pStyle w:val="1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FE53F47"/>
    <w:multiLevelType w:val="singleLevel"/>
    <w:tmpl w:val="AFE53F47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5D4D0D82"/>
    <w:multiLevelType w:val="multilevel"/>
    <w:tmpl w:val="5D4D0D82"/>
    <w:lvl w:ilvl="0" w:tentative="0">
      <w:start w:val="1"/>
      <w:numFmt w:val="decimal"/>
      <w:lvlText w:val="%1."/>
      <w:lvlJc w:val="left"/>
      <w:pPr>
        <w:ind w:left="0" w:firstLine="0"/>
      </w:pPr>
      <w:rPr>
        <w:rFonts w:hint="default" w:ascii="Times New Roman" w:hAnsi="Times New Roman" w:eastAsia="Arial" w:cs="Times New Roman"/>
        <w:b/>
        <w:color w:val="auto"/>
        <w:sz w:val="22"/>
        <w:szCs w:val="22"/>
      </w:rPr>
    </w:lvl>
    <w:lvl w:ilvl="1" w:tentative="0">
      <w:start w:val="1"/>
      <w:numFmt w:val="decimal"/>
      <w:lvlText w:val="%1.%2."/>
      <w:lvlJc w:val="left"/>
      <w:pPr>
        <w:ind w:left="708" w:hanging="708"/>
      </w:pPr>
      <w:rPr>
        <w:rFonts w:hint="default" w:ascii="Times New Roman" w:hAnsi="Times New Roman" w:cs="Times New Roman"/>
        <w:color w:val="auto"/>
        <w:sz w:val="22"/>
        <w:szCs w:val="22"/>
      </w:rPr>
    </w:lvl>
    <w:lvl w:ilvl="2" w:tentative="0">
      <w:start w:val="1"/>
      <w:numFmt w:val="decimal"/>
      <w:lvlText w:val="%1.%2.%3."/>
      <w:lvlJc w:val="left"/>
      <w:pPr>
        <w:ind w:left="1080" w:hanging="720"/>
      </w:pPr>
    </w:lvl>
    <w:lvl w:ilvl="3" w:tentative="0">
      <w:start w:val="1"/>
      <w:numFmt w:val="decimal"/>
      <w:lvlText w:val="%1.%2.%3.%4."/>
      <w:lvlJc w:val="left"/>
      <w:pPr>
        <w:ind w:left="1440" w:hanging="1080"/>
      </w:pPr>
    </w:lvl>
    <w:lvl w:ilvl="4" w:tentative="0">
      <w:start w:val="1"/>
      <w:numFmt w:val="decimal"/>
      <w:lvlText w:val="%1.%2.%3.%4.%5."/>
      <w:lvlJc w:val="left"/>
      <w:pPr>
        <w:ind w:left="1440" w:hanging="1080"/>
      </w:pPr>
    </w:lvl>
    <w:lvl w:ilvl="5" w:tentative="0">
      <w:start w:val="1"/>
      <w:numFmt w:val="decimal"/>
      <w:lvlText w:val="%1.%2.%3.%4.%5.%6."/>
      <w:lvlJc w:val="left"/>
      <w:pPr>
        <w:ind w:left="1800" w:hanging="1440"/>
      </w:pPr>
    </w:lvl>
    <w:lvl w:ilvl="6" w:tentative="0">
      <w:start w:val="1"/>
      <w:numFmt w:val="decimal"/>
      <w:lvlText w:val="%1.%2.%3.%4.%5.%6.%7."/>
      <w:lvlJc w:val="left"/>
      <w:pPr>
        <w:ind w:left="2160" w:hanging="1800"/>
      </w:pPr>
    </w:lvl>
    <w:lvl w:ilvl="7" w:tentative="0">
      <w:start w:val="1"/>
      <w:numFmt w:val="decimal"/>
      <w:lvlText w:val="%1.%2.%3.%4.%5.%6.%7.%8."/>
      <w:lvlJc w:val="left"/>
      <w:pPr>
        <w:ind w:left="2160" w:hanging="1800"/>
      </w:pPr>
    </w:lvl>
    <w:lvl w:ilvl="8" w:tentative="0">
      <w:start w:val="1"/>
      <w:numFmt w:val="decimal"/>
      <w:lvlText w:val="%1.%2.%3.%4.%5.%6.%7.%8.%9."/>
      <w:lvlJc w:val="left"/>
      <w:pPr>
        <w:ind w:left="2520" w:hanging="21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720"/>
  <w:hyphenationZone w:val="425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balanceSingleByteDoubleByteWidth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70E"/>
    <w:rsid w:val="0000579D"/>
    <w:rsid w:val="00014CB0"/>
    <w:rsid w:val="0001583D"/>
    <w:rsid w:val="00022416"/>
    <w:rsid w:val="0003313D"/>
    <w:rsid w:val="00036800"/>
    <w:rsid w:val="000371E7"/>
    <w:rsid w:val="00042DBF"/>
    <w:rsid w:val="00045DB7"/>
    <w:rsid w:val="00074EC8"/>
    <w:rsid w:val="000767B8"/>
    <w:rsid w:val="00084970"/>
    <w:rsid w:val="00090758"/>
    <w:rsid w:val="00093880"/>
    <w:rsid w:val="000B1C28"/>
    <w:rsid w:val="000C3E19"/>
    <w:rsid w:val="000D5211"/>
    <w:rsid w:val="000E47D4"/>
    <w:rsid w:val="000E6718"/>
    <w:rsid w:val="000F1958"/>
    <w:rsid w:val="001006FC"/>
    <w:rsid w:val="00107851"/>
    <w:rsid w:val="00112147"/>
    <w:rsid w:val="00112B6B"/>
    <w:rsid w:val="001173FF"/>
    <w:rsid w:val="00123887"/>
    <w:rsid w:val="001309A4"/>
    <w:rsid w:val="00130FA9"/>
    <w:rsid w:val="001412DD"/>
    <w:rsid w:val="00142E84"/>
    <w:rsid w:val="00146C2C"/>
    <w:rsid w:val="001537C0"/>
    <w:rsid w:val="0015418E"/>
    <w:rsid w:val="00162D34"/>
    <w:rsid w:val="00163346"/>
    <w:rsid w:val="001760D9"/>
    <w:rsid w:val="00180C84"/>
    <w:rsid w:val="001854D0"/>
    <w:rsid w:val="001858A6"/>
    <w:rsid w:val="001941A1"/>
    <w:rsid w:val="001A7319"/>
    <w:rsid w:val="001B0881"/>
    <w:rsid w:val="001B7E51"/>
    <w:rsid w:val="001C2736"/>
    <w:rsid w:val="001C3C98"/>
    <w:rsid w:val="001C4CB3"/>
    <w:rsid w:val="001C67C2"/>
    <w:rsid w:val="001E0E27"/>
    <w:rsid w:val="001E746A"/>
    <w:rsid w:val="001F361B"/>
    <w:rsid w:val="001F5CC7"/>
    <w:rsid w:val="001F608C"/>
    <w:rsid w:val="001F7EA4"/>
    <w:rsid w:val="0020361D"/>
    <w:rsid w:val="00206745"/>
    <w:rsid w:val="00222612"/>
    <w:rsid w:val="00222B81"/>
    <w:rsid w:val="0022450D"/>
    <w:rsid w:val="00226D47"/>
    <w:rsid w:val="00234570"/>
    <w:rsid w:val="002371BE"/>
    <w:rsid w:val="0026252C"/>
    <w:rsid w:val="00266045"/>
    <w:rsid w:val="002805DD"/>
    <w:rsid w:val="00283667"/>
    <w:rsid w:val="0028663E"/>
    <w:rsid w:val="002930B3"/>
    <w:rsid w:val="00294146"/>
    <w:rsid w:val="00295950"/>
    <w:rsid w:val="002C0B38"/>
    <w:rsid w:val="002C54B1"/>
    <w:rsid w:val="002C7516"/>
    <w:rsid w:val="002D55EB"/>
    <w:rsid w:val="002E063D"/>
    <w:rsid w:val="002E2780"/>
    <w:rsid w:val="002E2DC0"/>
    <w:rsid w:val="002E5B70"/>
    <w:rsid w:val="002F4A53"/>
    <w:rsid w:val="003079EE"/>
    <w:rsid w:val="003151A4"/>
    <w:rsid w:val="00317D5A"/>
    <w:rsid w:val="00320E88"/>
    <w:rsid w:val="00330F3F"/>
    <w:rsid w:val="00332164"/>
    <w:rsid w:val="003419D1"/>
    <w:rsid w:val="0034216D"/>
    <w:rsid w:val="0036194F"/>
    <w:rsid w:val="00370CBA"/>
    <w:rsid w:val="00372969"/>
    <w:rsid w:val="00372AED"/>
    <w:rsid w:val="00373B29"/>
    <w:rsid w:val="0037571F"/>
    <w:rsid w:val="003803E5"/>
    <w:rsid w:val="00384DAE"/>
    <w:rsid w:val="0038572B"/>
    <w:rsid w:val="00386B2B"/>
    <w:rsid w:val="003A2792"/>
    <w:rsid w:val="003A32DF"/>
    <w:rsid w:val="003B52B0"/>
    <w:rsid w:val="003B63E4"/>
    <w:rsid w:val="003B7717"/>
    <w:rsid w:val="003C3F32"/>
    <w:rsid w:val="003C7DE8"/>
    <w:rsid w:val="003D2A80"/>
    <w:rsid w:val="003D2E8C"/>
    <w:rsid w:val="003E4243"/>
    <w:rsid w:val="003E67C9"/>
    <w:rsid w:val="003F18EA"/>
    <w:rsid w:val="003F50FD"/>
    <w:rsid w:val="0040152A"/>
    <w:rsid w:val="00406FAB"/>
    <w:rsid w:val="004124C1"/>
    <w:rsid w:val="004125A0"/>
    <w:rsid w:val="00414374"/>
    <w:rsid w:val="0041701D"/>
    <w:rsid w:val="004273F2"/>
    <w:rsid w:val="004314D0"/>
    <w:rsid w:val="00437C08"/>
    <w:rsid w:val="00445F7A"/>
    <w:rsid w:val="00457C6C"/>
    <w:rsid w:val="004603FF"/>
    <w:rsid w:val="00470499"/>
    <w:rsid w:val="00475195"/>
    <w:rsid w:val="004779B9"/>
    <w:rsid w:val="00491BD0"/>
    <w:rsid w:val="00495AA9"/>
    <w:rsid w:val="004B0206"/>
    <w:rsid w:val="004B1B10"/>
    <w:rsid w:val="004B5221"/>
    <w:rsid w:val="004C0958"/>
    <w:rsid w:val="004C75A7"/>
    <w:rsid w:val="004D31ED"/>
    <w:rsid w:val="004E42C0"/>
    <w:rsid w:val="00500C29"/>
    <w:rsid w:val="005011D0"/>
    <w:rsid w:val="00503683"/>
    <w:rsid w:val="00513968"/>
    <w:rsid w:val="00516EDB"/>
    <w:rsid w:val="00534438"/>
    <w:rsid w:val="00534782"/>
    <w:rsid w:val="005462F9"/>
    <w:rsid w:val="00550A12"/>
    <w:rsid w:val="00553C5D"/>
    <w:rsid w:val="005542B8"/>
    <w:rsid w:val="00554857"/>
    <w:rsid w:val="0056008A"/>
    <w:rsid w:val="0056606C"/>
    <w:rsid w:val="00570AD7"/>
    <w:rsid w:val="00575D5A"/>
    <w:rsid w:val="00593743"/>
    <w:rsid w:val="00593F39"/>
    <w:rsid w:val="005A01A6"/>
    <w:rsid w:val="005B25D3"/>
    <w:rsid w:val="005B4838"/>
    <w:rsid w:val="005C1809"/>
    <w:rsid w:val="005C6798"/>
    <w:rsid w:val="005E7D8D"/>
    <w:rsid w:val="006017DB"/>
    <w:rsid w:val="0060277C"/>
    <w:rsid w:val="0060370E"/>
    <w:rsid w:val="00603F16"/>
    <w:rsid w:val="00616DA7"/>
    <w:rsid w:val="006171F1"/>
    <w:rsid w:val="00623529"/>
    <w:rsid w:val="00642D0B"/>
    <w:rsid w:val="006440A2"/>
    <w:rsid w:val="006540C7"/>
    <w:rsid w:val="00665CC0"/>
    <w:rsid w:val="00665E5C"/>
    <w:rsid w:val="00675948"/>
    <w:rsid w:val="006A2AF1"/>
    <w:rsid w:val="006A49DB"/>
    <w:rsid w:val="006A52A8"/>
    <w:rsid w:val="006A5F4C"/>
    <w:rsid w:val="006B46B9"/>
    <w:rsid w:val="006B5DB0"/>
    <w:rsid w:val="006C192E"/>
    <w:rsid w:val="006D27B8"/>
    <w:rsid w:val="006E2867"/>
    <w:rsid w:val="006E3AEB"/>
    <w:rsid w:val="006E6CA7"/>
    <w:rsid w:val="006E6E48"/>
    <w:rsid w:val="006F60C9"/>
    <w:rsid w:val="00701AB6"/>
    <w:rsid w:val="00707C91"/>
    <w:rsid w:val="0071302C"/>
    <w:rsid w:val="0071480B"/>
    <w:rsid w:val="00717B19"/>
    <w:rsid w:val="0072075B"/>
    <w:rsid w:val="007440A8"/>
    <w:rsid w:val="007461D4"/>
    <w:rsid w:val="00750D6C"/>
    <w:rsid w:val="00756730"/>
    <w:rsid w:val="00776F3C"/>
    <w:rsid w:val="007779E7"/>
    <w:rsid w:val="00780927"/>
    <w:rsid w:val="00790DB4"/>
    <w:rsid w:val="00795E90"/>
    <w:rsid w:val="007A3E4B"/>
    <w:rsid w:val="007A47D3"/>
    <w:rsid w:val="007B07D9"/>
    <w:rsid w:val="007B3F14"/>
    <w:rsid w:val="007B4EC4"/>
    <w:rsid w:val="007B60DA"/>
    <w:rsid w:val="007C0DDF"/>
    <w:rsid w:val="007C4074"/>
    <w:rsid w:val="007C4357"/>
    <w:rsid w:val="007C766E"/>
    <w:rsid w:val="007D0D8A"/>
    <w:rsid w:val="007D7069"/>
    <w:rsid w:val="007E7917"/>
    <w:rsid w:val="007F68C5"/>
    <w:rsid w:val="00800369"/>
    <w:rsid w:val="00801961"/>
    <w:rsid w:val="008019AA"/>
    <w:rsid w:val="00802F74"/>
    <w:rsid w:val="008054DC"/>
    <w:rsid w:val="00814BC7"/>
    <w:rsid w:val="0081500D"/>
    <w:rsid w:val="0081586D"/>
    <w:rsid w:val="00816AE8"/>
    <w:rsid w:val="0081757C"/>
    <w:rsid w:val="00832151"/>
    <w:rsid w:val="008343B3"/>
    <w:rsid w:val="00834FCE"/>
    <w:rsid w:val="00835EDE"/>
    <w:rsid w:val="008509AA"/>
    <w:rsid w:val="008555D2"/>
    <w:rsid w:val="008569D6"/>
    <w:rsid w:val="00857A13"/>
    <w:rsid w:val="00866F89"/>
    <w:rsid w:val="0086705B"/>
    <w:rsid w:val="0086730F"/>
    <w:rsid w:val="00872447"/>
    <w:rsid w:val="00891DD8"/>
    <w:rsid w:val="00894CD1"/>
    <w:rsid w:val="008A583C"/>
    <w:rsid w:val="008B570A"/>
    <w:rsid w:val="008D0B7A"/>
    <w:rsid w:val="008D1311"/>
    <w:rsid w:val="008D1A16"/>
    <w:rsid w:val="008E1455"/>
    <w:rsid w:val="008F2842"/>
    <w:rsid w:val="00900CBC"/>
    <w:rsid w:val="009063C6"/>
    <w:rsid w:val="009101B6"/>
    <w:rsid w:val="00920D6A"/>
    <w:rsid w:val="00924D8A"/>
    <w:rsid w:val="009259C7"/>
    <w:rsid w:val="00943AD2"/>
    <w:rsid w:val="00945CD2"/>
    <w:rsid w:val="00961A61"/>
    <w:rsid w:val="009658D0"/>
    <w:rsid w:val="00970F3F"/>
    <w:rsid w:val="0097470E"/>
    <w:rsid w:val="00974DAA"/>
    <w:rsid w:val="0097648B"/>
    <w:rsid w:val="0098762B"/>
    <w:rsid w:val="00994A06"/>
    <w:rsid w:val="009A11E7"/>
    <w:rsid w:val="009C3243"/>
    <w:rsid w:val="009C3EF9"/>
    <w:rsid w:val="009D1887"/>
    <w:rsid w:val="009E2C1E"/>
    <w:rsid w:val="009E2EA2"/>
    <w:rsid w:val="009E4B1C"/>
    <w:rsid w:val="009E5B4F"/>
    <w:rsid w:val="009F0A34"/>
    <w:rsid w:val="00A05B9F"/>
    <w:rsid w:val="00A102A9"/>
    <w:rsid w:val="00A11E06"/>
    <w:rsid w:val="00A15006"/>
    <w:rsid w:val="00A307A3"/>
    <w:rsid w:val="00A36996"/>
    <w:rsid w:val="00A4514B"/>
    <w:rsid w:val="00A45277"/>
    <w:rsid w:val="00A60C44"/>
    <w:rsid w:val="00A61B3E"/>
    <w:rsid w:val="00A8305D"/>
    <w:rsid w:val="00A925DD"/>
    <w:rsid w:val="00A92765"/>
    <w:rsid w:val="00A956A7"/>
    <w:rsid w:val="00A97EB1"/>
    <w:rsid w:val="00AA5F30"/>
    <w:rsid w:val="00AA7E52"/>
    <w:rsid w:val="00AB037C"/>
    <w:rsid w:val="00AC109C"/>
    <w:rsid w:val="00AC10DF"/>
    <w:rsid w:val="00AC464A"/>
    <w:rsid w:val="00AE7CFC"/>
    <w:rsid w:val="00B22698"/>
    <w:rsid w:val="00B24D85"/>
    <w:rsid w:val="00B26F86"/>
    <w:rsid w:val="00B43731"/>
    <w:rsid w:val="00B5726F"/>
    <w:rsid w:val="00B57B20"/>
    <w:rsid w:val="00B7348B"/>
    <w:rsid w:val="00B73D45"/>
    <w:rsid w:val="00B95F88"/>
    <w:rsid w:val="00B96EDF"/>
    <w:rsid w:val="00BB223E"/>
    <w:rsid w:val="00BC41E9"/>
    <w:rsid w:val="00BD2768"/>
    <w:rsid w:val="00BE32A5"/>
    <w:rsid w:val="00BF2FEA"/>
    <w:rsid w:val="00C0402F"/>
    <w:rsid w:val="00C212BB"/>
    <w:rsid w:val="00C26458"/>
    <w:rsid w:val="00C27380"/>
    <w:rsid w:val="00C30352"/>
    <w:rsid w:val="00C32227"/>
    <w:rsid w:val="00C36790"/>
    <w:rsid w:val="00C41B7F"/>
    <w:rsid w:val="00C51CC6"/>
    <w:rsid w:val="00C52EEA"/>
    <w:rsid w:val="00C60369"/>
    <w:rsid w:val="00C727C6"/>
    <w:rsid w:val="00C738DE"/>
    <w:rsid w:val="00C76256"/>
    <w:rsid w:val="00C81E08"/>
    <w:rsid w:val="00C8586E"/>
    <w:rsid w:val="00C8656F"/>
    <w:rsid w:val="00C86E9C"/>
    <w:rsid w:val="00C94AC3"/>
    <w:rsid w:val="00CB06DD"/>
    <w:rsid w:val="00CC48A1"/>
    <w:rsid w:val="00CC5E1A"/>
    <w:rsid w:val="00CC5E8A"/>
    <w:rsid w:val="00CE1355"/>
    <w:rsid w:val="00CE699E"/>
    <w:rsid w:val="00CF2BF7"/>
    <w:rsid w:val="00CF62BB"/>
    <w:rsid w:val="00D00905"/>
    <w:rsid w:val="00D13096"/>
    <w:rsid w:val="00D16574"/>
    <w:rsid w:val="00D20255"/>
    <w:rsid w:val="00D35A77"/>
    <w:rsid w:val="00D35F69"/>
    <w:rsid w:val="00D37170"/>
    <w:rsid w:val="00D40C06"/>
    <w:rsid w:val="00D56430"/>
    <w:rsid w:val="00D73DC7"/>
    <w:rsid w:val="00D748C8"/>
    <w:rsid w:val="00D9177F"/>
    <w:rsid w:val="00D918F8"/>
    <w:rsid w:val="00D96149"/>
    <w:rsid w:val="00DA3271"/>
    <w:rsid w:val="00DA6FDE"/>
    <w:rsid w:val="00DC6B1F"/>
    <w:rsid w:val="00DD0D17"/>
    <w:rsid w:val="00DD1D89"/>
    <w:rsid w:val="00DE0C3C"/>
    <w:rsid w:val="00DE1DD5"/>
    <w:rsid w:val="00DE39BF"/>
    <w:rsid w:val="00DF1BE9"/>
    <w:rsid w:val="00DF37F9"/>
    <w:rsid w:val="00DF6976"/>
    <w:rsid w:val="00E00E37"/>
    <w:rsid w:val="00E14557"/>
    <w:rsid w:val="00E2119E"/>
    <w:rsid w:val="00E35CED"/>
    <w:rsid w:val="00E44031"/>
    <w:rsid w:val="00E55EB5"/>
    <w:rsid w:val="00E66A01"/>
    <w:rsid w:val="00E76325"/>
    <w:rsid w:val="00E9483D"/>
    <w:rsid w:val="00EA45A2"/>
    <w:rsid w:val="00EB1E9E"/>
    <w:rsid w:val="00EB6101"/>
    <w:rsid w:val="00EB76BD"/>
    <w:rsid w:val="00EC0147"/>
    <w:rsid w:val="00EC7628"/>
    <w:rsid w:val="00EE21F5"/>
    <w:rsid w:val="00EE4102"/>
    <w:rsid w:val="00EE49A6"/>
    <w:rsid w:val="00EE5597"/>
    <w:rsid w:val="00EE722B"/>
    <w:rsid w:val="00F017BE"/>
    <w:rsid w:val="00F050EF"/>
    <w:rsid w:val="00F06588"/>
    <w:rsid w:val="00F12DE3"/>
    <w:rsid w:val="00F31DDA"/>
    <w:rsid w:val="00F330BD"/>
    <w:rsid w:val="00F43E0A"/>
    <w:rsid w:val="00F4680C"/>
    <w:rsid w:val="00F52FE9"/>
    <w:rsid w:val="00F57E8C"/>
    <w:rsid w:val="00F64DB5"/>
    <w:rsid w:val="00F708B7"/>
    <w:rsid w:val="00F85DAC"/>
    <w:rsid w:val="00F939CE"/>
    <w:rsid w:val="00FA4564"/>
    <w:rsid w:val="00FB38A4"/>
    <w:rsid w:val="00FB7F81"/>
    <w:rsid w:val="00FC2F3E"/>
    <w:rsid w:val="00FD39D2"/>
    <w:rsid w:val="00FF2B19"/>
    <w:rsid w:val="00FF3A7A"/>
    <w:rsid w:val="00FF65C0"/>
    <w:rsid w:val="02153E18"/>
    <w:rsid w:val="045955FB"/>
    <w:rsid w:val="109E5D0B"/>
    <w:rsid w:val="12D81BBB"/>
    <w:rsid w:val="13167B42"/>
    <w:rsid w:val="15A53947"/>
    <w:rsid w:val="291F70FA"/>
    <w:rsid w:val="32BB77EE"/>
    <w:rsid w:val="3EF81CC0"/>
    <w:rsid w:val="400E1BD9"/>
    <w:rsid w:val="46EA5186"/>
    <w:rsid w:val="4A2E66E5"/>
    <w:rsid w:val="4C617760"/>
    <w:rsid w:val="4D032C00"/>
    <w:rsid w:val="55AE6D26"/>
    <w:rsid w:val="55CE2AE4"/>
    <w:rsid w:val="66B40B0F"/>
    <w:rsid w:val="68D46D3E"/>
    <w:rsid w:val="73995E74"/>
    <w:rsid w:val="7415553B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Calibri"/>
      <w:sz w:val="22"/>
      <w:szCs w:val="22"/>
      <w:lang w:val="pt-BR" w:eastAsia="en-US" w:bidi="ar-SA"/>
    </w:rPr>
  </w:style>
  <w:style w:type="paragraph" w:styleId="2">
    <w:name w:val="heading 1"/>
    <w:basedOn w:val="3"/>
    <w:next w:val="3"/>
    <w:qFormat/>
    <w:uiPriority w:val="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4">
    <w:name w:val="heading 2"/>
    <w:basedOn w:val="3"/>
    <w:next w:val="3"/>
    <w:qFormat/>
    <w:uiPriority w:val="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5">
    <w:name w:val="heading 3"/>
    <w:basedOn w:val="3"/>
    <w:next w:val="3"/>
    <w:qFormat/>
    <w:uiPriority w:val="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6">
    <w:name w:val="heading 4"/>
    <w:basedOn w:val="3"/>
    <w:next w:val="3"/>
    <w:qFormat/>
    <w:uiPriority w:val="0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7">
    <w:name w:val="heading 5"/>
    <w:basedOn w:val="3"/>
    <w:next w:val="3"/>
    <w:qFormat/>
    <w:uiPriority w:val="0"/>
    <w:pPr>
      <w:keepNext/>
      <w:keepLines/>
      <w:spacing w:before="220" w:after="40"/>
      <w:outlineLvl w:val="4"/>
    </w:pPr>
    <w:rPr>
      <w:b/>
    </w:rPr>
  </w:style>
  <w:style w:type="paragraph" w:styleId="8">
    <w:name w:val="heading 6"/>
    <w:basedOn w:val="3"/>
    <w:next w:val="3"/>
    <w:qFormat/>
    <w:uiPriority w:val="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">
    <w:name w:val="Normal1"/>
    <w:qFormat/>
    <w:uiPriority w:val="0"/>
    <w:pPr>
      <w:spacing w:after="200" w:line="276" w:lineRule="auto"/>
    </w:pPr>
    <w:rPr>
      <w:rFonts w:ascii="Calibri" w:hAnsi="Calibri" w:eastAsia="Calibri" w:cs="Calibri"/>
      <w:sz w:val="22"/>
      <w:szCs w:val="22"/>
      <w:lang w:val="pt-BR" w:eastAsia="pt-BR" w:bidi="ar-SA"/>
    </w:rPr>
  </w:style>
  <w:style w:type="character" w:styleId="11">
    <w:name w:val="Strong"/>
    <w:basedOn w:val="9"/>
    <w:qFormat/>
    <w:uiPriority w:val="22"/>
    <w:rPr>
      <w:b/>
      <w:bCs/>
    </w:rPr>
  </w:style>
  <w:style w:type="character" w:styleId="12">
    <w:name w:val="Hyperlink"/>
    <w:unhideWhenUsed/>
    <w:qFormat/>
    <w:uiPriority w:val="99"/>
    <w:rPr>
      <w:color w:val="0000FF"/>
      <w:u w:val="single"/>
    </w:rPr>
  </w:style>
  <w:style w:type="paragraph" w:styleId="13">
    <w:name w:val="Title"/>
    <w:basedOn w:val="3"/>
    <w:next w:val="3"/>
    <w:qFormat/>
    <w:uiPriority w:val="0"/>
    <w:pPr>
      <w:keepNext/>
      <w:keepLines/>
      <w:spacing w:before="480" w:after="120"/>
    </w:pPr>
    <w:rPr>
      <w:b/>
      <w:sz w:val="72"/>
      <w:szCs w:val="72"/>
    </w:rPr>
  </w:style>
  <w:style w:type="paragraph" w:styleId="14">
    <w:name w:val="Normal (Web)"/>
    <w:basedOn w:val="1"/>
    <w:semiHidden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15">
    <w:name w:val="header"/>
    <w:basedOn w:val="1"/>
    <w:link w:val="2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6">
    <w:name w:val="footer"/>
    <w:basedOn w:val="1"/>
    <w:link w:val="22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7">
    <w:name w:val="Balloon Text"/>
    <w:basedOn w:val="1"/>
    <w:link w:val="23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18">
    <w:name w:val="Subtitle"/>
    <w:basedOn w:val="1"/>
    <w:next w:val="1"/>
    <w:qFormat/>
    <w:uiPriority w:val="0"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styleId="19">
    <w:name w:val="Table Grid"/>
    <w:basedOn w:val="10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customStyle="1" w:styleId="20">
    <w:name w:val="Table Normal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1">
    <w:name w:val="Cabeçalho Char"/>
    <w:basedOn w:val="9"/>
    <w:link w:val="15"/>
    <w:qFormat/>
    <w:uiPriority w:val="99"/>
  </w:style>
  <w:style w:type="character" w:customStyle="1" w:styleId="22">
    <w:name w:val="Rodapé Char"/>
    <w:basedOn w:val="9"/>
    <w:link w:val="16"/>
    <w:qFormat/>
    <w:uiPriority w:val="99"/>
  </w:style>
  <w:style w:type="character" w:customStyle="1" w:styleId="23">
    <w:name w:val="Texto de balão Char"/>
    <w:link w:val="17"/>
    <w:semiHidden/>
    <w:qFormat/>
    <w:uiPriority w:val="99"/>
    <w:rPr>
      <w:rFonts w:ascii="Tahoma" w:hAnsi="Tahoma" w:cs="Tahoma"/>
      <w:sz w:val="16"/>
      <w:szCs w:val="16"/>
    </w:rPr>
  </w:style>
  <w:style w:type="paragraph" w:styleId="24">
    <w:name w:val="List Paragraph"/>
    <w:basedOn w:val="1"/>
    <w:qFormat/>
    <w:uiPriority w:val="34"/>
    <w:pPr>
      <w:ind w:left="720"/>
      <w:contextualSpacing/>
    </w:pPr>
  </w:style>
  <w:style w:type="character" w:customStyle="1" w:styleId="25">
    <w:name w:val="Menção Pendente1"/>
    <w:semiHidden/>
    <w:unhideWhenUsed/>
    <w:qFormat/>
    <w:uiPriority w:val="99"/>
    <w:rPr>
      <w:color w:val="605E5C"/>
      <w:shd w:val="clear" w:color="auto" w:fill="E1DFDD"/>
    </w:rPr>
  </w:style>
  <w:style w:type="table" w:customStyle="1" w:styleId="26">
    <w:name w:val="_Style 23"/>
    <w:basedOn w:val="20"/>
    <w:qFormat/>
    <w:uiPriority w:val="0"/>
    <w:tblPr>
      <w:tblCellMar>
        <w:left w:w="115" w:type="dxa"/>
        <w:right w:w="115" w:type="dxa"/>
      </w:tblCellMar>
    </w:tblPr>
  </w:style>
  <w:style w:type="paragraph" w:customStyle="1" w:styleId="27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Times New Roman" w:hAnsi="Times New Roman" w:eastAsia="Calibri" w:cs="Times New Roman"/>
      <w:color w:val="000000"/>
      <w:sz w:val="24"/>
      <w:szCs w:val="24"/>
      <w:lang w:val="pt-BR" w:eastAsia="pt-BR" w:bidi="ar-SA"/>
    </w:rPr>
  </w:style>
  <w:style w:type="character" w:customStyle="1" w:styleId="28">
    <w:name w:val="Fonte parág. padrão1"/>
    <w:qFormat/>
    <w:uiPriority w:val="0"/>
  </w:style>
  <w:style w:type="paragraph" w:customStyle="1" w:styleId="29">
    <w:name w:val="dou-paragraph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30">
    <w:name w:val="No Spacing"/>
    <w:qFormat/>
    <w:uiPriority w:val="1"/>
    <w:pPr>
      <w:spacing w:after="0" w:line="240" w:lineRule="auto"/>
    </w:pPr>
    <w:rPr>
      <w:rFonts w:ascii="Calibri" w:hAnsi="Calibri" w:eastAsia="Calibri" w:cs="Calibri"/>
      <w:sz w:val="22"/>
      <w:szCs w:val="22"/>
      <w:lang w:val="pt-BR" w:eastAsia="en-US" w:bidi="ar-SA"/>
    </w:rPr>
  </w:style>
  <w:style w:type="paragraph" w:customStyle="1" w:styleId="31">
    <w:name w:val="texto_justificado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3.png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3.xml"/><Relationship Id="rId10" Type="http://schemas.openxmlformats.org/officeDocument/2006/relationships/customXml" Target="../customXml/item2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/>
</ds:datastoreItem>
</file>

<file path=customXml/itemProps3.xml><?xml version="1.0" encoding="utf-8"?>
<ds:datastoreItem xmlns:ds="http://schemas.openxmlformats.org/officeDocument/2006/customXml" ds:itemID="{DE7C42EB-1352-480C-A763-CE2C23A269A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880</Words>
  <Characters>4755</Characters>
  <Lines>1</Lines>
  <Paragraphs>1</Paragraphs>
  <TotalTime>105</TotalTime>
  <ScaleCrop>false</ScaleCrop>
  <LinksUpToDate>false</LinksUpToDate>
  <CharactersWithSpaces>5624</CharactersWithSpaces>
  <Application>WPS Office_12.2.0.13266_F1E327BC-269C-435d-A152-05C5408002CA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2024-03-22T13:09:00Z</dcterms:created>
  <dc:creator>rmf7647639</dc:creator>
  <cp:lastModifiedBy>gabriela.ralmeida</cp:lastModifiedBy>
  <cp:lastPrinted>2025-10-13T17:48:12Z</cp:lastPrinted>
  <dcterms:modified xsi:type="dcterms:W3CDTF">2025-10-13T17:48:30Z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1046-12.2.0.13266</vt:lpwstr>
  </property>
  <property fmtid="{D5CDD505-2E9C-101B-9397-08002B2CF9AE}" pid="3" name="ICV">
    <vt:lpwstr>6D5184BC973E425399A1D543B300EEAC_12</vt:lpwstr>
  </property>
</Properties>
</file>