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7E25" w:rsidRDefault="00967E25">
      <w:pPr>
        <w:widowControl w:val="0"/>
        <w:spacing w:line="276" w:lineRule="auto"/>
        <w:rPr>
          <w:sz w:val="24"/>
          <w:szCs w:val="24"/>
        </w:rPr>
      </w:pPr>
    </w:p>
    <w:p w:rsidR="00967E25" w:rsidRDefault="00936B82">
      <w:pPr>
        <w:widowControl w:val="0"/>
        <w:ind w:left="4797"/>
        <w:rPr>
          <w:rFonts w:ascii="Times New Roman" w:eastAsia="Times New Roman" w:hAnsi="Times New Roman" w:cs="Times New Roman"/>
          <w:color w:val="000000"/>
          <w:sz w:val="20"/>
          <w:szCs w:val="20"/>
        </w:rPr>
      </w:pPr>
      <w:r>
        <w:rPr>
          <w:noProof/>
          <w:sz w:val="24"/>
          <w:szCs w:val="24"/>
          <w:lang w:val="pt-BR" w:eastAsia="pt-BR"/>
        </w:rPr>
        <w:drawing>
          <wp:inline distT="0" distB="0" distL="0" distR="0">
            <wp:extent cx="622935" cy="594360"/>
            <wp:effectExtent l="0" t="0" r="0" b="0"/>
            <wp:docPr id="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pic:cNvPicPr>
                      <a:picLocks noChangeAspect="1" noChangeArrowheads="1"/>
                    </pic:cNvPicPr>
                  </pic:nvPicPr>
                  <pic:blipFill>
                    <a:blip r:embed="rId8"/>
                    <a:stretch>
                      <a:fillRect/>
                    </a:stretch>
                  </pic:blipFill>
                  <pic:spPr bwMode="auto">
                    <a:xfrm>
                      <a:off x="0" y="0"/>
                      <a:ext cx="622935" cy="594360"/>
                    </a:xfrm>
                    <a:prstGeom prst="rect">
                      <a:avLst/>
                    </a:prstGeom>
                  </pic:spPr>
                </pic:pic>
              </a:graphicData>
            </a:graphic>
          </wp:inline>
        </w:drawing>
      </w:r>
    </w:p>
    <w:p w:rsidR="00967E25" w:rsidRDefault="00936B82">
      <w:pPr>
        <w:spacing w:before="129"/>
        <w:ind w:left="3226" w:right="2621" w:firstLine="721"/>
        <w:rPr>
          <w:sz w:val="20"/>
          <w:szCs w:val="20"/>
        </w:rPr>
      </w:pPr>
      <w:r>
        <w:rPr>
          <w:sz w:val="24"/>
          <w:szCs w:val="24"/>
        </w:rPr>
        <w:t>MINISTÉRIO DA EDUCAÇÃO INSTITUTO FEDERAL DO ESPÍRITO SANTO</w:t>
      </w:r>
    </w:p>
    <w:p w:rsidR="00967E25" w:rsidRDefault="00936B82">
      <w:pPr>
        <w:spacing w:before="1"/>
        <w:ind w:left="4515"/>
        <w:rPr>
          <w:sz w:val="20"/>
          <w:szCs w:val="20"/>
        </w:rPr>
      </w:pPr>
      <w:r>
        <w:rPr>
          <w:sz w:val="24"/>
          <w:szCs w:val="24"/>
        </w:rPr>
        <w:t>CAMPUS PIÚMA</w:t>
      </w:r>
    </w:p>
    <w:p w:rsidR="00967E25" w:rsidRDefault="00967E25">
      <w:pPr>
        <w:widowControl w:val="0"/>
        <w:spacing w:before="9"/>
        <w:rPr>
          <w:color w:val="000000"/>
          <w:sz w:val="24"/>
          <w:szCs w:val="24"/>
        </w:rPr>
      </w:pPr>
    </w:p>
    <w:p w:rsidR="00967E25" w:rsidRDefault="00936B82">
      <w:pPr>
        <w:pStyle w:val="Ttulo1"/>
        <w:ind w:left="811" w:right="207" w:firstLine="0"/>
        <w:jc w:val="center"/>
      </w:pPr>
      <w:r>
        <w:t>AV</w:t>
      </w:r>
      <w:r w:rsidR="00A939AE">
        <w:t>ISO DE DISPENSA ELETRÔNICA Nº 14</w:t>
      </w:r>
      <w:bookmarkStart w:id="0" w:name="_GoBack"/>
      <w:bookmarkEnd w:id="0"/>
      <w:r>
        <w:t>/2022</w:t>
      </w:r>
    </w:p>
    <w:p w:rsidR="00967E25" w:rsidRDefault="00936B82">
      <w:pPr>
        <w:spacing w:before="60"/>
        <w:ind w:left="811" w:right="189"/>
        <w:jc w:val="center"/>
        <w:rPr>
          <w:b/>
          <w:sz w:val="24"/>
          <w:szCs w:val="24"/>
        </w:rPr>
      </w:pPr>
      <w:r>
        <w:rPr>
          <w:b/>
          <w:sz w:val="24"/>
          <w:szCs w:val="24"/>
        </w:rPr>
        <w:t>(Processo Administrativo n.° 23185.000580/2022-33)</w:t>
      </w:r>
    </w:p>
    <w:p w:rsidR="00967E25" w:rsidRDefault="00967E25">
      <w:pPr>
        <w:widowControl w:val="0"/>
        <w:rPr>
          <w:b/>
          <w:color w:val="000000"/>
          <w:sz w:val="24"/>
          <w:szCs w:val="24"/>
        </w:rPr>
      </w:pPr>
    </w:p>
    <w:p w:rsidR="00967E25" w:rsidRDefault="00936B82">
      <w:pPr>
        <w:pStyle w:val="Ttulo2"/>
        <w:spacing w:before="196" w:line="276" w:lineRule="auto"/>
        <w:ind w:left="1042" w:right="405" w:firstLine="538"/>
      </w:pPr>
      <w:r>
        <w:t xml:space="preserve">Torna-se público que o IFES – </w:t>
      </w:r>
      <w:r>
        <w:rPr>
          <w:rFonts w:eastAsia="Carlito" w:cs="Carlito"/>
          <w:i/>
        </w:rPr>
        <w:t xml:space="preserve">Campus </w:t>
      </w:r>
      <w:r>
        <w:t xml:space="preserve">Piúma, por meio da </w:t>
      </w:r>
      <w:r>
        <w:rPr>
          <w:color w:val="FF0000"/>
        </w:rPr>
        <w:t>Coordenadoria de Licitações e Compras</w:t>
      </w:r>
      <w:r>
        <w:t xml:space="preserve">, realizará Dispensa Eletrônica, com critério de julgamento </w:t>
      </w:r>
      <w:r>
        <w:rPr>
          <w:rFonts w:eastAsia="Carlito" w:cs="Carlito"/>
          <w:i/>
          <w:color w:val="FF0000"/>
        </w:rPr>
        <w:t>menor preço</w:t>
      </w:r>
      <w:r>
        <w:rPr>
          <w:b/>
          <w:i/>
          <w:color w:val="FF0000"/>
        </w:rPr>
        <w:t xml:space="preserve">, </w:t>
      </w:r>
      <w:r>
        <w:t>na hipótese do art. 75</w:t>
      </w:r>
      <w:r>
        <w:rPr>
          <w:rFonts w:eastAsia="Carlito" w:cs="Carlito"/>
          <w:i/>
        </w:rPr>
        <w:t xml:space="preserve">, </w:t>
      </w:r>
      <w:r>
        <w:rPr>
          <w:rFonts w:eastAsia="Carlito" w:cs="Carlito"/>
          <w:i/>
          <w:color w:val="FF0000"/>
        </w:rPr>
        <w:t xml:space="preserve">inciso </w:t>
      </w:r>
      <w:r>
        <w:rPr>
          <w:b/>
          <w:i/>
          <w:color w:val="FF0000"/>
        </w:rPr>
        <w:t>II</w:t>
      </w:r>
      <w:r>
        <w:rPr>
          <w:rFonts w:eastAsia="Carlito" w:cs="Carlito"/>
          <w:i/>
          <w:color w:val="FF0000"/>
        </w:rPr>
        <w:t xml:space="preserve">, </w:t>
      </w:r>
      <w:r>
        <w:t>nos termos da Lei nº 14.133, de 1º de abril de 2021, da Instrução Normativa SEGES/ME nº 67/2021 e demais legislação aplicável.</w:t>
      </w:r>
    </w:p>
    <w:p w:rsidR="00967E25" w:rsidRDefault="00967E25">
      <w:pPr>
        <w:widowControl w:val="0"/>
        <w:rPr>
          <w:color w:val="000000"/>
          <w:sz w:val="24"/>
          <w:szCs w:val="24"/>
        </w:rPr>
      </w:pPr>
    </w:p>
    <w:p w:rsidR="00967E25" w:rsidRDefault="00967E25">
      <w:pPr>
        <w:widowControl w:val="0"/>
        <w:rPr>
          <w:color w:val="000000"/>
          <w:sz w:val="24"/>
          <w:szCs w:val="24"/>
        </w:rPr>
      </w:pPr>
    </w:p>
    <w:p w:rsidR="00967E25" w:rsidRDefault="00936B82">
      <w:pPr>
        <w:spacing w:before="55"/>
        <w:ind w:left="1042"/>
        <w:rPr>
          <w:sz w:val="24"/>
          <w:szCs w:val="24"/>
        </w:rPr>
      </w:pPr>
      <w:r>
        <w:rPr>
          <w:sz w:val="24"/>
          <w:szCs w:val="24"/>
          <w:highlight w:val="yellow"/>
        </w:rPr>
        <w:t>Data da sessão: 30/05/2022</w:t>
      </w:r>
    </w:p>
    <w:p w:rsidR="00967E25" w:rsidRDefault="00936B82">
      <w:pPr>
        <w:spacing w:before="17"/>
        <w:ind w:left="1042"/>
      </w:pPr>
      <w:r>
        <w:rPr>
          <w:sz w:val="24"/>
          <w:szCs w:val="24"/>
          <w:highlight w:val="yellow"/>
        </w:rPr>
        <w:t xml:space="preserve">Link: </w:t>
      </w:r>
      <w:hyperlink r:id="rId9">
        <w:r>
          <w:rPr>
            <w:rStyle w:val="ListLabel30"/>
            <w:sz w:val="24"/>
            <w:szCs w:val="24"/>
            <w:highlight w:val="none"/>
          </w:rPr>
          <w:t xml:space="preserve">https://www.gov.br/compras/pt-br/ </w:t>
        </w:r>
      </w:hyperlink>
      <w:r>
        <w:rPr>
          <w:sz w:val="24"/>
          <w:szCs w:val="24"/>
          <w:highlight w:val="yellow"/>
        </w:rPr>
        <w:t>e https://pncp.gov.br/</w:t>
      </w:r>
    </w:p>
    <w:p w:rsidR="00967E25" w:rsidRDefault="00936B82">
      <w:pPr>
        <w:spacing w:before="13"/>
        <w:ind w:left="1042"/>
        <w:rPr>
          <w:sz w:val="24"/>
          <w:szCs w:val="24"/>
        </w:rPr>
      </w:pPr>
      <w:r>
        <w:rPr>
          <w:sz w:val="24"/>
          <w:szCs w:val="24"/>
          <w:highlight w:val="yellow"/>
        </w:rPr>
        <w:t>Horário da Fase de Lances: 9:</w:t>
      </w:r>
      <w:r>
        <w:rPr>
          <w:rFonts w:eastAsia="Carlito" w:cs="Carlito"/>
          <w:i/>
          <w:sz w:val="24"/>
          <w:szCs w:val="24"/>
          <w:highlight w:val="yellow"/>
        </w:rPr>
        <w:t>00 às 15:00</w:t>
      </w:r>
    </w:p>
    <w:p w:rsidR="00967E25" w:rsidRDefault="00967E25">
      <w:pPr>
        <w:widowControl w:val="0"/>
        <w:rPr>
          <w:rFonts w:eastAsia="Carlito" w:cs="Carlito"/>
          <w:i/>
          <w:color w:val="000000"/>
          <w:sz w:val="24"/>
          <w:szCs w:val="24"/>
        </w:rPr>
      </w:pPr>
    </w:p>
    <w:p w:rsidR="00967E25" w:rsidRDefault="00967E25">
      <w:pPr>
        <w:widowControl w:val="0"/>
        <w:spacing w:before="5"/>
        <w:rPr>
          <w:rFonts w:eastAsia="Carlito" w:cs="Carlito"/>
          <w:i/>
          <w:color w:val="000000"/>
          <w:sz w:val="24"/>
          <w:szCs w:val="24"/>
        </w:rPr>
      </w:pPr>
    </w:p>
    <w:p w:rsidR="00967E25" w:rsidRDefault="00936B82">
      <w:pPr>
        <w:pStyle w:val="Ttulo1"/>
        <w:numPr>
          <w:ilvl w:val="0"/>
          <w:numId w:val="9"/>
        </w:numPr>
        <w:tabs>
          <w:tab w:val="left" w:pos="1402"/>
        </w:tabs>
        <w:spacing w:before="1"/>
      </w:pPr>
      <w:r>
        <w:t>OBJETO DA CONTRATAÇÃO DIRETA</w:t>
      </w:r>
    </w:p>
    <w:p w:rsidR="00967E25" w:rsidRDefault="00936B82">
      <w:pPr>
        <w:widowControl w:val="0"/>
        <w:numPr>
          <w:ilvl w:val="1"/>
          <w:numId w:val="9"/>
        </w:numPr>
        <w:tabs>
          <w:tab w:val="left" w:pos="1834"/>
        </w:tabs>
        <w:spacing w:before="182" w:line="283" w:lineRule="auto"/>
        <w:ind w:right="434"/>
        <w:jc w:val="both"/>
        <w:rPr>
          <w:color w:val="000000"/>
          <w:sz w:val="24"/>
          <w:szCs w:val="24"/>
        </w:rPr>
      </w:pPr>
      <w:r>
        <w:rPr>
          <w:color w:val="000000"/>
          <w:sz w:val="24"/>
          <w:szCs w:val="24"/>
        </w:rPr>
        <w:t>O objeto da presente dispensa é a escolha da proposta mais vantajosa para a</w:t>
      </w:r>
      <w:r>
        <w:rPr>
          <w:sz w:val="24"/>
          <w:szCs w:val="24"/>
        </w:rPr>
        <w:t>quisições periódicas de materiais ambulatoriais, com vistas à sua renovação e substituição, para atender às necessidades do (setor) Enfermaria do Ifes Campus Piúma</w:t>
      </w:r>
      <w:r>
        <w:rPr>
          <w:b/>
          <w:color w:val="000000"/>
          <w:sz w:val="24"/>
          <w:szCs w:val="24"/>
        </w:rPr>
        <w:t xml:space="preserve">, </w:t>
      </w:r>
      <w:r>
        <w:rPr>
          <w:color w:val="000000"/>
          <w:sz w:val="24"/>
          <w:szCs w:val="24"/>
        </w:rPr>
        <w:t>conforme condições, quantidades e exigências estabelecidas neste Aviso de Contratação Direta e seus anexos.</w:t>
      </w:r>
    </w:p>
    <w:p w:rsidR="00967E25" w:rsidRDefault="00936B82">
      <w:pPr>
        <w:pStyle w:val="Ttulo2"/>
        <w:numPr>
          <w:ilvl w:val="1"/>
          <w:numId w:val="9"/>
        </w:numPr>
        <w:tabs>
          <w:tab w:val="left" w:pos="1834"/>
        </w:tabs>
        <w:spacing w:before="126"/>
      </w:pPr>
      <w:r>
        <w:t>A contratação será dividida em itens</w:t>
      </w:r>
      <w:r>
        <w:rPr>
          <w:b/>
        </w:rPr>
        <w:t xml:space="preserve">, </w:t>
      </w:r>
      <w:r>
        <w:t>conforme tabela constante abaixo.</w:t>
      </w:r>
    </w:p>
    <w:p w:rsidR="00967E25" w:rsidRDefault="00967E25">
      <w:pPr>
        <w:widowControl w:val="0"/>
        <w:spacing w:before="7"/>
        <w:rPr>
          <w:color w:val="000000"/>
          <w:sz w:val="24"/>
          <w:szCs w:val="24"/>
        </w:rPr>
      </w:pPr>
    </w:p>
    <w:tbl>
      <w:tblPr>
        <w:tblStyle w:val="TableNormal0"/>
        <w:tblW w:w="8963" w:type="dxa"/>
        <w:tblInd w:w="10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
      <w:tblGrid>
        <w:gridCol w:w="825"/>
        <w:gridCol w:w="3925"/>
        <w:gridCol w:w="1211"/>
        <w:gridCol w:w="1153"/>
        <w:gridCol w:w="1409"/>
        <w:gridCol w:w="1548"/>
      </w:tblGrid>
      <w:tr w:rsidR="00967E25">
        <w:trPr>
          <w:trHeight w:val="726"/>
        </w:trPr>
        <w:tc>
          <w:tcPr>
            <w:tcW w:w="720" w:type="dxa"/>
            <w:tcBorders>
              <w:top w:val="single" w:sz="4" w:space="0" w:color="000000"/>
              <w:left w:val="single" w:sz="4" w:space="0" w:color="000000"/>
              <w:bottom w:val="single" w:sz="4" w:space="0" w:color="000000"/>
              <w:right w:val="single" w:sz="4" w:space="0" w:color="000000"/>
            </w:tcBorders>
            <w:shd w:val="clear" w:color="auto" w:fill="CCCCCC"/>
          </w:tcPr>
          <w:p w:rsidR="00967E25" w:rsidRDefault="00936B82">
            <w:pPr>
              <w:widowControl w:val="0"/>
              <w:spacing w:before="214"/>
              <w:ind w:left="115"/>
              <w:jc w:val="center"/>
              <w:rPr>
                <w:rFonts w:ascii="Calibri" w:eastAsia="Calibri" w:hAnsi="Calibri" w:cs="Calibri"/>
                <w:b/>
                <w:color w:val="000000"/>
                <w:sz w:val="24"/>
              </w:rPr>
            </w:pPr>
            <w:r>
              <w:rPr>
                <w:rFonts w:eastAsia="Calibri" w:cs="Calibri"/>
                <w:b/>
                <w:color w:val="000000"/>
                <w:sz w:val="24"/>
                <w:szCs w:val="24"/>
              </w:rPr>
              <w:t>Item</w:t>
            </w:r>
          </w:p>
        </w:tc>
        <w:tc>
          <w:tcPr>
            <w:tcW w:w="3600" w:type="dxa"/>
            <w:tcBorders>
              <w:top w:val="single" w:sz="4" w:space="0" w:color="000000"/>
              <w:left w:val="single" w:sz="4" w:space="0" w:color="000000"/>
              <w:bottom w:val="single" w:sz="4" w:space="0" w:color="000000"/>
              <w:right w:val="single" w:sz="4" w:space="0" w:color="000000"/>
            </w:tcBorders>
            <w:shd w:val="clear" w:color="auto" w:fill="CCCCCC"/>
          </w:tcPr>
          <w:p w:rsidR="00967E25" w:rsidRDefault="00936B82">
            <w:pPr>
              <w:widowControl w:val="0"/>
              <w:spacing w:before="214"/>
              <w:ind w:left="1345" w:right="862" w:hanging="494"/>
              <w:jc w:val="center"/>
              <w:rPr>
                <w:rFonts w:ascii="Calibri" w:eastAsia="Calibri" w:hAnsi="Calibri" w:cs="Calibri"/>
                <w:b/>
                <w:color w:val="000000"/>
                <w:sz w:val="24"/>
              </w:rPr>
            </w:pPr>
            <w:r>
              <w:rPr>
                <w:rFonts w:eastAsia="Calibri" w:cs="Calibri"/>
                <w:b/>
                <w:color w:val="000000"/>
                <w:sz w:val="24"/>
                <w:szCs w:val="24"/>
              </w:rPr>
              <w:t>Especificação</w:t>
            </w:r>
          </w:p>
        </w:tc>
        <w:tc>
          <w:tcPr>
            <w:tcW w:w="1020" w:type="dxa"/>
            <w:tcBorders>
              <w:top w:val="single" w:sz="4" w:space="0" w:color="000000"/>
              <w:left w:val="single" w:sz="4" w:space="0" w:color="000000"/>
              <w:bottom w:val="single" w:sz="4" w:space="0" w:color="000000"/>
              <w:right w:val="single" w:sz="4" w:space="0" w:color="000000"/>
            </w:tcBorders>
            <w:shd w:val="clear" w:color="auto" w:fill="CCCCCC"/>
          </w:tcPr>
          <w:p w:rsidR="00967E25" w:rsidRDefault="00967E25">
            <w:pPr>
              <w:widowControl w:val="0"/>
              <w:jc w:val="center"/>
              <w:rPr>
                <w:rFonts w:eastAsia="Calibri" w:cs="Calibri"/>
                <w:b/>
                <w:color w:val="000000"/>
                <w:sz w:val="24"/>
                <w:szCs w:val="24"/>
              </w:rPr>
            </w:pPr>
          </w:p>
          <w:p w:rsidR="00967E25" w:rsidRDefault="00936B82">
            <w:pPr>
              <w:widowControl w:val="0"/>
              <w:spacing w:before="118"/>
              <w:ind w:right="48"/>
              <w:jc w:val="center"/>
              <w:rPr>
                <w:rFonts w:ascii="Calibri" w:eastAsia="Calibri" w:hAnsi="Calibri" w:cs="Calibri"/>
                <w:b/>
                <w:color w:val="000000"/>
                <w:sz w:val="24"/>
              </w:rPr>
            </w:pPr>
            <w:r>
              <w:rPr>
                <w:rFonts w:eastAsia="Calibri" w:cs="Calibri"/>
                <w:b/>
                <w:color w:val="000000"/>
                <w:sz w:val="24"/>
                <w:szCs w:val="24"/>
              </w:rPr>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CCCCCC"/>
          </w:tcPr>
          <w:p w:rsidR="00967E25" w:rsidRDefault="00967E25">
            <w:pPr>
              <w:widowControl w:val="0"/>
              <w:spacing w:before="10"/>
              <w:jc w:val="center"/>
              <w:rPr>
                <w:rFonts w:eastAsia="Calibri" w:cs="Calibri"/>
                <w:b/>
                <w:color w:val="000000"/>
                <w:sz w:val="24"/>
                <w:szCs w:val="24"/>
              </w:rPr>
            </w:pPr>
          </w:p>
          <w:p w:rsidR="00967E25" w:rsidRDefault="00936B82">
            <w:pPr>
              <w:widowControl w:val="0"/>
              <w:ind w:left="145" w:right="32"/>
              <w:jc w:val="center"/>
              <w:rPr>
                <w:rFonts w:ascii="Calibri" w:eastAsia="Calibri" w:hAnsi="Calibri" w:cs="Calibri"/>
                <w:b/>
                <w:color w:val="000000"/>
                <w:sz w:val="24"/>
              </w:rPr>
            </w:pPr>
            <w:r>
              <w:rPr>
                <w:rFonts w:eastAsia="Calibri" w:cs="Calibri"/>
                <w:b/>
                <w:color w:val="000000"/>
                <w:sz w:val="24"/>
                <w:szCs w:val="24"/>
              </w:rPr>
              <w:t>Quant.</w:t>
            </w:r>
          </w:p>
        </w:tc>
        <w:tc>
          <w:tcPr>
            <w:tcW w:w="1140" w:type="dxa"/>
            <w:tcBorders>
              <w:top w:val="single" w:sz="4" w:space="0" w:color="000000"/>
              <w:left w:val="single" w:sz="4" w:space="0" w:color="000000"/>
              <w:bottom w:val="single" w:sz="4" w:space="0" w:color="000000"/>
              <w:right w:val="single" w:sz="4" w:space="0" w:color="000000"/>
            </w:tcBorders>
            <w:shd w:val="clear" w:color="auto" w:fill="CCCCCC"/>
          </w:tcPr>
          <w:p w:rsidR="00967E25" w:rsidRDefault="00936B82">
            <w:pPr>
              <w:widowControl w:val="0"/>
              <w:spacing w:before="18" w:line="276" w:lineRule="auto"/>
              <w:ind w:left="319" w:right="207" w:hanging="1"/>
              <w:jc w:val="center"/>
              <w:rPr>
                <w:rFonts w:ascii="Calibri" w:eastAsia="Calibri" w:hAnsi="Calibri" w:cs="Calibri"/>
                <w:b/>
                <w:color w:val="000000"/>
                <w:sz w:val="24"/>
              </w:rPr>
            </w:pPr>
            <w:r>
              <w:rPr>
                <w:rFonts w:eastAsia="Calibri" w:cs="Calibri"/>
                <w:b/>
                <w:color w:val="000000"/>
                <w:sz w:val="24"/>
                <w:szCs w:val="24"/>
              </w:rPr>
              <w:t>Preço</w:t>
            </w:r>
          </w:p>
          <w:p w:rsidR="00967E25" w:rsidRDefault="00936B82">
            <w:pPr>
              <w:widowControl w:val="0"/>
              <w:spacing w:line="204" w:lineRule="auto"/>
              <w:ind w:left="108" w:right="-15"/>
              <w:jc w:val="center"/>
              <w:rPr>
                <w:rFonts w:ascii="Calibri" w:eastAsia="Calibri" w:hAnsi="Calibri" w:cs="Calibri"/>
                <w:b/>
                <w:color w:val="000000"/>
                <w:sz w:val="24"/>
              </w:rPr>
            </w:pPr>
            <w:r>
              <w:rPr>
                <w:rFonts w:eastAsia="Calibri" w:cs="Calibri"/>
                <w:b/>
                <w:color w:val="000000"/>
                <w:sz w:val="24"/>
                <w:szCs w:val="24"/>
              </w:rPr>
              <w:t>estimado (R$)</w:t>
            </w:r>
          </w:p>
        </w:tc>
        <w:tc>
          <w:tcPr>
            <w:tcW w:w="1404" w:type="dxa"/>
            <w:tcBorders>
              <w:top w:val="single" w:sz="4" w:space="0" w:color="000000"/>
              <w:left w:val="single" w:sz="4" w:space="0" w:color="000000"/>
              <w:bottom w:val="single" w:sz="4" w:space="0" w:color="000000"/>
              <w:right w:val="single" w:sz="4" w:space="0" w:color="000000"/>
            </w:tcBorders>
            <w:shd w:val="clear" w:color="auto" w:fill="CCCCCC"/>
          </w:tcPr>
          <w:p w:rsidR="00967E25" w:rsidRDefault="00967E25">
            <w:pPr>
              <w:widowControl w:val="0"/>
              <w:spacing w:before="2"/>
              <w:jc w:val="center"/>
              <w:rPr>
                <w:rFonts w:eastAsia="Calibri" w:cs="Calibri"/>
                <w:b/>
                <w:color w:val="000000"/>
                <w:sz w:val="24"/>
                <w:szCs w:val="24"/>
              </w:rPr>
            </w:pPr>
          </w:p>
          <w:p w:rsidR="00967E25" w:rsidRDefault="00936B82">
            <w:pPr>
              <w:widowControl w:val="0"/>
              <w:ind w:left="278" w:hanging="60"/>
              <w:jc w:val="center"/>
              <w:rPr>
                <w:rFonts w:ascii="Calibri" w:eastAsia="Calibri" w:hAnsi="Calibri" w:cs="Calibri"/>
                <w:b/>
                <w:color w:val="000000"/>
                <w:sz w:val="20"/>
                <w:szCs w:val="20"/>
              </w:rPr>
            </w:pPr>
            <w:r>
              <w:rPr>
                <w:rFonts w:eastAsia="Calibri" w:cs="Calibri"/>
                <w:b/>
                <w:color w:val="000000"/>
                <w:sz w:val="24"/>
                <w:szCs w:val="24"/>
              </w:rPr>
              <w:t>Preço total estimado</w:t>
            </w:r>
          </w:p>
        </w:tc>
      </w:tr>
      <w:tr w:rsidR="00967E25">
        <w:trPr>
          <w:trHeight w:val="2385"/>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before="240" w:after="120" w:line="276" w:lineRule="auto"/>
              <w:jc w:val="center"/>
              <w:rPr>
                <w:rFonts w:ascii="Calibri" w:eastAsia="Calibri" w:hAnsi="Calibri" w:cs="Calibri"/>
                <w:b/>
                <w:color w:val="202124"/>
              </w:rPr>
            </w:pPr>
            <w:r>
              <w:rPr>
                <w:rFonts w:eastAsia="Calibri" w:cs="Calibri"/>
                <w:b/>
                <w:color w:val="202124"/>
                <w:sz w:val="24"/>
                <w:szCs w:val="24"/>
              </w:rPr>
              <w:t>1</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rPr>
                <w:rFonts w:ascii="Calibri" w:eastAsia="Calibri" w:hAnsi="Calibri" w:cs="Calibri"/>
                <w:color w:val="202124"/>
              </w:rPr>
            </w:pPr>
            <w:r>
              <w:rPr>
                <w:rFonts w:eastAsia="Calibri" w:cs="Calibri"/>
                <w:b/>
                <w:color w:val="202124"/>
                <w:sz w:val="24"/>
                <w:szCs w:val="24"/>
              </w:rPr>
              <w:t>Bolsa térmica em gel termogel compressa reutilizável quente ou gelada, grande 15,8 X 23,5cm</w:t>
            </w:r>
            <w:r>
              <w:rPr>
                <w:rFonts w:eastAsia="Calibri" w:cs="Calibri"/>
                <w:color w:val="202124"/>
                <w:sz w:val="24"/>
                <w:szCs w:val="24"/>
              </w:rPr>
              <w:t>. Composição: Produto atóxico - gel a base de celulose vegetal Pode ser usada quente ou fria; Não congela,Flexível, leve e prática;Não vaza;Mantém a temperatura por mais tempo que a água;Não tóxica;Reutilizável.ANVISA: 80023590005.</w:t>
            </w:r>
          </w:p>
          <w:p w:rsidR="00967E25" w:rsidRDefault="00967E25">
            <w:pPr>
              <w:spacing w:after="120" w:line="276" w:lineRule="auto"/>
              <w:rPr>
                <w:rFonts w:eastAsia="Calibri" w:cs="Calibri"/>
                <w:color w:val="202124"/>
                <w:sz w:val="24"/>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lastRenderedPageBreak/>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02</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R$ 38,12</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R$ 76,25</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2</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rPr>
                <w:rFonts w:ascii="Calibri" w:eastAsia="Calibri" w:hAnsi="Calibri" w:cs="Calibri"/>
                <w:color w:val="202124"/>
                <w:highlight w:val="white"/>
              </w:rPr>
            </w:pPr>
            <w:r>
              <w:rPr>
                <w:rFonts w:eastAsia="Calibri" w:cs="Calibri"/>
                <w:b/>
                <w:color w:val="202124"/>
                <w:sz w:val="24"/>
                <w:szCs w:val="24"/>
                <w:highlight w:val="white"/>
              </w:rPr>
              <w:t>Tira de Glicemia para teste de glicose on call plus II com chip. Caixa com 50 tiras.</w:t>
            </w:r>
            <w:r>
              <w:rPr>
                <w:rFonts w:eastAsia="Calibri" w:cs="Calibri"/>
                <w:color w:val="202124"/>
                <w:sz w:val="24"/>
                <w:szCs w:val="24"/>
                <w:highlight w:val="white"/>
              </w:rPr>
              <w:t>Tiras para medição de glicose - on call plus ii. Elas servem para medir a quantidade de açúcar no sangue sem precisar sair de casa. Utilizando-as corretamente pode facilitar a tarefa de controlar a doença e monitorar o nível de glicose constantemente. A embalagem das 50 Tiras em frasco aumenta a durabilidade do produto, dando maior comodidade para o transporte e reduzindo o risco de contaminação.As Tiras On Call Plus estão de acordo com todas as normas fabris e técnicas mundiais, além de estar dentro da faixa de precisão estabelecida para todos os fabricantes do mundo.Instruções completas de uso vide bula Registrado pela Anvisa - 80011990002.Val.:03 meses após aberto</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Caixas</w:t>
            </w: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07</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R$ 41,49</w:t>
            </w:r>
          </w:p>
          <w:p w:rsidR="00967E25" w:rsidRDefault="00967E25">
            <w:pPr>
              <w:widowControl w:val="0"/>
              <w:ind w:left="117"/>
              <w:jc w:val="center"/>
              <w:rPr>
                <w:rFonts w:eastAsia="Calibri" w:cs="Calibri"/>
                <w:sz w:val="24"/>
                <w:szCs w:val="24"/>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R$ 290,45</w:t>
            </w:r>
          </w:p>
        </w:tc>
      </w:tr>
      <w:tr w:rsidR="00967E25">
        <w:trPr>
          <w:trHeight w:val="2504"/>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3</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rPr>
                <w:rFonts w:ascii="Calibri" w:eastAsia="Calibri" w:hAnsi="Calibri" w:cs="Calibri"/>
                <w:color w:val="202124"/>
              </w:rPr>
            </w:pPr>
            <w:r>
              <w:rPr>
                <w:rFonts w:eastAsia="Calibri" w:cs="Calibri"/>
                <w:b/>
                <w:color w:val="202124"/>
                <w:sz w:val="24"/>
                <w:szCs w:val="24"/>
                <w:highlight w:val="white"/>
              </w:rPr>
              <w:t xml:space="preserve">Bolsa térmica em gel termogel compressa reutilizável quente ou gelada, pequena 13X18 cm </w:t>
            </w:r>
            <w:r>
              <w:rPr>
                <w:rFonts w:eastAsia="Calibri" w:cs="Calibri"/>
                <w:color w:val="202124"/>
                <w:sz w:val="24"/>
                <w:szCs w:val="24"/>
              </w:rPr>
              <w:t>Composição: Produto atóxico - gel a base de celulose vegetal Pode ser usada quente ou fria; Não congela,Flexível, leve e prática;Não vaza;Mantém a temperatura por mais tempo que a água;Não tóxica;Reutilizável.ANVISA: 80023590005.</w:t>
            </w:r>
          </w:p>
          <w:p w:rsidR="00967E25" w:rsidRDefault="00967E25">
            <w:pPr>
              <w:spacing w:after="120" w:line="276" w:lineRule="auto"/>
              <w:rPr>
                <w:rFonts w:eastAsia="Calibri" w:cs="Calibri"/>
                <w:color w:val="202124"/>
                <w:sz w:val="24"/>
                <w:szCs w:val="24"/>
              </w:rPr>
            </w:pPr>
          </w:p>
          <w:p w:rsidR="00967E25" w:rsidRDefault="00967E25">
            <w:pPr>
              <w:spacing w:after="120" w:line="276" w:lineRule="auto"/>
              <w:jc w:val="center"/>
              <w:rPr>
                <w:rFonts w:eastAsia="Calibri" w:cs="Calibri"/>
                <w:b/>
                <w:color w:val="202124"/>
                <w:sz w:val="24"/>
                <w:szCs w:val="24"/>
                <w:highlight w:val="white"/>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lastRenderedPageBreak/>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02</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R$ 28,79</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R$ 57,58</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4</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tabs>
                <w:tab w:val="left" w:pos="372"/>
              </w:tabs>
              <w:spacing w:after="120" w:line="276" w:lineRule="auto"/>
              <w:rPr>
                <w:rFonts w:ascii="Calibri" w:eastAsia="Calibri" w:hAnsi="Calibri" w:cs="Calibri"/>
                <w:color w:val="202124"/>
                <w:highlight w:val="white"/>
              </w:rPr>
            </w:pPr>
            <w:r>
              <w:rPr>
                <w:rFonts w:eastAsia="Calibri" w:cs="Calibri"/>
                <w:b/>
                <w:color w:val="202124"/>
                <w:sz w:val="24"/>
                <w:szCs w:val="24"/>
                <w:highlight w:val="white"/>
              </w:rPr>
              <w:t>Atadura de crepom 13 fios, 10 X 1,80m</w:t>
            </w:r>
            <w:r>
              <w:rPr>
                <w:rFonts w:eastAsia="Calibri" w:cs="Calibri"/>
                <w:color w:val="202124"/>
                <w:sz w:val="24"/>
                <w:szCs w:val="24"/>
                <w:highlight w:val="white"/>
              </w:rPr>
              <w:t>. Utilização em terapia compressiva. Aplicações ortopédicas como imobilizações e enfaixamentos. Fixação de curativos. Prevenção de contusões em atividades esportivas.As ataduras são confeccionadas em tecido de alta qualidade, conferindo ao produto grande elasticidade no sentido longitudinal.Características do produto:Sem desfiamento lateral;Compressão uniforme;Enfaixamento perfeito; Atadura com 1,80m em repouso e alcance de 4,50m esticada;Elasticidade adequada, macia e isenta de fio soltos. Recomendações:Produto não é estéril, pode ser esterilizado em autoclave, óxido de etileno ou irradiação gama. Recomenda-se uso por pessoas habilitadas na área de ortopedia e fisioterapia.Precauções:Conservar em local limpo, seco e ao abrigo da luz;Produto de uso único. Destruir após o uso. Proibido reprocessar. Válido por 05 anos a partir da data de fabricação, enquanto a embalagem não for aberta, danificada ou molhada.</w:t>
            </w:r>
          </w:p>
          <w:p w:rsidR="00967E25" w:rsidRDefault="00967E25">
            <w:pPr>
              <w:tabs>
                <w:tab w:val="left" w:pos="372"/>
              </w:tabs>
              <w:spacing w:after="120" w:line="276" w:lineRule="auto"/>
              <w:rPr>
                <w:rFonts w:eastAsia="Calibri" w:cs="Calibri"/>
                <w:color w:val="202124"/>
                <w:sz w:val="24"/>
                <w:szCs w:val="24"/>
                <w:highlight w:val="white"/>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Rolos</w:t>
            </w: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12</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R$ 0,64</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R$ 7,64</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rPr>
                <w:rFonts w:ascii="Calibri" w:eastAsia="Calibri" w:hAnsi="Calibri" w:cs="Calibri"/>
                <w:b/>
                <w:color w:val="202124"/>
              </w:rPr>
            </w:pPr>
            <w:r>
              <w:rPr>
                <w:rFonts w:eastAsia="Calibri" w:cs="Calibri"/>
                <w:b/>
                <w:color w:val="202124"/>
                <w:sz w:val="24"/>
                <w:szCs w:val="24"/>
              </w:rPr>
              <w:lastRenderedPageBreak/>
              <w:t>5</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rPr>
                <w:rFonts w:ascii="Calibri" w:eastAsia="Calibri" w:hAnsi="Calibri" w:cs="Calibri"/>
                <w:color w:val="202124"/>
                <w:highlight w:val="white"/>
              </w:rPr>
            </w:pPr>
            <w:r>
              <w:rPr>
                <w:rFonts w:eastAsia="Calibri" w:cs="Calibri"/>
                <w:b/>
                <w:color w:val="202124"/>
                <w:sz w:val="24"/>
                <w:szCs w:val="24"/>
                <w:highlight w:val="white"/>
              </w:rPr>
              <w:t xml:space="preserve">Atadura de crepom 13 fios, 15X 1,80 </w:t>
            </w:r>
            <w:r>
              <w:rPr>
                <w:rFonts w:eastAsia="Calibri" w:cs="Calibri"/>
                <w:color w:val="202124"/>
                <w:sz w:val="24"/>
                <w:szCs w:val="24"/>
                <w:highlight w:val="white"/>
              </w:rPr>
              <w:t>Utilização em terapia compressiva. Aplicações ortopédicas como imobilizações e enfaixamentos. Fixação de curativos. Prevenção de contusões em atividades esportivas.As ataduras são confeccionadas em tecido de alta qualidade, conferindo ao produto grande elasticidade no sentido longitudinal.Características do produto:Sem desfiamento lateral;Compressão uniforme;Enfaixamento perfeito; Atadura com 1,80m em repouso e alcance de 4,50m esticada;Elasticidade adequada, macia e isenta de fios soltos.Recomendações:Produto não é estéril, pode ser esterilizado em autoclave, óxido de etileno ou irradiação gama. Recomenda-se uso por pessoas habilitadas na área de ortopedia e fisioterapia.Precauções:Conservar em local limpo, seco e ao abrigo da luz;Produto de uso único. Destruir após o uso. Proibido reprocessar.Válido por 05 anos a partir da data de fabricação, enquanto a embalagem não for aberta, danificada ou molhada.</w:t>
            </w:r>
          </w:p>
          <w:p w:rsidR="00967E25" w:rsidRDefault="00967E25">
            <w:pPr>
              <w:spacing w:after="120" w:line="276" w:lineRule="auto"/>
              <w:rPr>
                <w:rFonts w:eastAsia="Calibri" w:cs="Calibri"/>
                <w:b/>
                <w:color w:val="202124"/>
                <w:sz w:val="24"/>
                <w:szCs w:val="24"/>
                <w:highlight w:val="white"/>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Rolos</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36</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R$ 0,83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R$ 29,88</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rPr>
                <w:rFonts w:ascii="Calibri" w:eastAsia="Calibri" w:hAnsi="Calibri" w:cs="Calibri"/>
                <w:b/>
                <w:color w:val="202124"/>
              </w:rPr>
            </w:pPr>
            <w:r>
              <w:rPr>
                <w:rFonts w:eastAsia="Calibri" w:cs="Calibri"/>
                <w:b/>
                <w:color w:val="202124"/>
                <w:sz w:val="24"/>
                <w:szCs w:val="24"/>
              </w:rPr>
              <w:lastRenderedPageBreak/>
              <w:t>6</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tabs>
                <w:tab w:val="left" w:pos="372"/>
              </w:tabs>
              <w:spacing w:after="120" w:line="276" w:lineRule="auto"/>
              <w:rPr>
                <w:rFonts w:ascii="Calibri" w:eastAsia="Calibri" w:hAnsi="Calibri" w:cs="Calibri"/>
                <w:color w:val="202124"/>
                <w:highlight w:val="white"/>
              </w:rPr>
            </w:pPr>
            <w:r>
              <w:rPr>
                <w:rFonts w:eastAsia="Calibri" w:cs="Calibri"/>
                <w:b/>
                <w:color w:val="202124"/>
                <w:sz w:val="24"/>
                <w:szCs w:val="24"/>
                <w:highlight w:val="white"/>
              </w:rPr>
              <w:t xml:space="preserve">Atadura de crepom 13 fios, 20 X 1,80. </w:t>
            </w:r>
            <w:r>
              <w:rPr>
                <w:rFonts w:eastAsia="Calibri" w:cs="Calibri"/>
                <w:color w:val="202124"/>
                <w:sz w:val="24"/>
                <w:szCs w:val="24"/>
                <w:highlight w:val="white"/>
              </w:rPr>
              <w:t>Utilização em terapia compressiva. Aplicações ortopédicas como imobilizações e enfaixamentos. Fixação de curativos. Prevenção de contusões em atividades esportivas.As ataduras são confeccionadas em tecido de alta qualidade, conferindo ao produto grande elasticidade no sentido longitudinal.Características do produto:Sem desfiamento lateral;Compressão uniforme;Enfaixamento perfeito; Atadura com 1,80m em repouso e alcance de 4,50m esticada;Elasticidade adequada, macia e isenta de fios soltos.Recomendações:Produto não é estéril, pode ser esterilizado em autoclave, óxido de etileno ou irradiação gama. Recomenda-se uso por pessoas habilitadas na área de ortopedia e fisioterapia.Precauções:Conservar em local limpo, seco e ao abrigo da luz;Produto de uso único. Destruir após o uso. Proibido reprocessar.Válido por 05 anos a partir da data de fabricação, enquanto a embalagem não for aberta, danificada ou molhada.</w:t>
            </w:r>
          </w:p>
          <w:p w:rsidR="00967E25" w:rsidRDefault="00967E25">
            <w:pPr>
              <w:spacing w:after="120" w:line="276" w:lineRule="auto"/>
              <w:rPr>
                <w:rFonts w:eastAsia="Calibri" w:cs="Calibri"/>
                <w:b/>
                <w:color w:val="202124"/>
                <w:sz w:val="24"/>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Rolos</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24</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R$ 2,55</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R$ 61,20</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lastRenderedPageBreak/>
              <w:t>7</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rPr>
                <w:rFonts w:ascii="Calibri" w:eastAsia="Calibri" w:hAnsi="Calibri" w:cs="Calibri"/>
                <w:color w:val="202124"/>
              </w:rPr>
            </w:pPr>
            <w:r>
              <w:rPr>
                <w:rFonts w:eastAsia="Calibri" w:cs="Calibri"/>
                <w:b/>
                <w:color w:val="202124"/>
                <w:sz w:val="24"/>
                <w:szCs w:val="24"/>
              </w:rPr>
              <w:t>Compressa cirúrgica estéril campo operatório com 05 unidades.</w:t>
            </w:r>
            <w:r>
              <w:rPr>
                <w:rFonts w:eastAsia="Calibri" w:cs="Calibri"/>
                <w:color w:val="202124"/>
                <w:sz w:val="24"/>
                <w:szCs w:val="24"/>
              </w:rPr>
              <w:t xml:space="preserve"> A Compressa Cirúrgica (Campo Operatório) pré-lavada estéril são confeccionadas com fios 100% algodão, em tecido quádruplo sobreposto tipo tela, com placa radiopaca, contendo 55 a 60% de Sulfato de Bário ou com fio radiopaco. O tecido é fechado nas extremidades com costura para reforçar o mesmo e evitar o seu desfiamento. Tem em uma das extremidades, um cadarço duplo que forma uma alça de segurança. Produto descartável e de pronto uso. Registro Anvisa:10071150065.Indicações: São utilizadas em cirurgias em geral para absorção de líquidos, sangue e outras secreções, tanto em superfícies cruentas como em todas as cirurgias cavitárias, onde serve de anteparo para as vísceras e tecidos. Validade de 03 anos após a data de fabricação, com o produto inviolado.</w:t>
            </w:r>
          </w:p>
          <w:p w:rsidR="00967E25" w:rsidRDefault="00967E25">
            <w:pPr>
              <w:spacing w:after="120" w:line="276" w:lineRule="auto"/>
              <w:rPr>
                <w:rFonts w:eastAsia="Calibri" w:cs="Calibri"/>
                <w:b/>
                <w:color w:val="202124"/>
                <w:sz w:val="24"/>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Pacote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12</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R$ 11,09</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R$ 133,08</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8</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hd w:val="clear" w:color="auto" w:fill="FFFFFF"/>
              <w:spacing w:after="160" w:line="276" w:lineRule="auto"/>
              <w:rPr>
                <w:rFonts w:ascii="Calibri" w:eastAsia="Calibri" w:hAnsi="Calibri" w:cs="Calibri"/>
                <w:color w:val="202124"/>
              </w:rPr>
            </w:pPr>
            <w:r>
              <w:rPr>
                <w:rFonts w:eastAsia="Calibri" w:cs="Calibri"/>
                <w:b/>
                <w:color w:val="202124"/>
                <w:sz w:val="24"/>
                <w:szCs w:val="24"/>
                <w:highlight w:val="white"/>
              </w:rPr>
              <w:t xml:space="preserve">Esparadrapo com cor 10cm X 4,5m </w:t>
            </w:r>
            <w:r>
              <w:rPr>
                <w:rFonts w:eastAsia="Calibri" w:cs="Calibri"/>
                <w:color w:val="202124"/>
                <w:sz w:val="24"/>
                <w:szCs w:val="24"/>
              </w:rPr>
              <w:t xml:space="preserve">Composto de tecido 100% algodão que recebe tratamento especial para proporcionar facilidade de rasgo sem desfiamento, resina acrílica impermeabilizante, massa adesiva à base de borracha natural, óxido de zinco e resinas. Apresentam bordas serrilhadas que favorecem o corte orientado em ambos os sentidos, sem a necessidade de instrumentos de corte, tornando o produto mais econômico.Enrolado em carretéis plásticos, com abas, protegidos também por capas , que mantém a integridade do produto.Não estéril. Tamanho: </w:t>
            </w:r>
            <w:r>
              <w:rPr>
                <w:rFonts w:eastAsia="Calibri" w:cs="Calibri"/>
                <w:color w:val="202124"/>
                <w:sz w:val="24"/>
                <w:szCs w:val="24"/>
              </w:rPr>
              <w:lastRenderedPageBreak/>
              <w:t>10cm X 4,5m.  Validade: 24 meses.</w:t>
            </w:r>
          </w:p>
          <w:p w:rsidR="00967E25" w:rsidRDefault="00967E25">
            <w:pPr>
              <w:spacing w:line="276" w:lineRule="auto"/>
              <w:jc w:val="center"/>
              <w:rPr>
                <w:rFonts w:eastAsia="Calibri" w:cs="Calibri"/>
                <w:b/>
                <w:color w:val="202124"/>
                <w:sz w:val="24"/>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lastRenderedPageBreak/>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06</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R$ 13,66</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R$ 81,98</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9</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highlight w:val="white"/>
              </w:rPr>
            </w:pPr>
            <w:r>
              <w:rPr>
                <w:rFonts w:eastAsia="Calibri" w:cs="Calibri"/>
                <w:b/>
                <w:color w:val="202124"/>
                <w:sz w:val="24"/>
                <w:szCs w:val="24"/>
                <w:highlight w:val="white"/>
              </w:rPr>
              <w:t xml:space="preserve">Almotolia plástica âmbar bico reto 500ml. </w:t>
            </w:r>
            <w:r>
              <w:rPr>
                <w:rFonts w:eastAsia="Calibri" w:cs="Calibri"/>
                <w:color w:val="202124"/>
                <w:sz w:val="24"/>
                <w:szCs w:val="24"/>
                <w:highlight w:val="white"/>
              </w:rPr>
              <w:t>A Almotolia Plástica 500 Ml é um recipiente utilizado na armazenagem e aplicação de produtos líquidos, em ambientes hospitalares e clínicas.Detalhes do produto:Fabricada em polietileno atóxico;Tampa com rosca de bico reto;Capacidade 500ml;Cor Ambar (Marrom);Recipiente para armazenamento de líquidos;Graduado em alto relevo;Bico reto;Capacidade: 500 ml, Validade indeterminada.</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06</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R$ 6,40</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R$ 38,38</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10</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hd w:val="clear" w:color="auto" w:fill="FFFFFF"/>
              <w:spacing w:before="460" w:after="300" w:line="276" w:lineRule="auto"/>
              <w:rPr>
                <w:rFonts w:ascii="Calibri" w:eastAsia="Calibri" w:hAnsi="Calibri" w:cs="Calibri"/>
                <w:color w:val="202124"/>
              </w:rPr>
            </w:pPr>
            <w:bookmarkStart w:id="1" w:name="_heading=h.5bydcw8236g0"/>
            <w:bookmarkEnd w:id="1"/>
            <w:r>
              <w:rPr>
                <w:rFonts w:eastAsia="Calibri" w:cs="Calibri"/>
                <w:b/>
                <w:color w:val="202124"/>
                <w:sz w:val="24"/>
                <w:szCs w:val="24"/>
                <w:highlight w:val="white"/>
              </w:rPr>
              <w:t>Soro fisiológico 0,9%  Cloreto de sódio 500ml</w:t>
            </w:r>
            <w:r>
              <w:rPr>
                <w:rFonts w:eastAsia="Calibri" w:cs="Calibri"/>
                <w:color w:val="202124"/>
                <w:sz w:val="24"/>
                <w:szCs w:val="24"/>
                <w:highlight w:val="white"/>
              </w:rPr>
              <w:t>.</w:t>
            </w:r>
            <w:r>
              <w:rPr>
                <w:rFonts w:eastAsia="Calibri" w:cs="Calibri"/>
                <w:color w:val="202124"/>
                <w:sz w:val="24"/>
                <w:szCs w:val="24"/>
              </w:rPr>
              <w:t>O Soro Fisiológico é indicado para inalação e  limpeza. Pode ser empregado de forma isolada ou associada a outros medicamentos, pode ser usado em nebulização, lavagem e irrigação de ferimentos, nos curativos,lentes de contato, lavagem nasal.</w:t>
            </w:r>
            <w:r>
              <w:rPr>
                <w:rFonts w:eastAsia="Calibri" w:cs="Calibri"/>
                <w:color w:val="202124"/>
                <w:sz w:val="24"/>
                <w:szCs w:val="24"/>
                <w:highlight w:val="white"/>
              </w:rPr>
              <w:t xml:space="preserve">Lacrado o produto tem a validade de 18 meses após a sua fabricação. Após aberto, o prazo para consumo passa a ser de apenas 15 dias (mantido sob </w:t>
            </w:r>
            <w:r>
              <w:rPr>
                <w:rFonts w:eastAsia="Calibri" w:cs="Calibri"/>
                <w:color w:val="202124"/>
                <w:sz w:val="24"/>
                <w:szCs w:val="24"/>
                <w:highlight w:val="white"/>
              </w:rPr>
              <w:lastRenderedPageBreak/>
              <w:t>as condições descritas), isto é, conservado em geladeira.</w:t>
            </w:r>
          </w:p>
          <w:p w:rsidR="00967E25" w:rsidRDefault="00967E25">
            <w:pPr>
              <w:spacing w:line="276" w:lineRule="auto"/>
              <w:rPr>
                <w:rFonts w:eastAsia="Calibri" w:cs="Calibri"/>
                <w:b/>
                <w:color w:val="202124"/>
                <w:sz w:val="24"/>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lastRenderedPageBreak/>
              <w:t>frasco</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15</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R$ 7,98</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R$ 119,65</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11</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highlight w:val="white"/>
              </w:rPr>
            </w:pPr>
            <w:r>
              <w:rPr>
                <w:rFonts w:eastAsia="Calibri" w:cs="Calibri"/>
                <w:b/>
                <w:color w:val="202124"/>
                <w:sz w:val="24"/>
                <w:szCs w:val="24"/>
                <w:highlight w:val="white"/>
              </w:rPr>
              <w:t xml:space="preserve">Água oxigenada antisséptica 10 volumes 01 litro. </w:t>
            </w:r>
            <w:r>
              <w:rPr>
                <w:rFonts w:eastAsia="Calibri" w:cs="Calibri"/>
                <w:color w:val="202124"/>
                <w:sz w:val="24"/>
                <w:szCs w:val="24"/>
                <w:highlight w:val="white"/>
              </w:rPr>
              <w:t>Medicamento de Notificação simplificada RDC Anvisa nº 199/2006</w:t>
            </w:r>
          </w:p>
          <w:p w:rsidR="00967E25" w:rsidRDefault="00936B82">
            <w:pPr>
              <w:spacing w:line="276" w:lineRule="auto"/>
              <w:rPr>
                <w:rFonts w:ascii="Calibri" w:eastAsia="Calibri" w:hAnsi="Calibri" w:cs="Calibri"/>
                <w:color w:val="202124"/>
                <w:highlight w:val="white"/>
              </w:rPr>
            </w:pPr>
            <w:r>
              <w:rPr>
                <w:rFonts w:eastAsia="Calibri" w:cs="Calibri"/>
                <w:color w:val="202124"/>
                <w:sz w:val="24"/>
                <w:szCs w:val="24"/>
                <w:highlight w:val="white"/>
              </w:rPr>
              <w:t>Uso externo Uso adulto e pediátrico, Antissépticos. Validade: 36 meses de acordo com a data de fabricação.</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01</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R$ 9,88</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R$ 9,88</w:t>
            </w:r>
          </w:p>
        </w:tc>
      </w:tr>
      <w:tr w:rsidR="00967E25">
        <w:trPr>
          <w:trHeight w:val="1485"/>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12</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rPr>
            </w:pPr>
            <w:r>
              <w:rPr>
                <w:rFonts w:eastAsia="Calibri" w:cs="Calibri"/>
                <w:b/>
                <w:color w:val="202124"/>
                <w:sz w:val="24"/>
                <w:szCs w:val="24"/>
                <w:highlight w:val="white"/>
              </w:rPr>
              <w:t xml:space="preserve">Sabão de Coco Barra 200g. </w:t>
            </w:r>
            <w:r>
              <w:rPr>
                <w:rFonts w:eastAsia="Calibri" w:cs="Calibri"/>
                <w:color w:val="202124"/>
                <w:sz w:val="24"/>
                <w:szCs w:val="24"/>
                <w:highlight w:val="white"/>
              </w:rPr>
              <w:t>Usado como antisséptico em lavagem de cortes e feridas. Validade de 24 meses.</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06</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R$ 1,31</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R$ 7,86</w:t>
            </w:r>
          </w:p>
        </w:tc>
      </w:tr>
      <w:tr w:rsidR="00967E25">
        <w:trPr>
          <w:trHeight w:val="2115"/>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13</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highlight w:val="white"/>
              </w:rPr>
            </w:pPr>
            <w:r>
              <w:rPr>
                <w:rFonts w:eastAsia="Calibri" w:cs="Calibri"/>
                <w:b/>
                <w:color w:val="202124"/>
                <w:sz w:val="24"/>
                <w:szCs w:val="24"/>
                <w:highlight w:val="white"/>
              </w:rPr>
              <w:t>Aparelho de pressão digital automático de braço</w:t>
            </w:r>
            <w:r>
              <w:rPr>
                <w:rFonts w:eastAsia="Calibri" w:cs="Calibri"/>
                <w:color w:val="202124"/>
                <w:sz w:val="24"/>
                <w:szCs w:val="24"/>
                <w:highlight w:val="white"/>
              </w:rPr>
              <w:t>.Medidor de pressão arterial de braço. Mede a pressão sistólica, pressão diastólica e frequência cardíaca.Inflagem automática. Funciona com pilha AAA.Circunferência mínima da braçadeira de 22cm e máxima de 36cm.Fácil de mover e manusear.Design prático para medições instantâneas. Validade indeterminada.</w:t>
            </w:r>
          </w:p>
          <w:p w:rsidR="00967E25" w:rsidRDefault="00967E25">
            <w:pPr>
              <w:spacing w:line="276" w:lineRule="auto"/>
              <w:jc w:val="center"/>
              <w:rPr>
                <w:rFonts w:eastAsia="Calibri" w:cs="Calibri"/>
                <w:b/>
                <w:color w:val="202124"/>
                <w:sz w:val="24"/>
                <w:szCs w:val="24"/>
                <w:highlight w:val="white"/>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lastRenderedPageBreak/>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01</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R$ 153,70</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R$ 153,70</w:t>
            </w:r>
          </w:p>
        </w:tc>
      </w:tr>
      <w:tr w:rsidR="00967E25">
        <w:trPr>
          <w:trHeight w:val="3015"/>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14</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highlight w:val="white"/>
              </w:rPr>
            </w:pPr>
            <w:r>
              <w:rPr>
                <w:rFonts w:eastAsia="Calibri" w:cs="Calibri"/>
                <w:b/>
                <w:color w:val="202124"/>
                <w:sz w:val="24"/>
                <w:szCs w:val="24"/>
                <w:highlight w:val="white"/>
              </w:rPr>
              <w:t>Digliconato de clorexidina 10mg/ml solução tópica spray</w:t>
            </w:r>
            <w:r>
              <w:rPr>
                <w:rFonts w:eastAsia="Calibri" w:cs="Calibri"/>
                <w:color w:val="202124"/>
                <w:sz w:val="24"/>
                <w:szCs w:val="24"/>
                <w:highlight w:val="white"/>
              </w:rPr>
              <w:t xml:space="preserve"> é um anti-séptico químico, com ação antifúngica e bactericida, capaz de eliminar tanto bactérias gram-positivas quanto gram-negativas.É indicado para a antissepsia da pele e de pequenos ferimentos. MEDICAMENTO DE NOTIFICAÇÃO SIMPLIFICADA RDC ANIVSA Nº 199/2006. AFE Nº:1.00.497-7.Fabricação e validade: vide embalagem.</w:t>
            </w:r>
          </w:p>
          <w:p w:rsidR="00967E25" w:rsidRDefault="00967E25">
            <w:pPr>
              <w:spacing w:line="276" w:lineRule="auto"/>
              <w:rPr>
                <w:rFonts w:eastAsia="Calibri" w:cs="Calibri"/>
                <w:b/>
                <w:color w:val="202124"/>
                <w:sz w:val="24"/>
                <w:szCs w:val="24"/>
                <w:highlight w:val="white"/>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06</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R$ 25,09</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R$ 150,54</w:t>
            </w:r>
          </w:p>
        </w:tc>
      </w:tr>
      <w:tr w:rsidR="00967E25">
        <w:trPr>
          <w:trHeight w:val="3765"/>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15</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highlight w:val="white"/>
              </w:rPr>
            </w:pPr>
            <w:r>
              <w:rPr>
                <w:rFonts w:eastAsia="Calibri" w:cs="Calibri"/>
                <w:b/>
                <w:color w:val="202124"/>
                <w:sz w:val="24"/>
                <w:szCs w:val="24"/>
                <w:highlight w:val="white"/>
              </w:rPr>
              <w:t xml:space="preserve">Termômetro digital axilar. </w:t>
            </w:r>
            <w:r>
              <w:rPr>
                <w:rFonts w:eastAsia="Calibri" w:cs="Calibri"/>
                <w:color w:val="202124"/>
                <w:sz w:val="24"/>
                <w:szCs w:val="24"/>
                <w:highlight w:val="white"/>
              </w:rPr>
              <w:t>O termômetro digital axilar fornece o resultado da medição em até 30 segundos. Essa tecnologia traz facilidade para os que ficam incomodados com o uso do aparelho por tempo prolongado.O Termômetro digital conta com proteção à prova d’água e pode ser utilizado para medição oral, axilar e retal. Além disso, ele apresenta uma vida útil prolongada, devido à possibilidade de substituição da bateria (basta abrir o compartimento e efetuar a troca).Validade indeterminada.</w:t>
            </w:r>
          </w:p>
          <w:p w:rsidR="00967E25" w:rsidRDefault="00967E25">
            <w:pPr>
              <w:spacing w:line="276" w:lineRule="auto"/>
              <w:jc w:val="center"/>
              <w:rPr>
                <w:rFonts w:eastAsia="Calibri" w:cs="Calibri"/>
                <w:b/>
                <w:color w:val="202124"/>
                <w:sz w:val="24"/>
                <w:szCs w:val="24"/>
                <w:highlight w:val="white"/>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02</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color w:val="000000"/>
                <w:sz w:val="24"/>
                <w:szCs w:val="24"/>
              </w:rPr>
              <w:t>R$ 14,87</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R$ 29,75</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lastRenderedPageBreak/>
              <w:t>16</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highlight w:val="white"/>
              </w:rPr>
            </w:pPr>
            <w:r>
              <w:rPr>
                <w:rFonts w:eastAsia="Calibri" w:cs="Calibri"/>
                <w:b/>
                <w:color w:val="202124"/>
                <w:sz w:val="24"/>
                <w:szCs w:val="24"/>
                <w:highlight w:val="white"/>
              </w:rPr>
              <w:t>Nebulizador/ Inalador portátil</w:t>
            </w:r>
            <w:r>
              <w:rPr>
                <w:rFonts w:eastAsia="Calibri" w:cs="Calibri"/>
                <w:color w:val="202124"/>
                <w:sz w:val="24"/>
                <w:szCs w:val="24"/>
                <w:highlight w:val="white"/>
              </w:rPr>
              <w:t xml:space="preserve">. É um aparelho excelente e completo para tratar possíveis afecções respiratórias das vias aéreas inferiores (Brônquios, pulmões).Conhecido também como inalador, ele ajuda a descongestionar e facilitar a respiração em caso de congestão nasal, tosse, asma e gripe ou por alergia causadas pela poluição e mudanças climáticas. Compacto, leve e muito fácil de usar, com baixíssimo nível de ruído, muito menor que os nebulizadores a ar comprimido tradicionais, se adapta a diferentes idades.Em sua composição o tubo de ar projetado em polietileno, filtros em algodão, máscaras de nebulização em pvc, câmara de nebulização em poliestireno e polipropileno e o compressor em abs, super resistente e durável segue todos os padrões necessários para oferece segurança durante o uso.Conta com tecnologia Superflow Plus proporciona maior fluxo de névoa e maior quantidade de partículas que alcançam diretamente os pulmões, isso garante que o medicamento está sendo corretamente absorvido no organismo.Bivolt automático, seu consumo de 0,4A e a capacidade máxima da câmera de nebulização de 6ml, como o peso aproximado de 262g, poderá levar a qualquer lugar.O Nebulizador Inalador de Ar Comprimido será um aliado perfeito para aliviar os sintomas que impedem de respirar, acompanha ainda uma máscara tamanho adulto, uma máscara tamanho infantil, 5 filtros; um tubo de ar e manual de </w:t>
            </w:r>
            <w:r>
              <w:rPr>
                <w:rFonts w:eastAsia="Calibri" w:cs="Calibri"/>
                <w:color w:val="202124"/>
                <w:sz w:val="24"/>
                <w:szCs w:val="24"/>
                <w:highlight w:val="white"/>
              </w:rPr>
              <w:lastRenderedPageBreak/>
              <w:t>instruções.Validade Indeterminada.</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lastRenderedPageBreak/>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01</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R$ 148,84</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R$ 148,84</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17</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highlight w:val="white"/>
              </w:rPr>
            </w:pPr>
            <w:r>
              <w:rPr>
                <w:rFonts w:eastAsia="Calibri" w:cs="Calibri"/>
                <w:b/>
                <w:color w:val="202124"/>
                <w:sz w:val="24"/>
                <w:szCs w:val="24"/>
                <w:highlight w:val="white"/>
              </w:rPr>
              <w:t xml:space="preserve">Aparelho medidor de glicose. </w:t>
            </w:r>
            <w:r>
              <w:rPr>
                <w:rFonts w:eastAsia="Calibri" w:cs="Calibri"/>
                <w:color w:val="202124"/>
                <w:sz w:val="24"/>
                <w:szCs w:val="24"/>
                <w:highlight w:val="white"/>
              </w:rPr>
              <w:t>Prático, simples e seguro.Fácil manuseio, com apenas duas etapas se obtém o resultado.</w:t>
            </w:r>
          </w:p>
          <w:p w:rsidR="00967E25" w:rsidRDefault="00936B82">
            <w:pPr>
              <w:spacing w:line="276" w:lineRule="auto"/>
              <w:rPr>
                <w:rFonts w:ascii="Calibri" w:eastAsia="Calibri" w:hAnsi="Calibri" w:cs="Calibri"/>
                <w:color w:val="202124"/>
                <w:highlight w:val="white"/>
              </w:rPr>
            </w:pPr>
            <w:r>
              <w:rPr>
                <w:rFonts w:eastAsia="Calibri" w:cs="Calibri"/>
                <w:color w:val="202124"/>
                <w:sz w:val="24"/>
                <w:szCs w:val="24"/>
                <w:highlight w:val="white"/>
              </w:rPr>
              <w:t xml:space="preserve"> Amplo visor para facilitar a leitura.Precisão e conforto com uma pequena gota de sangue.</w:t>
            </w:r>
          </w:p>
          <w:p w:rsidR="00967E25" w:rsidRDefault="00936B82">
            <w:pPr>
              <w:spacing w:line="276" w:lineRule="auto"/>
              <w:rPr>
                <w:rFonts w:ascii="Calibri" w:eastAsia="Calibri" w:hAnsi="Calibri" w:cs="Calibri"/>
                <w:color w:val="202124"/>
                <w:highlight w:val="white"/>
              </w:rPr>
            </w:pPr>
            <w:r>
              <w:rPr>
                <w:rFonts w:eastAsia="Calibri" w:cs="Calibri"/>
                <w:color w:val="202124"/>
                <w:sz w:val="24"/>
                <w:szCs w:val="24"/>
                <w:highlight w:val="white"/>
              </w:rPr>
              <w:t>Monitor baseado em plataforma amperométrica (Blosensor) portátil, para uso hospitalar e domiciliar, com faixa de medição de valores entre 20 a 600 mg/dl; volume da amostra de 1 microlitro; oferecendo resultado da análise inferior a 10 segundos.Possui memória de 300 resultados com data e hora.</w:t>
            </w:r>
          </w:p>
          <w:p w:rsidR="00967E25" w:rsidRDefault="00936B82">
            <w:pPr>
              <w:spacing w:line="276" w:lineRule="auto"/>
              <w:rPr>
                <w:rFonts w:ascii="Calibri" w:eastAsia="Calibri" w:hAnsi="Calibri" w:cs="Calibri"/>
                <w:color w:val="202124"/>
                <w:highlight w:val="white"/>
              </w:rPr>
            </w:pPr>
            <w:r>
              <w:rPr>
                <w:rFonts w:eastAsia="Calibri" w:cs="Calibri"/>
                <w:color w:val="202124"/>
                <w:sz w:val="24"/>
                <w:szCs w:val="24"/>
                <w:highlight w:val="white"/>
              </w:rPr>
              <w:t>Possui porta serial para conectividade e transferência de dados.Possui sistema de codificação através de chip de fácil manuseio, vendido separadamente.Fornece um cálculo da média de 7, 14 e 30 dias. Validade indeterminada.</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01</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R$ 68,84</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R$ 68,84</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lastRenderedPageBreak/>
              <w:t>18</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highlight w:val="white"/>
              </w:rPr>
            </w:pPr>
            <w:r>
              <w:rPr>
                <w:rFonts w:eastAsia="Calibri" w:cs="Calibri"/>
                <w:b/>
                <w:color w:val="202124"/>
                <w:sz w:val="24"/>
                <w:szCs w:val="24"/>
                <w:highlight w:val="white"/>
              </w:rPr>
              <w:t>Fita Micropore branco 2,5cmX10m</w:t>
            </w:r>
            <w:r>
              <w:rPr>
                <w:rFonts w:eastAsia="Calibri" w:cs="Calibri"/>
                <w:color w:val="202124"/>
                <w:sz w:val="24"/>
                <w:szCs w:val="24"/>
                <w:highlight w:val="white"/>
              </w:rPr>
              <w:t xml:space="preserve"> Tem como  Benefícios ser mais delicada, é ideal para peles sensíveis, deixa a pele transpirar, é hipoalergênico, usado em quem apresenta reação alérgica aos esparadrapos comuns.Possui lacre de segurança que impede violação. Indicação de uso: Ideal para curativos em geral em regiões do corpo com mais sensibilidade, uso diário e prolongado. Validade de 24 meses após a fabricação.</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04</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R$ 8,05</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R$ 32,19</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19</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highlight w:val="white"/>
              </w:rPr>
            </w:pPr>
            <w:r>
              <w:rPr>
                <w:rFonts w:eastAsia="Calibri" w:cs="Calibri"/>
                <w:b/>
                <w:color w:val="202124"/>
                <w:sz w:val="24"/>
                <w:szCs w:val="24"/>
                <w:highlight w:val="white"/>
              </w:rPr>
              <w:t>Tesoura ponta romba primeiros socorros,</w:t>
            </w:r>
            <w:r>
              <w:rPr>
                <w:rFonts w:eastAsia="Calibri" w:cs="Calibri"/>
                <w:color w:val="202124"/>
                <w:sz w:val="24"/>
                <w:szCs w:val="24"/>
                <w:highlight w:val="white"/>
              </w:rPr>
              <w:t xml:space="preserve"> é uma tesoura usada no atendimento de primeiros socorros para todos os fins, pequena o suficiente para caber no bolso, possui ponta romba e borda serrilhada para cortar materiais mais resistentes, é utilizada na  enfermaria e também contará na maleta de primeiros socorros que ficará disponível  no Núcleo de educação ambiental onde são realizadas atividades externas com os alunos como visitas em ilhas, mangue, aulas na praia entre outros. Validade indeterminada.</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03</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R$ 41,16</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R$ 123,47</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20</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highlight w:val="white"/>
              </w:rPr>
            </w:pPr>
            <w:r>
              <w:rPr>
                <w:rFonts w:eastAsia="Calibri" w:cs="Calibri"/>
                <w:b/>
                <w:color w:val="202124"/>
                <w:sz w:val="24"/>
                <w:szCs w:val="24"/>
                <w:highlight w:val="white"/>
              </w:rPr>
              <w:t xml:space="preserve">Gel pós picada picada de insetos e mosquitos 20 ml, </w:t>
            </w:r>
            <w:r>
              <w:rPr>
                <w:rFonts w:eastAsia="Calibri" w:cs="Calibri"/>
                <w:color w:val="202124"/>
                <w:sz w:val="24"/>
                <w:szCs w:val="24"/>
                <w:highlight w:val="white"/>
              </w:rPr>
              <w:t xml:space="preserve">Usado na maleta de primeiros socorros, em aulas de ambiente externo ao campus, sendo um produto que proporciona alívio imediato da coceira, vermelhidão e desconforto causado pelas picadas de inseto (pernilongos, mosquitos, formigas, etc), dermatologicamente testado e aprovado, indicado para toda família, inclusive para crianças, não contém amoníaco, o que diminui as chances do produto agredir a pele, é de fácil aplicação: </w:t>
            </w:r>
            <w:r>
              <w:rPr>
                <w:rFonts w:eastAsia="Calibri" w:cs="Calibri"/>
                <w:color w:val="202124"/>
                <w:sz w:val="24"/>
                <w:szCs w:val="24"/>
                <w:highlight w:val="white"/>
              </w:rPr>
              <w:lastRenderedPageBreak/>
              <w:t>basta apertar a bisnaga e passar o gel no local da picada sem a necessidade de utilizar os dedos.Composição do produto:AQUA, ALCOHOL, ALOE BARBADENSIS EXTRACT, PEG-40 HYDROGENATED CASTOR OIL, CHAMOMILLA RECUTITA EXTRACT, GLYCERIN, PHENOXIETHANOL, AMINOMETHYL PROPANOL, BISABOLOL, ACRYLATES / C10-30 ALKYL ACRYLATE CROSSPOLYMER, PARFUM, XANTHAN GUM, DISODIUM EDTA, ETHYLHEXYL GLYCERIN, MELALEUCA ALTERNIFOLIA LEAF OIL, MENTHOL, LIMONENE, CITRAL, LINALOOL, HEXYL CINNAMAL, BUTYLPHENYL METHYLPROPIONAL, GERANIOL.Não contém amoníaco, o que diminui as chances do produto agredir a pele.Embalagem portátil (20 ml): É possível levar para todo lugar, cabe em bolsas, mochilas, bolsos, necessaire. Produto não testado em animais.Validade: 02 anos após a data de fabricação.</w:t>
            </w:r>
          </w:p>
          <w:p w:rsidR="00967E25" w:rsidRDefault="00967E25">
            <w:pPr>
              <w:spacing w:line="276" w:lineRule="auto"/>
              <w:rPr>
                <w:rFonts w:eastAsia="Calibri" w:cs="Calibri"/>
                <w:color w:val="202124"/>
                <w:sz w:val="24"/>
                <w:szCs w:val="24"/>
                <w:highlight w:val="white"/>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lastRenderedPageBreak/>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05</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R$ 25,84</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R$ 129,18</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21</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highlight w:val="white"/>
              </w:rPr>
            </w:pPr>
            <w:r>
              <w:rPr>
                <w:rFonts w:eastAsia="Calibri" w:cs="Calibri"/>
                <w:b/>
                <w:color w:val="202124"/>
                <w:sz w:val="24"/>
                <w:szCs w:val="24"/>
                <w:highlight w:val="white"/>
              </w:rPr>
              <w:t>Repelente de inseto com 200ml,</w:t>
            </w:r>
            <w:r>
              <w:rPr>
                <w:rFonts w:eastAsia="Calibri" w:cs="Calibri"/>
                <w:color w:val="202124"/>
                <w:sz w:val="24"/>
                <w:szCs w:val="24"/>
                <w:highlight w:val="white"/>
              </w:rPr>
              <w:t xml:space="preserve"> Os repelentes foram definidos como uma classe de substâncias que fazem com que o inseto, após ter identificado o seu hospedeiro, altere seu curso de voo de tal forma a passar longe do seu objetivo inicial. São geralmente substâncias aplicadas sobre a pele que desencorajam por sua composição a aproximação de insetos. Em realizações de atividades ao ar livre com os alunos seu uso é de suma importância pois os repelentes </w:t>
            </w:r>
            <w:r>
              <w:rPr>
                <w:rFonts w:eastAsia="Calibri" w:cs="Calibri"/>
                <w:color w:val="202124"/>
                <w:sz w:val="24"/>
                <w:szCs w:val="24"/>
                <w:highlight w:val="white"/>
              </w:rPr>
              <w:lastRenderedPageBreak/>
              <w:t>não somente reduzem o incômodo causado por insetos, mas, também, previnem doenças transmitidas pela picada de mosquitos e pernilongos como dengue e zika, além de evitar possíveis reações alérgicas. Validade:02 anos após a data de fabricação</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lastRenderedPageBreak/>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10</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R$ 16,33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R$ 163,33</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22</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highlight w:val="white"/>
              </w:rPr>
            </w:pPr>
            <w:r>
              <w:rPr>
                <w:rFonts w:eastAsia="Calibri" w:cs="Calibri"/>
                <w:b/>
                <w:color w:val="202124"/>
                <w:sz w:val="24"/>
                <w:szCs w:val="24"/>
                <w:highlight w:val="white"/>
              </w:rPr>
              <w:t>Maleta de primeiros socorros com 02 bandejas</w:t>
            </w:r>
            <w:r>
              <w:rPr>
                <w:rFonts w:eastAsia="Calibri" w:cs="Calibri"/>
                <w:color w:val="202124"/>
                <w:sz w:val="24"/>
                <w:szCs w:val="24"/>
                <w:highlight w:val="white"/>
              </w:rPr>
              <w:t>. A aquisição desse material será de importância para todos os alunos, pois ela estará disponível tanto na enfermaria quanto no Núcleo de educação ambiental, onde poderá acompanhar os estudantes nas aulas realizadas em campo aberto. Estará equipada com materiais de atendimento de primeiros socorros facilitando a assistência em casos de acidentes nesses locais,  A maleta dispõe de duas bandejas com divisórias, e sistema de abertura retrátil. Ideal para o armazenamento de medicamentos e objetos para primeiros socorros.Composição: Plástico, possui duas bandejas com divisórias, conta com uma trava de segurança e uma Alça para transporte. Medida do produto: 33cm Comprimento, 20cm Largura,16cm Altura. Validade indeterminada.</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02</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R$ 49,20</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R$ 98,39</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lastRenderedPageBreak/>
              <w:t>23</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highlight w:val="white"/>
              </w:rPr>
            </w:pPr>
            <w:r>
              <w:rPr>
                <w:rFonts w:eastAsia="Calibri" w:cs="Calibri"/>
                <w:b/>
                <w:color w:val="202124"/>
                <w:sz w:val="24"/>
                <w:szCs w:val="24"/>
                <w:highlight w:val="white"/>
              </w:rPr>
              <w:t xml:space="preserve">Lâmina de bisturi descartável, aço carbono n °15. </w:t>
            </w:r>
            <w:r>
              <w:rPr>
                <w:rFonts w:eastAsia="Calibri" w:cs="Calibri"/>
                <w:color w:val="202124"/>
                <w:sz w:val="24"/>
                <w:szCs w:val="24"/>
                <w:highlight w:val="white"/>
              </w:rPr>
              <w:t>Usada na enfermaria quando há necessidade de retirada de suturas nos alunos. A Lâmina de Bisturi é fabricada em aço carbono, possui fio extremamente afiado, resistente a corrosão, garantindo incisões consistentes e estáveis. São projetadas para realizar o encaixe perfeito com os cabos de bisturi, proporcionando conforto em procedimentos. É indicada para ser utilizada unida à um cabo de bisturi em procedimentos médico cirúrgicos, retirada de pontos, curativos e demais procedimentos que necessitem de incisões no paciente.Características:Fabricada em aço carbono T10,estéril - Esterilizado por Radiação Gama,atóxico e apirogênico,fio extremamente afiado,resistente a corrosão,embaladas unitariamente em uma embalagem aluminizada,descartável e de uso único.Composição:Aço carbono ANVISA: 10330660276.Validade: 05 anos.</w:t>
            </w:r>
          </w:p>
          <w:p w:rsidR="00967E25" w:rsidRDefault="00967E25">
            <w:pPr>
              <w:spacing w:line="276" w:lineRule="auto"/>
              <w:rPr>
                <w:rFonts w:eastAsia="Calibri" w:cs="Calibri"/>
                <w:color w:val="202124"/>
                <w:sz w:val="24"/>
                <w:szCs w:val="24"/>
                <w:highlight w:val="white"/>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Caixa</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01</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R$ 57,87</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R$ 57,87</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24</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highlight w:val="white"/>
              </w:rPr>
            </w:pPr>
            <w:r>
              <w:rPr>
                <w:rFonts w:eastAsia="Calibri" w:cs="Calibri"/>
                <w:b/>
                <w:color w:val="202124"/>
                <w:sz w:val="24"/>
                <w:szCs w:val="24"/>
                <w:highlight w:val="white"/>
              </w:rPr>
              <w:t xml:space="preserve">Pinça Cirúrgica Anatômica para uso geral,14cm dissecção com serrilha. </w:t>
            </w:r>
            <w:r>
              <w:rPr>
                <w:rFonts w:eastAsia="Calibri" w:cs="Calibri"/>
                <w:color w:val="202124"/>
                <w:sz w:val="24"/>
                <w:szCs w:val="24"/>
                <w:highlight w:val="white"/>
              </w:rPr>
              <w:t xml:space="preserve">As pinças de dissecção são usadas para segurar uma parte do tecido, facilitando a ação de outros instrumentos, como o bisturi ou a tesoura, usada principalmente como auxílio na retirada de pontos dos alunos que procuram esse atendimento na enfermaria.Produto Confeccionado em Aço Inoxidável AISI-420,com serrilha, tamanho: 14CM,embalagem: Plástica individual, constando os dados de identificação, procedência e </w:t>
            </w:r>
            <w:r>
              <w:rPr>
                <w:rFonts w:eastAsia="Calibri" w:cs="Calibri"/>
                <w:color w:val="202124"/>
                <w:sz w:val="24"/>
                <w:szCs w:val="24"/>
                <w:highlight w:val="white"/>
              </w:rPr>
              <w:lastRenderedPageBreak/>
              <w:t>rastreabilidade;Prazo de validade indeterminado</w:t>
            </w:r>
          </w:p>
          <w:p w:rsidR="00967E25" w:rsidRDefault="00967E25">
            <w:pPr>
              <w:spacing w:line="276" w:lineRule="auto"/>
              <w:rPr>
                <w:rFonts w:eastAsia="Calibri" w:cs="Calibri"/>
                <w:b/>
                <w:color w:val="202124"/>
                <w:sz w:val="24"/>
                <w:szCs w:val="24"/>
                <w:highlight w:val="white"/>
              </w:rPr>
            </w:pPr>
          </w:p>
          <w:p w:rsidR="00967E25" w:rsidRDefault="00967E25">
            <w:pPr>
              <w:spacing w:line="276" w:lineRule="auto"/>
              <w:rPr>
                <w:rFonts w:eastAsia="Calibri" w:cs="Calibri"/>
                <w:b/>
                <w:color w:val="202124"/>
                <w:sz w:val="24"/>
                <w:szCs w:val="24"/>
                <w:highlight w:val="white"/>
              </w:rPr>
            </w:pPr>
          </w:p>
          <w:p w:rsidR="00967E25" w:rsidRDefault="00967E25">
            <w:pPr>
              <w:spacing w:line="276" w:lineRule="auto"/>
              <w:rPr>
                <w:rFonts w:eastAsia="Calibri" w:cs="Calibri"/>
                <w:b/>
                <w:color w:val="202124"/>
                <w:sz w:val="24"/>
                <w:szCs w:val="24"/>
                <w:highlight w:val="white"/>
              </w:rPr>
            </w:pPr>
          </w:p>
          <w:p w:rsidR="00967E25" w:rsidRDefault="00967E25">
            <w:pPr>
              <w:spacing w:line="276" w:lineRule="auto"/>
              <w:rPr>
                <w:rFonts w:eastAsia="Calibri" w:cs="Calibri"/>
                <w:b/>
                <w:color w:val="202124"/>
                <w:sz w:val="24"/>
                <w:szCs w:val="24"/>
                <w:highlight w:val="white"/>
              </w:rPr>
            </w:pPr>
          </w:p>
          <w:p w:rsidR="00967E25" w:rsidRDefault="00936B82">
            <w:pPr>
              <w:spacing w:line="276" w:lineRule="auto"/>
              <w:rPr>
                <w:rFonts w:ascii="Calibri" w:eastAsia="Calibri" w:hAnsi="Calibri" w:cs="Calibri"/>
                <w:b/>
                <w:color w:val="202124"/>
                <w:highlight w:val="white"/>
              </w:rPr>
            </w:pPr>
            <w:r>
              <w:rPr>
                <w:rFonts w:eastAsia="Calibri" w:cs="Calibri"/>
                <w:b/>
                <w:color w:val="202124"/>
                <w:sz w:val="24"/>
                <w:szCs w:val="24"/>
                <w:highlight w:val="white"/>
              </w:rPr>
              <w:t xml:space="preserve"> </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lastRenderedPageBreak/>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02</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R$ 42,16</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R$ 84,32</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25</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highlight w:val="white"/>
              </w:rPr>
            </w:pPr>
            <w:r>
              <w:rPr>
                <w:rFonts w:eastAsia="Calibri" w:cs="Calibri"/>
                <w:b/>
                <w:color w:val="202124"/>
                <w:sz w:val="24"/>
                <w:szCs w:val="24"/>
                <w:highlight w:val="white"/>
              </w:rPr>
              <w:t>Detergente enzimático 5 enzimas esterilização 1 litro.</w:t>
            </w:r>
            <w:r>
              <w:rPr>
                <w:rFonts w:eastAsia="Calibri" w:cs="Calibri"/>
                <w:color w:val="202124"/>
                <w:sz w:val="24"/>
                <w:szCs w:val="24"/>
                <w:highlight w:val="white"/>
              </w:rPr>
              <w:t xml:space="preserve"> É um produto utilizado na limpeza e remoção de resíduos orgânicos de artigos e instrumentos odontológicos e cirúrgicos,como pinças e tesouras por exemplo usados em curativos, retirada de pontos. A finalidade deste processo de limpeza com o detergente enzimático é remover as sujeiras orgânicas e evitar a formação de compostos insolúveis na superfície desses dispositivos. Como a enfermaria não dispõe de autoclave e realiza procedimentos com esses instrumentos é importante que os mesmos possam de alguma forma ser livre de contaminação.O detergente enzimático tem a aprovação da Anvisa e segue todas as normas e padrões de qualidade de fabricação. Composição de 5 enzimas, sendo elas: </w:t>
            </w:r>
            <w:r>
              <w:rPr>
                <w:rFonts w:eastAsia="Calibri" w:cs="Calibri"/>
                <w:i/>
                <w:color w:val="202124"/>
                <w:sz w:val="24"/>
                <w:szCs w:val="24"/>
                <w:highlight w:val="white"/>
              </w:rPr>
              <w:t>Protease, Amilase, Lípase, Protease Subtilisin (Liquinase), Carbohidrase</w:t>
            </w:r>
            <w:r>
              <w:rPr>
                <w:rFonts w:eastAsia="Calibri" w:cs="Calibri"/>
                <w:color w:val="202124"/>
                <w:sz w:val="24"/>
                <w:szCs w:val="24"/>
                <w:highlight w:val="white"/>
              </w:rPr>
              <w:t xml:space="preserve">, é Possível utilizar manualmente ou através de lavadoras automáticas de limpeza, faixa de pH do produto puro 6,0 -8,0., embalagem: 1 Litro (frasco plástico), Forma Física: Líquido </w:t>
            </w:r>
            <w:r>
              <w:rPr>
                <w:rFonts w:eastAsia="Calibri" w:cs="Calibri"/>
                <w:color w:val="202124"/>
                <w:sz w:val="24"/>
                <w:szCs w:val="24"/>
                <w:highlight w:val="white"/>
              </w:rPr>
              <w:lastRenderedPageBreak/>
              <w:t xml:space="preserve">Translúcido Amarelo. Validade: 24 meses após a data de fabricação. </w:t>
            </w:r>
          </w:p>
          <w:p w:rsidR="00967E25" w:rsidRDefault="00967E25">
            <w:pPr>
              <w:spacing w:line="276" w:lineRule="auto"/>
              <w:rPr>
                <w:rFonts w:eastAsia="Calibri" w:cs="Calibri"/>
                <w:color w:val="202124"/>
                <w:sz w:val="24"/>
                <w:szCs w:val="24"/>
                <w:highlight w:val="white"/>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lastRenderedPageBreak/>
              <w:t>Litro</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02</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R$ 45,82</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R$ 91,64</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rPr>
                <w:rFonts w:ascii="Calibri" w:eastAsia="Calibri" w:hAnsi="Calibri" w:cs="Calibri"/>
                <w:b/>
                <w:color w:val="202124"/>
              </w:rPr>
            </w:pPr>
            <w:r>
              <w:rPr>
                <w:rFonts w:eastAsia="Calibri" w:cs="Calibri"/>
                <w:b/>
                <w:color w:val="202124"/>
                <w:sz w:val="24"/>
                <w:szCs w:val="24"/>
              </w:rPr>
              <w:t>26</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b/>
                <w:color w:val="202124"/>
                <w:sz w:val="20"/>
                <w:szCs w:val="20"/>
                <w:highlight w:val="white"/>
              </w:rPr>
            </w:pPr>
            <w:r>
              <w:rPr>
                <w:rFonts w:eastAsia="Calibri" w:cs="Calibri"/>
                <w:b/>
                <w:color w:val="202124"/>
                <w:sz w:val="24"/>
                <w:szCs w:val="24"/>
                <w:highlight w:val="white"/>
              </w:rPr>
              <w:t xml:space="preserve">Álcool etílico hidratado de cereais ÁLCOOL ETÍLICO, ASPECTO FÍSICO:DE CEREAIS, HIDRATADO, LÍQUIDO LÍMPIDO, INCOLOR, TEOR ALCOÓLICO:MÍNIMO DE 96 ̈GL, FÓRMULA QUÍMICA:C2H5OH, PESO MOLECULAR:46,07 G/MOL, GRAU DE PUREZA:MÍNIMO DE 93 ̈INPM, NÚMERO DE REFERÊNCIA QUÍMICA:CAS 64-17-5, </w:t>
            </w:r>
            <w:r>
              <w:rPr>
                <w:rFonts w:eastAsia="Calibri" w:cs="Calibri"/>
                <w:color w:val="202124"/>
                <w:sz w:val="24"/>
                <w:szCs w:val="24"/>
                <w:highlight w:val="white"/>
              </w:rPr>
              <w:t xml:space="preserve">usada na preparação de tinturas  medicinais permitindo que as ervas e suas propriedades sejam armazenadas durante longos períodos de tempo sem perderem suas propriedades. São usadas na enfermaria como forma de tratamento e cuidado das enfermidades </w:t>
            </w:r>
            <w:r>
              <w:rPr>
                <w:rFonts w:eastAsia="Calibri" w:cs="Calibri"/>
                <w:b/>
                <w:color w:val="202124"/>
                <w:sz w:val="24"/>
                <w:szCs w:val="24"/>
                <w:highlight w:val="white"/>
              </w:rPr>
              <w:t>.</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Litro</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06</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R$ 30,17</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R$ 181,04</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lastRenderedPageBreak/>
              <w:t>27</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color w:val="202124"/>
                <w:sz w:val="20"/>
                <w:szCs w:val="20"/>
                <w:highlight w:val="white"/>
              </w:rPr>
            </w:pPr>
            <w:r>
              <w:rPr>
                <w:rFonts w:eastAsia="Calibri" w:cs="Calibri"/>
                <w:b/>
                <w:color w:val="202124"/>
                <w:sz w:val="24"/>
                <w:szCs w:val="24"/>
                <w:highlight w:val="white"/>
              </w:rPr>
              <w:t>EXTRATO MEDICINAL, COMPOSIÇÃO: CORDIA VERBENACEA DC., CONCENTRAÇÃO: 5 MG,ML, FORMA FARMACÊUTICA: AEROSSOL TÓPICO,</w:t>
            </w:r>
            <w:r>
              <w:rPr>
                <w:rFonts w:eastAsia="Calibri" w:cs="Calibri"/>
                <w:color w:val="202124"/>
                <w:sz w:val="24"/>
                <w:szCs w:val="24"/>
                <w:highlight w:val="white"/>
              </w:rPr>
              <w:t xml:space="preserve"> medicamento fitoterápico indicado nas seguintes situações: tendinites, afecções músculo-esqueléticas associadas à dor e inflamação, como dor miofascial, dorsalgia, lombalgia, em quadros inflamatórios dolorosos associados a traumas de membros, entorses e contusões oterápico </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Unidade</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08</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R$ 59,92</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R$ 479,39</w:t>
            </w:r>
          </w:p>
        </w:tc>
      </w:tr>
      <w:tr w:rsidR="00967E25">
        <w:trPr>
          <w:trHeight w:val="4656"/>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b/>
                <w:color w:val="202124"/>
              </w:rPr>
            </w:pPr>
            <w:r>
              <w:rPr>
                <w:rFonts w:eastAsia="Calibri" w:cs="Calibri"/>
                <w:b/>
                <w:color w:val="202124"/>
                <w:sz w:val="24"/>
                <w:szCs w:val="24"/>
              </w:rPr>
              <w:t>28</w:t>
            </w:r>
          </w:p>
        </w:tc>
        <w:tc>
          <w:tcPr>
            <w:tcW w:w="360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line="276" w:lineRule="auto"/>
              <w:rPr>
                <w:rFonts w:ascii="Calibri" w:eastAsia="Calibri" w:hAnsi="Calibri" w:cs="Calibri"/>
                <w:b/>
                <w:color w:val="202124"/>
                <w:sz w:val="20"/>
                <w:szCs w:val="20"/>
                <w:highlight w:val="white"/>
              </w:rPr>
            </w:pPr>
            <w:r>
              <w:rPr>
                <w:rFonts w:eastAsia="Calibri" w:cs="Calibri"/>
                <w:b/>
                <w:color w:val="202124"/>
                <w:sz w:val="24"/>
                <w:szCs w:val="24"/>
                <w:highlight w:val="white"/>
              </w:rPr>
              <w:t>FRASCO LABORATÓRIO, TIPO:REAGENTE, MATERIAL:VIDRO ÂMBAR, CAPACIDADE:500 ML, GRADUAÇÃO:GRADUADO, TIPO TAMPA:TAMPA ROSQUEÁVEL COM VEDAÇÃO. Usado no preparo das tinturas medicinais.</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Frasco</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spacing w:after="120" w:line="276" w:lineRule="auto"/>
              <w:jc w:val="center"/>
              <w:rPr>
                <w:rFonts w:ascii="Calibri" w:eastAsia="Calibri" w:hAnsi="Calibri" w:cs="Calibri"/>
                <w:color w:val="202124"/>
              </w:rPr>
            </w:pPr>
            <w:r>
              <w:rPr>
                <w:rFonts w:eastAsia="Calibri" w:cs="Calibri"/>
                <w:color w:val="202124"/>
                <w:sz w:val="24"/>
                <w:szCs w:val="24"/>
              </w:rPr>
              <w:t>10</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117"/>
              <w:jc w:val="center"/>
              <w:rPr>
                <w:sz w:val="24"/>
                <w:szCs w:val="24"/>
              </w:rPr>
            </w:pPr>
            <w:r>
              <w:rPr>
                <w:rFonts w:eastAsia="Calibri" w:cs="Calibri"/>
                <w:sz w:val="24"/>
                <w:szCs w:val="24"/>
              </w:rPr>
              <w:t>R$ 13,09</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143"/>
              <w:ind w:left="149"/>
              <w:jc w:val="center"/>
              <w:rPr>
                <w:sz w:val="24"/>
                <w:szCs w:val="24"/>
              </w:rPr>
            </w:pPr>
            <w:r>
              <w:rPr>
                <w:rFonts w:eastAsia="Calibri" w:cs="Calibri"/>
                <w:sz w:val="24"/>
                <w:szCs w:val="24"/>
              </w:rPr>
              <w:t>R$ 130,90</w:t>
            </w:r>
          </w:p>
        </w:tc>
      </w:tr>
    </w:tbl>
    <w:p w:rsidR="00967E25" w:rsidRDefault="00967E25">
      <w:pPr>
        <w:pStyle w:val="LO-normal"/>
        <w:sectPr w:rsidR="00967E25">
          <w:footerReference w:type="default" r:id="rId10"/>
          <w:pgSz w:w="11906" w:h="16838"/>
          <w:pgMar w:top="560" w:right="1260" w:bottom="1100" w:left="660" w:header="0" w:footer="920" w:gutter="0"/>
          <w:pgNumType w:start="1"/>
          <w:cols w:space="720"/>
          <w:formProt w:val="0"/>
          <w:docGrid w:linePitch="100" w:charSpace="4096"/>
        </w:sectPr>
      </w:pPr>
    </w:p>
    <w:p w:rsidR="00967E25" w:rsidRDefault="00967E25">
      <w:pPr>
        <w:widowControl w:val="0"/>
        <w:spacing w:line="276" w:lineRule="auto"/>
        <w:rPr>
          <w:rFonts w:eastAsia="Calibri" w:cs="Calibri"/>
          <w:sz w:val="24"/>
          <w:szCs w:val="24"/>
        </w:rPr>
      </w:pPr>
    </w:p>
    <w:tbl>
      <w:tblPr>
        <w:tblStyle w:val="TableNormal0"/>
        <w:tblW w:w="8607" w:type="dxa"/>
        <w:tblInd w:w="10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
      <w:tblGrid>
        <w:gridCol w:w="704"/>
        <w:gridCol w:w="4220"/>
        <w:gridCol w:w="708"/>
        <w:gridCol w:w="708"/>
        <w:gridCol w:w="1133"/>
        <w:gridCol w:w="1134"/>
      </w:tblGrid>
      <w:tr w:rsidR="00967E25">
        <w:trPr>
          <w:trHeight w:val="1178"/>
        </w:trPr>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67E25">
            <w:pPr>
              <w:widowControl w:val="0"/>
              <w:rPr>
                <w:rFonts w:eastAsia="Calibri" w:cs="Calibri"/>
                <w:color w:val="000000"/>
                <w:sz w:val="24"/>
                <w:szCs w:val="24"/>
              </w:rPr>
            </w:pPr>
          </w:p>
        </w:tc>
        <w:tc>
          <w:tcPr>
            <w:tcW w:w="42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numPr>
                <w:ilvl w:val="0"/>
                <w:numId w:val="7"/>
              </w:numPr>
              <w:tabs>
                <w:tab w:val="left" w:pos="224"/>
              </w:tabs>
              <w:spacing w:before="16" w:line="271" w:lineRule="auto"/>
              <w:ind w:right="662" w:firstLine="0"/>
              <w:rPr>
                <w:rFonts w:ascii="Calibri" w:eastAsia="Calibri" w:hAnsi="Calibri" w:cs="Calibri"/>
                <w:color w:val="000000"/>
              </w:rPr>
            </w:pPr>
            <w:r>
              <w:rPr>
                <w:rFonts w:eastAsia="Calibri" w:cs="Calibri"/>
                <w:color w:val="000000"/>
                <w:sz w:val="24"/>
                <w:szCs w:val="24"/>
              </w:rPr>
              <w:t>AJUSTE DE CARGA GAS REFRIG DO 1º ESTÁGIO;</w:t>
            </w:r>
          </w:p>
          <w:p w:rsidR="00967E25" w:rsidRDefault="00936B82">
            <w:pPr>
              <w:widowControl w:val="0"/>
              <w:numPr>
                <w:ilvl w:val="0"/>
                <w:numId w:val="7"/>
              </w:numPr>
              <w:tabs>
                <w:tab w:val="left" w:pos="224"/>
              </w:tabs>
              <w:spacing w:before="2"/>
              <w:ind w:left="223" w:hanging="119"/>
              <w:rPr>
                <w:rFonts w:ascii="Calibri" w:eastAsia="Calibri" w:hAnsi="Calibri" w:cs="Calibri"/>
                <w:color w:val="000000"/>
              </w:rPr>
            </w:pPr>
            <w:r>
              <w:rPr>
                <w:rFonts w:eastAsia="Calibri" w:cs="Calibri"/>
                <w:color w:val="000000"/>
                <w:sz w:val="24"/>
                <w:szCs w:val="24"/>
              </w:rPr>
              <w:t>SUBSTITUIÇÃO DE TERMOSTATO;</w:t>
            </w:r>
          </w:p>
          <w:p w:rsidR="00967E25" w:rsidRDefault="00936B82">
            <w:pPr>
              <w:widowControl w:val="0"/>
              <w:numPr>
                <w:ilvl w:val="0"/>
                <w:numId w:val="7"/>
              </w:numPr>
              <w:tabs>
                <w:tab w:val="left" w:pos="224"/>
              </w:tabs>
              <w:spacing w:before="38"/>
              <w:ind w:left="223" w:hanging="119"/>
              <w:rPr>
                <w:rFonts w:ascii="Calibri" w:eastAsia="Calibri" w:hAnsi="Calibri" w:cs="Calibri"/>
                <w:color w:val="000000"/>
              </w:rPr>
            </w:pPr>
            <w:r>
              <w:rPr>
                <w:rFonts w:eastAsia="Calibri" w:cs="Calibri"/>
                <w:color w:val="000000"/>
                <w:sz w:val="24"/>
                <w:szCs w:val="24"/>
              </w:rPr>
              <w:t>AJUSTES GERAIS</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67E25">
            <w:pPr>
              <w:widowControl w:val="0"/>
              <w:rPr>
                <w:rFonts w:eastAsia="Calibri" w:cs="Calibri"/>
                <w:color w:val="000000"/>
                <w:sz w:val="24"/>
                <w:szCs w:val="24"/>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67E25">
            <w:pPr>
              <w:widowControl w:val="0"/>
              <w:rPr>
                <w:rFonts w:eastAsia="Calibri" w:cs="Calibri"/>
                <w:color w:val="000000"/>
                <w:sz w:val="24"/>
                <w:szCs w:val="24"/>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67E25">
            <w:pPr>
              <w:widowControl w:val="0"/>
              <w:rPr>
                <w:rFonts w:eastAsia="Calibri" w:cs="Calibri"/>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67E25">
            <w:pPr>
              <w:widowControl w:val="0"/>
              <w:rPr>
                <w:rFonts w:eastAsia="Calibri" w:cs="Calibri"/>
                <w:color w:val="000000"/>
                <w:sz w:val="24"/>
                <w:szCs w:val="24"/>
              </w:rPr>
            </w:pPr>
          </w:p>
        </w:tc>
      </w:tr>
    </w:tbl>
    <w:p w:rsidR="00967E25" w:rsidRDefault="00967E25">
      <w:pPr>
        <w:widowControl w:val="0"/>
        <w:rPr>
          <w:rFonts w:eastAsia="Calibri" w:cs="Calibri"/>
          <w:color w:val="000000"/>
          <w:sz w:val="24"/>
          <w:szCs w:val="24"/>
        </w:rPr>
      </w:pPr>
    </w:p>
    <w:p w:rsidR="00967E25" w:rsidRDefault="00967E25">
      <w:pPr>
        <w:widowControl w:val="0"/>
        <w:spacing w:before="4"/>
        <w:rPr>
          <w:rFonts w:eastAsia="Calibri" w:cs="Calibri"/>
          <w:color w:val="000000"/>
          <w:sz w:val="24"/>
          <w:szCs w:val="24"/>
        </w:rPr>
      </w:pPr>
    </w:p>
    <w:p w:rsidR="00967E25" w:rsidRDefault="00936B82">
      <w:pPr>
        <w:widowControl w:val="0"/>
        <w:numPr>
          <w:ilvl w:val="2"/>
          <w:numId w:val="9"/>
        </w:numPr>
        <w:tabs>
          <w:tab w:val="left" w:pos="2482"/>
        </w:tabs>
        <w:spacing w:before="55" w:line="290" w:lineRule="auto"/>
        <w:ind w:right="436" w:hanging="504"/>
        <w:jc w:val="both"/>
        <w:rPr>
          <w:color w:val="000000"/>
          <w:sz w:val="24"/>
          <w:szCs w:val="24"/>
        </w:rPr>
      </w:pPr>
      <w:r>
        <w:rPr>
          <w:color w:val="000000"/>
          <w:sz w:val="24"/>
          <w:szCs w:val="24"/>
        </w:rPr>
        <w:t xml:space="preserve">Havendo mais </w:t>
      </w:r>
      <w:r>
        <w:rPr>
          <w:sz w:val="24"/>
          <w:szCs w:val="24"/>
        </w:rPr>
        <w:t>de um item</w:t>
      </w:r>
      <w:r>
        <w:rPr>
          <w:color w:val="000000"/>
          <w:sz w:val="24"/>
          <w:szCs w:val="24"/>
        </w:rPr>
        <w:t xml:space="preserve"> ou lote faculta-se ao fornecedor a participação em quantos forem de seu interesse. Entretanto, optando-se por participar de um lote, deve o fornecedor enviar proposta para todos os itens que o compõem.</w:t>
      </w:r>
    </w:p>
    <w:p w:rsidR="00967E25" w:rsidRDefault="00936B82">
      <w:pPr>
        <w:widowControl w:val="0"/>
        <w:numPr>
          <w:ilvl w:val="1"/>
          <w:numId w:val="9"/>
        </w:numPr>
        <w:tabs>
          <w:tab w:val="left" w:pos="1834"/>
        </w:tabs>
        <w:spacing w:before="118" w:line="283" w:lineRule="auto"/>
        <w:ind w:right="437"/>
        <w:jc w:val="both"/>
        <w:rPr>
          <w:color w:val="000000"/>
          <w:sz w:val="24"/>
          <w:szCs w:val="24"/>
        </w:rPr>
      </w:pPr>
      <w:r>
        <w:rPr>
          <w:color w:val="000000"/>
          <w:sz w:val="24"/>
          <w:szCs w:val="24"/>
        </w:rPr>
        <w:t xml:space="preserve">O critério de julgamento adotado será o </w:t>
      </w:r>
      <w:r>
        <w:rPr>
          <w:rFonts w:eastAsia="Carlito" w:cs="Carlito"/>
          <w:i/>
          <w:color w:val="FF0000"/>
          <w:sz w:val="24"/>
          <w:szCs w:val="24"/>
        </w:rPr>
        <w:t xml:space="preserve">menor preço, </w:t>
      </w:r>
      <w:r>
        <w:rPr>
          <w:color w:val="000000"/>
          <w:sz w:val="24"/>
          <w:szCs w:val="24"/>
        </w:rPr>
        <w:t>observadas as exigências contidas neste Aviso de Contratação Direta e seus Anexos quanto às especificações do objeto.</w:t>
      </w:r>
    </w:p>
    <w:p w:rsidR="00967E25" w:rsidRDefault="00936B82">
      <w:pPr>
        <w:widowControl w:val="0"/>
        <w:numPr>
          <w:ilvl w:val="0"/>
          <w:numId w:val="9"/>
        </w:numPr>
        <w:tabs>
          <w:tab w:val="left" w:pos="1402"/>
        </w:tabs>
        <w:spacing w:before="129"/>
        <w:rPr>
          <w:b/>
          <w:color w:val="000000"/>
          <w:sz w:val="24"/>
          <w:szCs w:val="24"/>
        </w:rPr>
      </w:pPr>
      <w:r>
        <w:rPr>
          <w:b/>
          <w:color w:val="000000"/>
          <w:sz w:val="24"/>
          <w:szCs w:val="24"/>
        </w:rPr>
        <w:t>PARTICIPAÇÃO NA DISPENSA ELETRÔNICA.</w:t>
      </w:r>
    </w:p>
    <w:p w:rsidR="00967E25" w:rsidRDefault="00936B82">
      <w:pPr>
        <w:widowControl w:val="0"/>
        <w:numPr>
          <w:ilvl w:val="1"/>
          <w:numId w:val="9"/>
        </w:numPr>
        <w:tabs>
          <w:tab w:val="left" w:pos="1834"/>
          <w:tab w:val="left" w:pos="3244"/>
          <w:tab w:val="left" w:pos="5284"/>
          <w:tab w:val="left" w:pos="6582"/>
          <w:tab w:val="left" w:pos="8551"/>
        </w:tabs>
        <w:spacing w:before="180" w:line="290" w:lineRule="auto"/>
        <w:ind w:right="435"/>
        <w:jc w:val="both"/>
      </w:pPr>
      <w:r>
        <w:rPr>
          <w:color w:val="000000"/>
          <w:sz w:val="24"/>
          <w:szCs w:val="24"/>
        </w:rPr>
        <w:t>A participação nesta dispensa eletrônica se dará mediante Sistema de Dispensa Eletrônica integrante do Sistema de Compras do Governo Federal – Comprasnet 4.0,</w:t>
      </w:r>
      <w:r>
        <w:rPr>
          <w:color w:val="000000"/>
          <w:sz w:val="24"/>
          <w:szCs w:val="24"/>
        </w:rPr>
        <w:tab/>
        <w:t>disponível</w:t>
      </w:r>
      <w:r>
        <w:rPr>
          <w:color w:val="000000"/>
          <w:sz w:val="24"/>
          <w:szCs w:val="24"/>
        </w:rPr>
        <w:tab/>
        <w:t>no</w:t>
      </w:r>
      <w:r>
        <w:rPr>
          <w:color w:val="000000"/>
          <w:sz w:val="24"/>
          <w:szCs w:val="24"/>
        </w:rPr>
        <w:tab/>
        <w:t>endereço</w:t>
      </w:r>
      <w:r>
        <w:rPr>
          <w:color w:val="000000"/>
          <w:sz w:val="24"/>
          <w:szCs w:val="24"/>
        </w:rPr>
        <w:tab/>
        <w:t>eletrônico</w:t>
      </w:r>
      <w:hyperlink r:id="rId11">
        <w:r>
          <w:rPr>
            <w:rStyle w:val="ListLabel31"/>
          </w:rPr>
          <w:t xml:space="preserve"> https://www.comprasnet.gov.br/seguro/loginPortal.asp</w:t>
        </w:r>
      </w:hyperlink>
      <w:r>
        <w:rPr>
          <w:color w:val="000000"/>
          <w:sz w:val="24"/>
          <w:szCs w:val="24"/>
        </w:rPr>
        <w:t>.</w:t>
      </w:r>
    </w:p>
    <w:p w:rsidR="00967E25" w:rsidRDefault="00936B82">
      <w:pPr>
        <w:widowControl w:val="0"/>
        <w:numPr>
          <w:ilvl w:val="2"/>
          <w:numId w:val="9"/>
        </w:numPr>
        <w:tabs>
          <w:tab w:val="left" w:pos="2482"/>
        </w:tabs>
        <w:spacing w:before="122" w:line="290" w:lineRule="auto"/>
        <w:ind w:right="440" w:hanging="504"/>
        <w:jc w:val="both"/>
        <w:rPr>
          <w:color w:val="000000"/>
          <w:sz w:val="24"/>
          <w:szCs w:val="24"/>
        </w:rPr>
      </w:pPr>
      <w:r>
        <w:rPr>
          <w:color w:val="000000"/>
          <w:sz w:val="24"/>
          <w:szCs w:val="24"/>
        </w:rPr>
        <w:t>Os fornecedores deverão atender aos procedimentos previstos no Manual do Sistema de Dispensa Eletrônica, disponível no Portal de Compras do Governo Federal, para acesso ao sistema e operacionalização.</w:t>
      </w:r>
    </w:p>
    <w:p w:rsidR="00967E25" w:rsidRDefault="00936B82">
      <w:pPr>
        <w:widowControl w:val="0"/>
        <w:numPr>
          <w:ilvl w:val="2"/>
          <w:numId w:val="9"/>
        </w:numPr>
        <w:tabs>
          <w:tab w:val="left" w:pos="2482"/>
        </w:tabs>
        <w:spacing w:before="121" w:line="290" w:lineRule="auto"/>
        <w:ind w:right="437" w:hanging="504"/>
        <w:jc w:val="both"/>
        <w:rPr>
          <w:color w:val="000000"/>
          <w:sz w:val="24"/>
          <w:szCs w:val="24"/>
        </w:rPr>
      </w:pPr>
      <w:r>
        <w:rPr>
          <w:color w:val="000000"/>
          <w:sz w:val="24"/>
          <w:szCs w:val="24"/>
        </w:rPr>
        <w:t xml:space="preserve">O fornecedor é o responsável por qualquer transação efetuada diretamente ou por seu representante no Sistema de Dispensa Eletrônica, não cabendo ao provedor do Sistema ou ao órgão entidade </w:t>
      </w:r>
      <w:r>
        <w:rPr>
          <w:sz w:val="24"/>
          <w:szCs w:val="24"/>
        </w:rPr>
        <w:t>promotora</w:t>
      </w:r>
      <w:r>
        <w:rPr>
          <w:color w:val="000000"/>
          <w:sz w:val="24"/>
          <w:szCs w:val="24"/>
        </w:rPr>
        <w:t xml:space="preserve"> do procedimento a responsabilidade por eventuais danos decorrentes de uso indevido da senha, ainda que por terceiros não autorizados.</w:t>
      </w:r>
    </w:p>
    <w:p w:rsidR="00967E25" w:rsidRDefault="00936B82">
      <w:pPr>
        <w:widowControl w:val="0"/>
        <w:numPr>
          <w:ilvl w:val="1"/>
          <w:numId w:val="9"/>
        </w:numPr>
        <w:tabs>
          <w:tab w:val="left" w:pos="2482"/>
        </w:tabs>
        <w:spacing w:before="121"/>
        <w:ind w:left="2482" w:hanging="1016"/>
        <w:jc w:val="both"/>
        <w:rPr>
          <w:color w:val="000000"/>
          <w:sz w:val="24"/>
          <w:szCs w:val="24"/>
        </w:rPr>
      </w:pPr>
      <w:r>
        <w:rPr>
          <w:color w:val="000000"/>
          <w:sz w:val="24"/>
          <w:szCs w:val="24"/>
        </w:rPr>
        <w:t>Não poderão participar desta dispensa os fornecedores:</w:t>
      </w:r>
    </w:p>
    <w:p w:rsidR="00967E25" w:rsidRDefault="00936B82">
      <w:pPr>
        <w:widowControl w:val="0"/>
        <w:numPr>
          <w:ilvl w:val="2"/>
          <w:numId w:val="9"/>
        </w:numPr>
        <w:tabs>
          <w:tab w:val="left" w:pos="2482"/>
        </w:tabs>
        <w:spacing w:before="180" w:line="292" w:lineRule="auto"/>
        <w:ind w:right="440" w:hanging="504"/>
        <w:jc w:val="both"/>
        <w:rPr>
          <w:color w:val="000000"/>
          <w:sz w:val="24"/>
          <w:szCs w:val="24"/>
        </w:rPr>
      </w:pPr>
      <w:r>
        <w:rPr>
          <w:color w:val="000000"/>
          <w:sz w:val="24"/>
          <w:szCs w:val="24"/>
        </w:rPr>
        <w:t>que não atendam às condições deste Aviso de Contratação Direta e seu(s) anexo(s);</w:t>
      </w:r>
    </w:p>
    <w:p w:rsidR="00967E25" w:rsidRDefault="00936B82">
      <w:pPr>
        <w:widowControl w:val="0"/>
        <w:numPr>
          <w:ilvl w:val="2"/>
          <w:numId w:val="9"/>
        </w:numPr>
        <w:tabs>
          <w:tab w:val="left" w:pos="2482"/>
        </w:tabs>
        <w:spacing w:before="116" w:line="290" w:lineRule="auto"/>
        <w:ind w:right="436" w:hanging="504"/>
        <w:jc w:val="both"/>
        <w:rPr>
          <w:color w:val="000000"/>
          <w:sz w:val="24"/>
          <w:szCs w:val="24"/>
        </w:rPr>
      </w:pPr>
      <w:r>
        <w:rPr>
          <w:color w:val="000000"/>
          <w:sz w:val="24"/>
          <w:szCs w:val="24"/>
        </w:rPr>
        <w:t>estrangeiros que não tenham representação legal no Brasil com poderes expressos para receber citação e responder administrativa ou judicialmente;</w:t>
      </w:r>
    </w:p>
    <w:p w:rsidR="00967E25" w:rsidRDefault="00936B82">
      <w:pPr>
        <w:widowControl w:val="0"/>
        <w:numPr>
          <w:ilvl w:val="2"/>
          <w:numId w:val="9"/>
        </w:numPr>
        <w:tabs>
          <w:tab w:val="left" w:pos="2482"/>
        </w:tabs>
        <w:spacing w:before="121"/>
        <w:ind w:left="2482"/>
        <w:jc w:val="both"/>
        <w:rPr>
          <w:color w:val="000000"/>
          <w:sz w:val="24"/>
          <w:szCs w:val="24"/>
        </w:rPr>
      </w:pPr>
      <w:r>
        <w:rPr>
          <w:color w:val="000000"/>
          <w:sz w:val="24"/>
          <w:szCs w:val="24"/>
        </w:rPr>
        <w:t>que se enquadrem nas seguintes vedações:</w:t>
      </w:r>
    </w:p>
    <w:p w:rsidR="00967E25" w:rsidRDefault="00936B82">
      <w:pPr>
        <w:widowControl w:val="0"/>
        <w:numPr>
          <w:ilvl w:val="3"/>
          <w:numId w:val="9"/>
        </w:numPr>
        <w:tabs>
          <w:tab w:val="left" w:pos="2770"/>
        </w:tabs>
        <w:spacing w:before="182" w:line="290" w:lineRule="auto"/>
        <w:ind w:right="434"/>
        <w:jc w:val="both"/>
        <w:rPr>
          <w:color w:val="000000"/>
          <w:sz w:val="24"/>
          <w:szCs w:val="24"/>
        </w:rPr>
      </w:pPr>
      <w:r>
        <w:rPr>
          <w:color w:val="000000"/>
          <w:sz w:val="24"/>
          <w:szCs w:val="24"/>
        </w:rPr>
        <w:t xml:space="preserve">autor do anteprojeto, do projeto básico ou do projeto executivo, </w:t>
      </w:r>
      <w:r>
        <w:rPr>
          <w:color w:val="000000"/>
          <w:sz w:val="24"/>
          <w:szCs w:val="24"/>
        </w:rPr>
        <w:lastRenderedPageBreak/>
        <w:t>pessoa física ou jurídica, quando a contratação versar sobre obra, serviços ou fornecimento de bens a ele relacionados;</w:t>
      </w:r>
    </w:p>
    <w:p w:rsidR="00967E25" w:rsidRDefault="00936B82">
      <w:pPr>
        <w:widowControl w:val="0"/>
        <w:numPr>
          <w:ilvl w:val="3"/>
          <w:numId w:val="9"/>
        </w:numPr>
        <w:tabs>
          <w:tab w:val="left" w:pos="2770"/>
        </w:tabs>
        <w:spacing w:before="121" w:line="290" w:lineRule="auto"/>
        <w:ind w:right="436"/>
        <w:jc w:val="both"/>
        <w:rPr>
          <w:color w:val="000000"/>
          <w:sz w:val="24"/>
          <w:szCs w:val="24"/>
        </w:rPr>
      </w:pPr>
      <w:r>
        <w:rPr>
          <w:color w:val="000000"/>
          <w:sz w:val="24"/>
          <w:szCs w:val="24"/>
        </w:rPr>
        <w:t>empresa, isoladamente ou em consórcio, responsável pela elaboração do projeto básico ou do projeto executivo, ou empresa da qual o autor</w:t>
      </w:r>
      <w:r>
        <w:rPr>
          <w:sz w:val="24"/>
          <w:szCs w:val="24"/>
        </w:rPr>
        <w:t xml:space="preserve">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967E25" w:rsidRDefault="00936B82">
      <w:pPr>
        <w:widowControl w:val="0"/>
        <w:numPr>
          <w:ilvl w:val="3"/>
          <w:numId w:val="9"/>
        </w:numPr>
        <w:tabs>
          <w:tab w:val="left" w:pos="2770"/>
        </w:tabs>
        <w:spacing w:before="123" w:line="290" w:lineRule="auto"/>
        <w:ind w:right="438"/>
        <w:jc w:val="both"/>
        <w:rPr>
          <w:color w:val="000000"/>
          <w:sz w:val="24"/>
          <w:szCs w:val="24"/>
        </w:rPr>
      </w:pPr>
      <w:r>
        <w:rPr>
          <w:color w:val="000000"/>
          <w:sz w:val="24"/>
          <w:szCs w:val="24"/>
        </w:rPr>
        <w:t>pessoa física ou jurídica que se encontre, ao tempo da contratação, impossibilitada de contratar em decorrência de sanção que lhe foi imposta;</w:t>
      </w:r>
    </w:p>
    <w:p w:rsidR="00967E25" w:rsidRDefault="00936B82">
      <w:pPr>
        <w:widowControl w:val="0"/>
        <w:numPr>
          <w:ilvl w:val="3"/>
          <w:numId w:val="9"/>
        </w:numPr>
        <w:tabs>
          <w:tab w:val="left" w:pos="2770"/>
        </w:tabs>
        <w:spacing w:before="120" w:line="290" w:lineRule="auto"/>
        <w:ind w:right="436"/>
        <w:jc w:val="both"/>
        <w:rPr>
          <w:color w:val="000000"/>
          <w:sz w:val="24"/>
          <w:szCs w:val="24"/>
        </w:rPr>
      </w:pPr>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67E25" w:rsidRDefault="00936B82">
      <w:pPr>
        <w:widowControl w:val="0"/>
        <w:numPr>
          <w:ilvl w:val="3"/>
          <w:numId w:val="9"/>
        </w:numPr>
        <w:tabs>
          <w:tab w:val="left" w:pos="2770"/>
        </w:tabs>
        <w:spacing w:before="121" w:line="292" w:lineRule="auto"/>
        <w:ind w:right="434"/>
        <w:jc w:val="both"/>
      </w:pPr>
      <w:r>
        <w:rPr>
          <w:color w:val="000000"/>
          <w:sz w:val="24"/>
          <w:szCs w:val="24"/>
        </w:rPr>
        <w:t>empresas controladoras, controladas ou coligadas, nos termos da</w:t>
      </w:r>
      <w:r>
        <w:rPr>
          <w:color w:val="000080"/>
          <w:sz w:val="24"/>
          <w:szCs w:val="24"/>
        </w:rPr>
        <w:t xml:space="preserve"> </w:t>
      </w:r>
      <w:hyperlink r:id="rId12">
        <w:r>
          <w:rPr>
            <w:rStyle w:val="ListLabel31"/>
          </w:rPr>
          <w:t>Lei nº 6.404, de 15 de dezembro de 1976</w:t>
        </w:r>
      </w:hyperlink>
      <w:r>
        <w:rPr>
          <w:color w:val="000000"/>
          <w:sz w:val="24"/>
          <w:szCs w:val="24"/>
        </w:rPr>
        <w:t>, concorrendo entre si;</w:t>
      </w:r>
    </w:p>
    <w:p w:rsidR="00967E25" w:rsidRDefault="00936B82">
      <w:pPr>
        <w:widowControl w:val="0"/>
        <w:numPr>
          <w:ilvl w:val="3"/>
          <w:numId w:val="9"/>
        </w:numPr>
        <w:tabs>
          <w:tab w:val="left" w:pos="2770"/>
        </w:tabs>
        <w:spacing w:before="116" w:line="290" w:lineRule="auto"/>
        <w:ind w:right="436"/>
        <w:jc w:val="both"/>
        <w:rPr>
          <w:color w:val="000000"/>
          <w:sz w:val="24"/>
          <w:szCs w:val="24"/>
        </w:rPr>
      </w:pPr>
      <w:r>
        <w:rPr>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967E25" w:rsidRDefault="00936B82">
      <w:pPr>
        <w:widowControl w:val="0"/>
        <w:numPr>
          <w:ilvl w:val="3"/>
          <w:numId w:val="6"/>
        </w:numPr>
        <w:tabs>
          <w:tab w:val="left" w:pos="3203"/>
        </w:tabs>
        <w:spacing w:before="121" w:line="290" w:lineRule="auto"/>
        <w:ind w:right="438" w:hanging="648"/>
        <w:jc w:val="both"/>
        <w:rPr>
          <w:color w:val="000000"/>
          <w:sz w:val="24"/>
          <w:szCs w:val="24"/>
        </w:rPr>
      </w:pPr>
      <w:r>
        <w:rPr>
          <w:color w:val="000000"/>
          <w:sz w:val="24"/>
          <w:szCs w:val="24"/>
        </w:rPr>
        <w:t>Equiparam-se aos autores do projeto as empresas integrantes do mesmo grupo econômico;</w:t>
      </w:r>
    </w:p>
    <w:p w:rsidR="00967E25" w:rsidRDefault="00936B82">
      <w:pPr>
        <w:widowControl w:val="0"/>
        <w:numPr>
          <w:ilvl w:val="3"/>
          <w:numId w:val="6"/>
        </w:numPr>
        <w:tabs>
          <w:tab w:val="left" w:pos="3203"/>
        </w:tabs>
        <w:spacing w:before="121" w:line="290" w:lineRule="auto"/>
        <w:ind w:right="434" w:hanging="648"/>
        <w:jc w:val="both"/>
        <w:rPr>
          <w:color w:val="000000"/>
          <w:sz w:val="24"/>
          <w:szCs w:val="24"/>
        </w:rPr>
      </w:pPr>
      <w:r>
        <w:rPr>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967E25" w:rsidRDefault="00936B82">
      <w:pPr>
        <w:widowControl w:val="0"/>
        <w:numPr>
          <w:ilvl w:val="2"/>
          <w:numId w:val="9"/>
        </w:numPr>
        <w:tabs>
          <w:tab w:val="left" w:pos="2482"/>
        </w:tabs>
        <w:spacing w:before="121" w:line="290" w:lineRule="auto"/>
        <w:ind w:right="436" w:hanging="504"/>
        <w:jc w:val="both"/>
        <w:rPr>
          <w:color w:val="000000"/>
          <w:sz w:val="24"/>
          <w:szCs w:val="24"/>
        </w:rPr>
      </w:pPr>
      <w:r>
        <w:rPr>
          <w:color w:val="000000"/>
          <w:sz w:val="24"/>
          <w:szCs w:val="24"/>
        </w:rPr>
        <w:t>organizações da Sociedade Civil de Interesse Público - OSCIP, atuando nessa condição (Acórdão nº 746/2014-TCU-Plenário); e</w:t>
      </w:r>
    </w:p>
    <w:p w:rsidR="00967E25" w:rsidRDefault="00936B82">
      <w:pPr>
        <w:widowControl w:val="0"/>
        <w:numPr>
          <w:ilvl w:val="1"/>
          <w:numId w:val="9"/>
        </w:numPr>
        <w:tabs>
          <w:tab w:val="left" w:pos="1834"/>
        </w:tabs>
        <w:spacing w:before="121" w:line="290" w:lineRule="auto"/>
        <w:ind w:right="438"/>
        <w:jc w:val="both"/>
        <w:rPr>
          <w:color w:val="000000"/>
          <w:sz w:val="24"/>
          <w:szCs w:val="24"/>
        </w:rPr>
      </w:pPr>
      <w:r>
        <w:rPr>
          <w:color w:val="000000"/>
          <w:sz w:val="24"/>
          <w:szCs w:val="24"/>
        </w:rPr>
        <w:t xml:space="preserve">Será permitida a participação de cooperativas, desde que apresentem </w:t>
      </w:r>
      <w:r>
        <w:rPr>
          <w:color w:val="000000"/>
          <w:sz w:val="24"/>
          <w:szCs w:val="24"/>
        </w:rPr>
        <w:lastRenderedPageBreak/>
        <w:t>demonstrativo de atuação em regime cooperado, com repartição de receitas e despesas entre os cooperados e atendam ao art. 16 da Lei nº 14.133/21.</w:t>
      </w:r>
    </w:p>
    <w:p w:rsidR="00967E25" w:rsidRDefault="00936B82">
      <w:pPr>
        <w:widowControl w:val="0"/>
        <w:numPr>
          <w:ilvl w:val="2"/>
          <w:numId w:val="9"/>
        </w:numPr>
        <w:tabs>
          <w:tab w:val="left" w:pos="2482"/>
        </w:tabs>
        <w:spacing w:before="121" w:line="290" w:lineRule="auto"/>
        <w:ind w:right="438" w:hanging="504"/>
        <w:jc w:val="both"/>
        <w:rPr>
          <w:color w:val="000000"/>
          <w:sz w:val="24"/>
          <w:szCs w:val="24"/>
        </w:rPr>
      </w:pPr>
      <w:r>
        <w:rPr>
          <w:color w:val="000000"/>
          <w:sz w:val="24"/>
          <w:szCs w:val="24"/>
        </w:rPr>
        <w:t>Em sendo permitida a participação de cooperativas, serão estendidas a elas os benefícios previstos para as microempresas e empresas de pequeno porte quando elas atenderem ao disposto no art. 34 da Lei nº 11.488, de 15 de junho de 2007.</w:t>
      </w:r>
    </w:p>
    <w:p w:rsidR="00967E25" w:rsidRDefault="00936B82">
      <w:pPr>
        <w:widowControl w:val="0"/>
        <w:numPr>
          <w:ilvl w:val="0"/>
          <w:numId w:val="9"/>
        </w:numPr>
        <w:tabs>
          <w:tab w:val="left" w:pos="1402"/>
        </w:tabs>
        <w:spacing w:before="40"/>
        <w:rPr>
          <w:b/>
          <w:color w:val="000000"/>
          <w:sz w:val="24"/>
          <w:szCs w:val="24"/>
        </w:rPr>
      </w:pPr>
      <w:r>
        <w:rPr>
          <w:b/>
          <w:color w:val="000000"/>
          <w:sz w:val="24"/>
          <w:szCs w:val="24"/>
        </w:rPr>
        <w:t>INGRESSO NA DISPENSA ELETRÔNICA E CADASTRAMENTO DA PROPOSTA INICIAL</w:t>
      </w:r>
    </w:p>
    <w:p w:rsidR="00967E25" w:rsidRDefault="00936B82">
      <w:pPr>
        <w:widowControl w:val="0"/>
        <w:numPr>
          <w:ilvl w:val="1"/>
          <w:numId w:val="9"/>
        </w:numPr>
        <w:tabs>
          <w:tab w:val="left" w:pos="2482"/>
        </w:tabs>
        <w:spacing w:before="183" w:line="290" w:lineRule="auto"/>
        <w:ind w:left="1466" w:right="442" w:firstLine="0"/>
        <w:jc w:val="both"/>
        <w:rPr>
          <w:color w:val="000000"/>
          <w:sz w:val="24"/>
          <w:szCs w:val="24"/>
        </w:rPr>
      </w:pPr>
      <w:r>
        <w:rPr>
          <w:color w:val="000000"/>
          <w:sz w:val="24"/>
          <w:szCs w:val="24"/>
        </w:rPr>
        <w:t>O ingresso do fornecedor na disputa da dispensa eletrônica se dará com o cadastramento de sua proposta inicial, na forma deste item.</w:t>
      </w:r>
    </w:p>
    <w:p w:rsidR="00967E25" w:rsidRDefault="00936B82">
      <w:pPr>
        <w:widowControl w:val="0"/>
        <w:numPr>
          <w:ilvl w:val="1"/>
          <w:numId w:val="9"/>
        </w:numPr>
        <w:tabs>
          <w:tab w:val="left" w:pos="2482"/>
        </w:tabs>
        <w:spacing w:before="121" w:line="290" w:lineRule="auto"/>
        <w:ind w:left="1466" w:right="438" w:firstLine="0"/>
        <w:jc w:val="both"/>
        <w:rPr>
          <w:color w:val="000000"/>
          <w:sz w:val="24"/>
          <w:szCs w:val="24"/>
        </w:rPr>
      </w:pPr>
      <w:r>
        <w:rPr>
          <w:color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967E25" w:rsidRDefault="00936B82">
      <w:pPr>
        <w:widowControl w:val="0"/>
        <w:numPr>
          <w:ilvl w:val="2"/>
          <w:numId w:val="9"/>
        </w:numPr>
        <w:tabs>
          <w:tab w:val="left" w:pos="2482"/>
        </w:tabs>
        <w:spacing w:before="120" w:line="290" w:lineRule="auto"/>
        <w:ind w:right="440" w:hanging="504"/>
        <w:jc w:val="both"/>
        <w:rPr>
          <w:color w:val="000000"/>
          <w:sz w:val="24"/>
          <w:szCs w:val="24"/>
        </w:rPr>
      </w:pPr>
      <w:r>
        <w:rPr>
          <w:color w:val="000000"/>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67E25" w:rsidRDefault="00936B82">
      <w:pPr>
        <w:widowControl w:val="0"/>
        <w:numPr>
          <w:ilvl w:val="1"/>
          <w:numId w:val="9"/>
        </w:numPr>
        <w:tabs>
          <w:tab w:val="left" w:pos="2482"/>
        </w:tabs>
        <w:spacing w:before="122" w:line="290" w:lineRule="auto"/>
        <w:ind w:left="1466" w:right="438" w:firstLine="0"/>
        <w:jc w:val="both"/>
        <w:rPr>
          <w:b/>
          <w:color w:val="000000"/>
          <w:sz w:val="24"/>
          <w:szCs w:val="24"/>
        </w:rPr>
      </w:pPr>
      <w:r>
        <w:rPr>
          <w:b/>
          <w:color w:val="000000"/>
          <w:sz w:val="24"/>
          <w:szCs w:val="24"/>
        </w:rPr>
        <w:t>Todas as especificações do objeto contidas na proposta, em especial o preço, vinculam a Contratada.</w:t>
      </w:r>
    </w:p>
    <w:p w:rsidR="00967E25" w:rsidRDefault="00936B82">
      <w:pPr>
        <w:widowControl w:val="0"/>
        <w:numPr>
          <w:ilvl w:val="1"/>
          <w:numId w:val="9"/>
        </w:numPr>
        <w:tabs>
          <w:tab w:val="left" w:pos="2482"/>
        </w:tabs>
        <w:spacing w:before="121" w:line="290" w:lineRule="auto"/>
        <w:ind w:left="1466" w:right="438" w:firstLine="0"/>
        <w:jc w:val="both"/>
        <w:rPr>
          <w:color w:val="000000"/>
          <w:sz w:val="24"/>
          <w:szCs w:val="24"/>
        </w:rPr>
      </w:pPr>
      <w:r>
        <w:rPr>
          <w:color w:val="000000"/>
          <w:sz w:val="24"/>
          <w:szCs w:val="24"/>
        </w:rPr>
        <w:t>Nos valores propostos estarão inclusos todos os custos operacionais, encargos previdenciários, trabalhistas, tributários, comerciais e quaisquer outros que incidam direta ou indiretamente na prestação dos serviços;</w:t>
      </w:r>
    </w:p>
    <w:p w:rsidR="00967E25" w:rsidRDefault="00936B82">
      <w:pPr>
        <w:widowControl w:val="0"/>
        <w:numPr>
          <w:ilvl w:val="2"/>
          <w:numId w:val="9"/>
        </w:numPr>
        <w:tabs>
          <w:tab w:val="left" w:pos="2482"/>
        </w:tabs>
        <w:spacing w:before="120" w:line="290" w:lineRule="auto"/>
        <w:ind w:right="434" w:hanging="504"/>
        <w:jc w:val="both"/>
        <w:rPr>
          <w:color w:val="000000"/>
          <w:sz w:val="24"/>
          <w:szCs w:val="24"/>
        </w:rPr>
      </w:pPr>
      <w:r>
        <w:rPr>
          <w:color w:val="000000"/>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967E25" w:rsidRDefault="00936B82">
      <w:pPr>
        <w:widowControl w:val="0"/>
        <w:numPr>
          <w:ilvl w:val="1"/>
          <w:numId w:val="9"/>
        </w:numPr>
        <w:tabs>
          <w:tab w:val="left" w:pos="2482"/>
        </w:tabs>
        <w:spacing w:before="120" w:line="290" w:lineRule="auto"/>
        <w:ind w:left="1466" w:right="439" w:firstLine="0"/>
        <w:jc w:val="both"/>
        <w:rPr>
          <w:color w:val="000000"/>
          <w:sz w:val="24"/>
          <w:szCs w:val="24"/>
        </w:rPr>
      </w:pPr>
      <w:r>
        <w:rPr>
          <w:color w:val="000000"/>
          <w:sz w:val="24"/>
          <w:szCs w:val="24"/>
        </w:rPr>
        <w:t>Se o regime tributário da empresa implicar o recolhimento de tributos em percentuais variáveis, a cotação adequada será a que corresponde à média dos efetivos recolhimentos da empresa nos últimos doze meses.</w:t>
      </w:r>
    </w:p>
    <w:p w:rsidR="00967E25" w:rsidRDefault="00936B82">
      <w:pPr>
        <w:widowControl w:val="0"/>
        <w:numPr>
          <w:ilvl w:val="1"/>
          <w:numId w:val="9"/>
        </w:numPr>
        <w:tabs>
          <w:tab w:val="left" w:pos="2482"/>
        </w:tabs>
        <w:spacing w:before="123" w:line="290" w:lineRule="auto"/>
        <w:ind w:left="1466" w:right="435" w:firstLine="0"/>
        <w:jc w:val="both"/>
        <w:rPr>
          <w:color w:val="000000"/>
          <w:sz w:val="24"/>
          <w:szCs w:val="24"/>
        </w:rPr>
      </w:pPr>
      <w:r>
        <w:rPr>
          <w:color w:val="000000"/>
          <w:sz w:val="24"/>
          <w:szCs w:val="24"/>
        </w:rPr>
        <w:t>Independentemente do percentual de tributo inserido na planilha, no pagamento serão retidos na fonte os percentuais estabelecidos na legislação vigente.</w:t>
      </w:r>
    </w:p>
    <w:p w:rsidR="00967E25" w:rsidRDefault="00936B82">
      <w:pPr>
        <w:widowControl w:val="0"/>
        <w:numPr>
          <w:ilvl w:val="1"/>
          <w:numId w:val="9"/>
        </w:numPr>
        <w:tabs>
          <w:tab w:val="left" w:pos="2482"/>
        </w:tabs>
        <w:spacing w:before="120" w:line="290" w:lineRule="auto"/>
        <w:ind w:left="1466" w:right="432" w:firstLine="0"/>
        <w:jc w:val="both"/>
        <w:rPr>
          <w:color w:val="000000"/>
          <w:sz w:val="24"/>
          <w:szCs w:val="24"/>
        </w:rPr>
      </w:pPr>
      <w:r>
        <w:rPr>
          <w:color w:val="000000"/>
          <w:sz w:val="24"/>
          <w:szCs w:val="24"/>
        </w:rPr>
        <w:lastRenderedPageBreak/>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967E25" w:rsidRDefault="00936B82">
      <w:pPr>
        <w:widowControl w:val="0"/>
        <w:numPr>
          <w:ilvl w:val="1"/>
          <w:numId w:val="9"/>
        </w:numPr>
        <w:tabs>
          <w:tab w:val="left" w:pos="2482"/>
        </w:tabs>
        <w:spacing w:before="121" w:line="290" w:lineRule="auto"/>
        <w:ind w:left="1466" w:right="435" w:firstLine="0"/>
        <w:jc w:val="both"/>
        <w:rPr>
          <w:color w:val="000000"/>
          <w:sz w:val="24"/>
          <w:szCs w:val="24"/>
        </w:rPr>
      </w:pPr>
      <w:r>
        <w:rPr>
          <w:color w:val="000000"/>
          <w:sz w:val="24"/>
          <w:szCs w:val="24"/>
        </w:rPr>
        <w:t xml:space="preserve">Uma vez enviada a proposta no sistema, os fornecedores </w:t>
      </w:r>
      <w:r>
        <w:rPr>
          <w:b/>
          <w:color w:val="000000"/>
          <w:sz w:val="24"/>
          <w:szCs w:val="24"/>
        </w:rPr>
        <w:t xml:space="preserve">NÃO </w:t>
      </w:r>
      <w:r>
        <w:rPr>
          <w:color w:val="000000"/>
          <w:sz w:val="24"/>
          <w:szCs w:val="24"/>
        </w:rPr>
        <w:t>poderão retirá-la, substituí-la ou modificá-la;</w:t>
      </w:r>
    </w:p>
    <w:p w:rsidR="00967E25" w:rsidRDefault="00936B82">
      <w:pPr>
        <w:widowControl w:val="0"/>
        <w:numPr>
          <w:ilvl w:val="1"/>
          <w:numId w:val="9"/>
        </w:numPr>
        <w:tabs>
          <w:tab w:val="left" w:pos="2482"/>
        </w:tabs>
        <w:spacing w:before="40" w:line="290" w:lineRule="auto"/>
        <w:ind w:left="1466" w:right="437" w:firstLine="0"/>
        <w:jc w:val="both"/>
        <w:rPr>
          <w:color w:val="000000"/>
          <w:sz w:val="24"/>
          <w:szCs w:val="24"/>
        </w:rPr>
      </w:pPr>
      <w:r>
        <w:rPr>
          <w:color w:val="000000"/>
          <w:sz w:val="24"/>
          <w:szCs w:val="24"/>
        </w:rPr>
        <w:t>No cadastramento da proposta inicial, o fornecedor deverá, também, assinalar “sim” ou “não” em campo próprio do sistema eletrônico, às seguintes declarações:</w:t>
      </w:r>
    </w:p>
    <w:p w:rsidR="00967E25" w:rsidRDefault="00936B82">
      <w:pPr>
        <w:widowControl w:val="0"/>
        <w:numPr>
          <w:ilvl w:val="2"/>
          <w:numId w:val="9"/>
        </w:numPr>
        <w:tabs>
          <w:tab w:val="left" w:pos="2482"/>
        </w:tabs>
        <w:spacing w:before="123" w:line="252" w:lineRule="auto"/>
        <w:ind w:left="2227" w:right="438" w:hanging="506"/>
        <w:jc w:val="both"/>
        <w:rPr>
          <w:color w:val="000000"/>
          <w:sz w:val="24"/>
          <w:szCs w:val="24"/>
        </w:rPr>
      </w:pPr>
      <w:r>
        <w:rPr>
          <w:color w:val="000000"/>
          <w:sz w:val="24"/>
          <w:szCs w:val="24"/>
        </w:rPr>
        <w:t>que inexistem fatos impeditivos para sua habilitação no certame, ciente da obrigatoriedade de declarar ocorrências posteriores;</w:t>
      </w:r>
    </w:p>
    <w:p w:rsidR="00967E25" w:rsidRDefault="00936B82">
      <w:pPr>
        <w:widowControl w:val="0"/>
        <w:numPr>
          <w:ilvl w:val="2"/>
          <w:numId w:val="9"/>
        </w:numPr>
        <w:tabs>
          <w:tab w:val="left" w:pos="2482"/>
        </w:tabs>
        <w:spacing w:before="121" w:line="290" w:lineRule="auto"/>
        <w:ind w:right="436" w:hanging="504"/>
        <w:jc w:val="both"/>
        <w:rPr>
          <w:color w:val="000000"/>
          <w:sz w:val="24"/>
          <w:szCs w:val="24"/>
        </w:rPr>
      </w:pPr>
      <w:r>
        <w:rPr>
          <w:color w:val="000000"/>
          <w:sz w:val="24"/>
          <w:szCs w:val="24"/>
        </w:rPr>
        <w:t>que cumpre os requisitos estabelecidos no artigo 3° da Lei Complementar nº 123, de 2006, estando apto a usufruir do tratamento favorecido estabelecido em seus arts. 42 a 49.</w:t>
      </w:r>
    </w:p>
    <w:p w:rsidR="00967E25" w:rsidRDefault="00936B82">
      <w:pPr>
        <w:widowControl w:val="0"/>
        <w:numPr>
          <w:ilvl w:val="2"/>
          <w:numId w:val="9"/>
        </w:numPr>
        <w:tabs>
          <w:tab w:val="left" w:pos="2482"/>
        </w:tabs>
        <w:spacing w:before="120" w:line="290" w:lineRule="auto"/>
        <w:ind w:right="441" w:hanging="504"/>
        <w:jc w:val="both"/>
        <w:rPr>
          <w:color w:val="000000"/>
          <w:sz w:val="24"/>
          <w:szCs w:val="24"/>
        </w:rPr>
      </w:pPr>
      <w:r>
        <w:rPr>
          <w:color w:val="000000"/>
          <w:sz w:val="24"/>
          <w:szCs w:val="24"/>
        </w:rPr>
        <w:t>que está ciente e concorda com as condições contidas no Aviso de Contratação Direta e seus anexos;</w:t>
      </w:r>
    </w:p>
    <w:p w:rsidR="00967E25" w:rsidRDefault="00936B82">
      <w:pPr>
        <w:widowControl w:val="0"/>
        <w:numPr>
          <w:ilvl w:val="2"/>
          <w:numId w:val="9"/>
        </w:numPr>
        <w:tabs>
          <w:tab w:val="left" w:pos="2482"/>
        </w:tabs>
        <w:spacing w:before="121" w:line="290" w:lineRule="auto"/>
        <w:ind w:right="436" w:hanging="504"/>
        <w:jc w:val="both"/>
        <w:rPr>
          <w:color w:val="000000"/>
          <w:sz w:val="24"/>
          <w:szCs w:val="24"/>
        </w:rPr>
      </w:pPr>
      <w:r>
        <w:rPr>
          <w:color w:val="000000"/>
          <w:sz w:val="24"/>
          <w:szCs w:val="24"/>
        </w:rPr>
        <w:t>que assume a responsabilidade pelas transações que forem efetuadas no sistema, assumindo como firmes e verdadeiras;</w:t>
      </w:r>
    </w:p>
    <w:p w:rsidR="00967E25" w:rsidRDefault="00936B82">
      <w:pPr>
        <w:widowControl w:val="0"/>
        <w:numPr>
          <w:ilvl w:val="2"/>
          <w:numId w:val="9"/>
        </w:numPr>
        <w:tabs>
          <w:tab w:val="left" w:pos="2482"/>
        </w:tabs>
        <w:spacing w:before="119" w:line="290" w:lineRule="auto"/>
        <w:ind w:right="438" w:hanging="504"/>
        <w:jc w:val="both"/>
        <w:rPr>
          <w:color w:val="000000"/>
          <w:sz w:val="24"/>
          <w:szCs w:val="24"/>
        </w:rPr>
      </w:pPr>
      <w:r>
        <w:rPr>
          <w:color w:val="000000"/>
          <w:sz w:val="24"/>
          <w:szCs w:val="24"/>
        </w:rPr>
        <w:t>que cumpre as exigências de reserva de cargos para pessoa com deficiência e para reabilitado da Previdência Social, de que trata o art. 93 da Lei nº 8.213/91.</w:t>
      </w:r>
    </w:p>
    <w:p w:rsidR="00967E25" w:rsidRDefault="00936B82">
      <w:pPr>
        <w:widowControl w:val="0"/>
        <w:numPr>
          <w:ilvl w:val="2"/>
          <w:numId w:val="9"/>
        </w:numPr>
        <w:tabs>
          <w:tab w:val="left" w:pos="2482"/>
        </w:tabs>
        <w:spacing w:before="123" w:line="290" w:lineRule="auto"/>
        <w:ind w:right="436" w:hanging="504"/>
        <w:jc w:val="both"/>
        <w:rPr>
          <w:color w:val="000000"/>
          <w:sz w:val="24"/>
          <w:szCs w:val="24"/>
        </w:rPr>
      </w:pPr>
      <w:r>
        <w:rPr>
          <w:color w:val="000000"/>
          <w:sz w:val="24"/>
          <w:szCs w:val="24"/>
        </w:rPr>
        <w:t>que não emprega menor de 18 anos em trabalho noturno, perigoso ou insalubre e não emprega menor de 16 anos, salvo menor, a partir de 14 anos, na condição de aprendiz, nos termos do artigo 7°, XXXIII, da Constituição;</w:t>
      </w:r>
    </w:p>
    <w:p w:rsidR="00967E25" w:rsidRDefault="00936B82">
      <w:pPr>
        <w:widowControl w:val="0"/>
        <w:numPr>
          <w:ilvl w:val="1"/>
          <w:numId w:val="9"/>
        </w:numPr>
        <w:tabs>
          <w:tab w:val="left" w:pos="2482"/>
        </w:tabs>
        <w:spacing w:before="120" w:line="290" w:lineRule="auto"/>
        <w:ind w:right="440"/>
        <w:jc w:val="both"/>
        <w:rPr>
          <w:color w:val="000000"/>
          <w:sz w:val="24"/>
          <w:szCs w:val="24"/>
        </w:rPr>
      </w:pPr>
      <w:r>
        <w:rPr>
          <w:color w:val="000000"/>
          <w:sz w:val="24"/>
          <w:szCs w:val="24"/>
        </w:rPr>
        <w:t>Fica facultado ao fornecedor, ao cadastrar sua proposta inicial, a parametrização de valor final mínimo, com o registro do seu lance final aceitável (menor preço ou maior desconto, conforme o caso).</w:t>
      </w:r>
    </w:p>
    <w:p w:rsidR="00967E25" w:rsidRDefault="00936B82">
      <w:pPr>
        <w:widowControl w:val="0"/>
        <w:numPr>
          <w:ilvl w:val="2"/>
          <w:numId w:val="9"/>
        </w:numPr>
        <w:tabs>
          <w:tab w:val="left" w:pos="2482"/>
        </w:tabs>
        <w:spacing w:before="120" w:line="290" w:lineRule="auto"/>
        <w:ind w:right="439" w:hanging="504"/>
        <w:jc w:val="both"/>
        <w:rPr>
          <w:color w:val="000000"/>
          <w:sz w:val="24"/>
          <w:szCs w:val="24"/>
        </w:rPr>
      </w:pPr>
      <w:r>
        <w:rPr>
          <w:color w:val="000000"/>
          <w:sz w:val="24"/>
          <w:szCs w:val="24"/>
        </w:rPr>
        <w:t>Feita essa opção os lances serão enviados automaticamente pelo sistema, respeitados os limites cadastrados pelo fornecedor e o intervalo mínimo entre lances previsto neste aviso.</w:t>
      </w:r>
    </w:p>
    <w:p w:rsidR="00967E25" w:rsidRDefault="00936B82">
      <w:pPr>
        <w:spacing w:before="121" w:line="290" w:lineRule="auto"/>
        <w:ind w:left="2770" w:right="437" w:hanging="648"/>
        <w:jc w:val="both"/>
        <w:rPr>
          <w:sz w:val="24"/>
          <w:szCs w:val="24"/>
        </w:rPr>
      </w:pPr>
      <w:r>
        <w:rPr>
          <w:sz w:val="24"/>
          <w:szCs w:val="24"/>
        </w:rPr>
        <w:t>3.10.1.1. Sem prejuízo do disposto acima, os lances poderão ser enviados manualmente, na forma da seção respectiva deste Aviso de Contratação Direta;</w:t>
      </w:r>
    </w:p>
    <w:p w:rsidR="00967E25" w:rsidRDefault="00936B82">
      <w:pPr>
        <w:widowControl w:val="0"/>
        <w:numPr>
          <w:ilvl w:val="2"/>
          <w:numId w:val="9"/>
        </w:numPr>
        <w:tabs>
          <w:tab w:val="left" w:pos="2482"/>
        </w:tabs>
        <w:spacing w:before="120" w:line="290" w:lineRule="auto"/>
        <w:ind w:right="442" w:hanging="504"/>
        <w:jc w:val="both"/>
        <w:rPr>
          <w:color w:val="000000"/>
          <w:sz w:val="24"/>
          <w:szCs w:val="24"/>
        </w:rPr>
      </w:pPr>
      <w:r>
        <w:rPr>
          <w:color w:val="000000"/>
          <w:sz w:val="24"/>
          <w:szCs w:val="24"/>
        </w:rPr>
        <w:t xml:space="preserve">O valor final mínimo poderá ser alterado pelo fornecedor durante a fase de disputa, desde que não assuma valor superior a </w:t>
      </w:r>
      <w:r>
        <w:rPr>
          <w:color w:val="000000"/>
          <w:sz w:val="24"/>
          <w:szCs w:val="24"/>
        </w:rPr>
        <w:lastRenderedPageBreak/>
        <w:t>lance já registrado por ele no sistema.</w:t>
      </w:r>
    </w:p>
    <w:p w:rsidR="00967E25" w:rsidRDefault="00936B82">
      <w:pPr>
        <w:widowControl w:val="0"/>
        <w:numPr>
          <w:ilvl w:val="2"/>
          <w:numId w:val="9"/>
        </w:numPr>
        <w:tabs>
          <w:tab w:val="left" w:pos="2482"/>
        </w:tabs>
        <w:spacing w:before="123" w:line="290" w:lineRule="auto"/>
        <w:ind w:right="437" w:hanging="504"/>
        <w:jc w:val="both"/>
        <w:rPr>
          <w:color w:val="000000"/>
          <w:sz w:val="24"/>
          <w:szCs w:val="24"/>
        </w:rPr>
      </w:pPr>
      <w:r>
        <w:rPr>
          <w:color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967E25" w:rsidRDefault="00967E25">
      <w:pPr>
        <w:widowControl w:val="0"/>
        <w:rPr>
          <w:color w:val="000000"/>
          <w:sz w:val="24"/>
          <w:szCs w:val="24"/>
        </w:rPr>
      </w:pPr>
    </w:p>
    <w:p w:rsidR="00967E25" w:rsidRDefault="00967E25">
      <w:pPr>
        <w:widowControl w:val="0"/>
        <w:spacing w:before="3"/>
        <w:rPr>
          <w:color w:val="000000"/>
          <w:sz w:val="24"/>
          <w:szCs w:val="24"/>
        </w:rPr>
      </w:pPr>
    </w:p>
    <w:p w:rsidR="00967E25" w:rsidRDefault="00936B82">
      <w:pPr>
        <w:widowControl w:val="0"/>
        <w:numPr>
          <w:ilvl w:val="0"/>
          <w:numId w:val="9"/>
        </w:numPr>
        <w:tabs>
          <w:tab w:val="left" w:pos="1402"/>
        </w:tabs>
        <w:rPr>
          <w:b/>
          <w:color w:val="000000"/>
          <w:sz w:val="24"/>
          <w:szCs w:val="24"/>
        </w:rPr>
      </w:pPr>
      <w:r>
        <w:rPr>
          <w:b/>
          <w:color w:val="000000"/>
          <w:sz w:val="24"/>
          <w:szCs w:val="24"/>
        </w:rPr>
        <w:t>FASE DE LANCES</w:t>
      </w:r>
    </w:p>
    <w:p w:rsidR="00967E25" w:rsidRDefault="00967E25">
      <w:pPr>
        <w:widowControl w:val="0"/>
        <w:tabs>
          <w:tab w:val="left" w:pos="1402"/>
        </w:tabs>
        <w:ind w:left="1402"/>
        <w:rPr>
          <w:b/>
          <w:sz w:val="24"/>
          <w:szCs w:val="24"/>
        </w:rPr>
      </w:pPr>
    </w:p>
    <w:p w:rsidR="00967E25" w:rsidRDefault="00936B82">
      <w:pPr>
        <w:widowControl w:val="0"/>
        <w:tabs>
          <w:tab w:val="left" w:pos="1402"/>
        </w:tabs>
        <w:ind w:left="1402"/>
        <w:rPr>
          <w:color w:val="000000"/>
          <w:sz w:val="24"/>
          <w:szCs w:val="24"/>
        </w:rPr>
      </w:pPr>
      <w:r>
        <w:rPr>
          <w:color w:val="000000"/>
          <w:sz w:val="24"/>
          <w:szCs w:val="24"/>
        </w:rPr>
        <w:t xml:space="preserve">A partir das </w:t>
      </w:r>
      <w:r w:rsidR="00406970">
        <w:rPr>
          <w:color w:val="000000"/>
          <w:sz w:val="24"/>
          <w:szCs w:val="24"/>
          <w:highlight w:val="yellow"/>
        </w:rPr>
        <w:t>9</w:t>
      </w:r>
      <w:r>
        <w:rPr>
          <w:color w:val="000000"/>
          <w:sz w:val="24"/>
          <w:szCs w:val="24"/>
          <w:highlight w:val="yellow"/>
        </w:rPr>
        <w:t xml:space="preserve"> (oito) horas</w:t>
      </w:r>
      <w:r>
        <w:rPr>
          <w:color w:val="000000"/>
          <w:sz w:val="24"/>
          <w:szCs w:val="24"/>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967E25" w:rsidRDefault="00936B82">
      <w:pPr>
        <w:widowControl w:val="0"/>
        <w:numPr>
          <w:ilvl w:val="1"/>
          <w:numId w:val="9"/>
        </w:numPr>
        <w:tabs>
          <w:tab w:val="left" w:pos="1834"/>
        </w:tabs>
        <w:spacing w:before="2" w:line="290" w:lineRule="auto"/>
        <w:ind w:right="440"/>
        <w:jc w:val="both"/>
        <w:rPr>
          <w:color w:val="000000"/>
          <w:sz w:val="24"/>
          <w:szCs w:val="24"/>
        </w:rPr>
      </w:pPr>
      <w:r>
        <w:rPr>
          <w:color w:val="000000"/>
          <w:sz w:val="24"/>
          <w:szCs w:val="24"/>
        </w:rPr>
        <w:t>Iniciada a etapa competitiva, os fornecedores deverão encaminhar lances exclusivamente por meio de sistema eletrônico, sendo imediatamente informados do seu recebimento e do valor consignado no registro.</w:t>
      </w:r>
    </w:p>
    <w:p w:rsidR="00967E25" w:rsidRDefault="00936B82">
      <w:pPr>
        <w:widowControl w:val="0"/>
        <w:numPr>
          <w:ilvl w:val="2"/>
          <w:numId w:val="9"/>
        </w:numPr>
        <w:tabs>
          <w:tab w:val="left" w:pos="2482"/>
        </w:tabs>
        <w:ind w:left="2482"/>
        <w:jc w:val="both"/>
        <w:rPr>
          <w:color w:val="000000"/>
          <w:sz w:val="24"/>
          <w:szCs w:val="24"/>
        </w:rPr>
      </w:pPr>
      <w:r>
        <w:rPr>
          <w:color w:val="000000"/>
          <w:sz w:val="24"/>
          <w:szCs w:val="24"/>
        </w:rPr>
        <w:t>O lance deverá ser ofertado pelo valor unitário do item.</w:t>
      </w:r>
    </w:p>
    <w:p w:rsidR="00967E25" w:rsidRDefault="00936B82">
      <w:pPr>
        <w:widowControl w:val="0"/>
        <w:numPr>
          <w:ilvl w:val="1"/>
          <w:numId w:val="9"/>
        </w:numPr>
        <w:tabs>
          <w:tab w:val="left" w:pos="1834"/>
        </w:tabs>
        <w:spacing w:before="63" w:line="290" w:lineRule="auto"/>
        <w:ind w:right="438"/>
        <w:jc w:val="both"/>
        <w:rPr>
          <w:color w:val="000000"/>
          <w:sz w:val="24"/>
          <w:szCs w:val="24"/>
        </w:rPr>
      </w:pPr>
      <w:r>
        <w:rPr>
          <w:color w:val="000000"/>
          <w:sz w:val="24"/>
          <w:szCs w:val="24"/>
        </w:rPr>
        <w:t>O fornecedor somente poderá oferecer valor inferior ou maior percentual de desconto em relação ao último lance por ele ofertado e registrado pelo sistema.</w:t>
      </w:r>
    </w:p>
    <w:p w:rsidR="00967E25" w:rsidRDefault="00936B82">
      <w:pPr>
        <w:widowControl w:val="0"/>
        <w:numPr>
          <w:ilvl w:val="2"/>
          <w:numId w:val="9"/>
        </w:numPr>
        <w:tabs>
          <w:tab w:val="left" w:pos="2482"/>
        </w:tabs>
        <w:spacing w:before="1" w:line="290" w:lineRule="auto"/>
        <w:ind w:right="437" w:hanging="504"/>
        <w:jc w:val="both"/>
        <w:rPr>
          <w:color w:val="000000"/>
          <w:sz w:val="24"/>
          <w:szCs w:val="24"/>
        </w:rPr>
      </w:pPr>
      <w:r>
        <w:rPr>
          <w:color w:val="000000"/>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967E25" w:rsidRDefault="00936B82">
      <w:pPr>
        <w:widowControl w:val="0"/>
        <w:numPr>
          <w:ilvl w:val="2"/>
          <w:numId w:val="9"/>
        </w:numPr>
        <w:tabs>
          <w:tab w:val="left" w:pos="2482"/>
        </w:tabs>
        <w:spacing w:line="290" w:lineRule="auto"/>
        <w:ind w:right="438" w:hanging="504"/>
        <w:jc w:val="both"/>
        <w:rPr>
          <w:rFonts w:ascii="Carlito" w:eastAsia="Carlito" w:hAnsi="Carlito" w:cs="Carlito"/>
          <w:i/>
          <w:color w:val="000000"/>
          <w:sz w:val="24"/>
          <w:szCs w:val="24"/>
        </w:rPr>
      </w:pPr>
      <w:r>
        <w:rPr>
          <w:color w:val="000000"/>
          <w:sz w:val="24"/>
          <w:szCs w:val="24"/>
        </w:rPr>
        <w:t xml:space="preserve">O intervalo mínimo de diferença de valores ou percentuais entre os lances, que incidirá tanto em relação aos lances intermediários quanto em relação ao que cobrir a melhor oferta é de </w:t>
      </w:r>
      <w:r>
        <w:rPr>
          <w:rFonts w:eastAsia="Carlito" w:cs="Carlito"/>
          <w:i/>
          <w:color w:val="FF0000"/>
          <w:sz w:val="24"/>
          <w:szCs w:val="24"/>
        </w:rPr>
        <w:t>1% (um por cento).</w:t>
      </w:r>
    </w:p>
    <w:p w:rsidR="00967E25" w:rsidRDefault="00936B82">
      <w:pPr>
        <w:widowControl w:val="0"/>
        <w:numPr>
          <w:ilvl w:val="1"/>
          <w:numId w:val="9"/>
        </w:numPr>
        <w:tabs>
          <w:tab w:val="left" w:pos="1834"/>
        </w:tabs>
        <w:spacing w:line="254" w:lineRule="auto"/>
        <w:jc w:val="both"/>
        <w:rPr>
          <w:color w:val="000000"/>
          <w:sz w:val="24"/>
          <w:szCs w:val="24"/>
        </w:rPr>
      </w:pPr>
      <w:r>
        <w:rPr>
          <w:color w:val="000000"/>
          <w:sz w:val="24"/>
          <w:szCs w:val="24"/>
        </w:rPr>
        <w:t>Havendo lances iguais ao menor já ofertado, prevalecerá aquele que for</w:t>
      </w:r>
    </w:p>
    <w:p w:rsidR="00967E25" w:rsidRDefault="00936B82">
      <w:pPr>
        <w:spacing w:before="62"/>
        <w:ind w:left="1834"/>
        <w:jc w:val="both"/>
        <w:rPr>
          <w:sz w:val="24"/>
          <w:szCs w:val="24"/>
        </w:rPr>
      </w:pPr>
      <w:r>
        <w:rPr>
          <w:sz w:val="24"/>
          <w:szCs w:val="24"/>
        </w:rPr>
        <w:t>recebido e registrado primeiro no sistema.</w:t>
      </w:r>
    </w:p>
    <w:p w:rsidR="00967E25" w:rsidRDefault="00936B82">
      <w:pPr>
        <w:widowControl w:val="0"/>
        <w:numPr>
          <w:ilvl w:val="1"/>
          <w:numId w:val="9"/>
        </w:numPr>
        <w:tabs>
          <w:tab w:val="left" w:pos="1834"/>
        </w:tabs>
        <w:spacing w:before="60" w:line="290" w:lineRule="auto"/>
        <w:ind w:right="437"/>
        <w:jc w:val="both"/>
        <w:rPr>
          <w:color w:val="000000"/>
          <w:sz w:val="24"/>
          <w:szCs w:val="24"/>
        </w:rPr>
      </w:pPr>
      <w:r>
        <w:rPr>
          <w:color w:val="000000"/>
          <w:sz w:val="24"/>
          <w:szCs w:val="24"/>
        </w:rPr>
        <w:t>Caso o fornecedor não apresente lances, concorrerá com o valor de sua proposta.</w:t>
      </w:r>
    </w:p>
    <w:p w:rsidR="00967E25" w:rsidRDefault="00936B82">
      <w:pPr>
        <w:widowControl w:val="0"/>
        <w:numPr>
          <w:ilvl w:val="1"/>
          <w:numId w:val="9"/>
        </w:numPr>
        <w:tabs>
          <w:tab w:val="left" w:pos="1834"/>
        </w:tabs>
        <w:spacing w:before="1" w:line="290" w:lineRule="auto"/>
        <w:ind w:right="439"/>
        <w:jc w:val="both"/>
        <w:rPr>
          <w:color w:val="000000"/>
          <w:sz w:val="24"/>
          <w:szCs w:val="24"/>
        </w:rPr>
      </w:pPr>
      <w:r>
        <w:rPr>
          <w:color w:val="000000"/>
          <w:sz w:val="24"/>
          <w:szCs w:val="24"/>
        </w:rPr>
        <w:t>Durante o procedimento, os fornecedores serão informados, em tempo real, do valor do menor lance registrado, vedada a identificação do fornecedor.</w:t>
      </w:r>
    </w:p>
    <w:p w:rsidR="00967E25" w:rsidRDefault="00936B82">
      <w:pPr>
        <w:widowControl w:val="0"/>
        <w:numPr>
          <w:ilvl w:val="1"/>
          <w:numId w:val="9"/>
        </w:numPr>
        <w:tabs>
          <w:tab w:val="left" w:pos="1834"/>
        </w:tabs>
        <w:spacing w:before="2" w:line="290" w:lineRule="auto"/>
        <w:ind w:right="441"/>
        <w:jc w:val="both"/>
        <w:rPr>
          <w:color w:val="000000"/>
          <w:sz w:val="24"/>
          <w:szCs w:val="24"/>
        </w:rPr>
      </w:pPr>
      <w:r>
        <w:rPr>
          <w:color w:val="000000"/>
          <w:sz w:val="24"/>
          <w:szCs w:val="24"/>
        </w:rPr>
        <w:t>Imediatamente após o término do prazo estabelecido para a fase de lances, haverá o seu encerramento, com o ordenamento e divulgação dos lances, pelo sistema, em ordem crescente de classificação.</w:t>
      </w:r>
    </w:p>
    <w:p w:rsidR="00967E25" w:rsidRDefault="00936B82">
      <w:pPr>
        <w:widowControl w:val="0"/>
        <w:numPr>
          <w:ilvl w:val="2"/>
          <w:numId w:val="9"/>
        </w:numPr>
        <w:tabs>
          <w:tab w:val="left" w:pos="2482"/>
        </w:tabs>
        <w:spacing w:line="290" w:lineRule="auto"/>
        <w:ind w:right="437" w:hanging="504"/>
        <w:jc w:val="both"/>
        <w:rPr>
          <w:color w:val="000000"/>
          <w:sz w:val="24"/>
          <w:szCs w:val="24"/>
        </w:rPr>
      </w:pPr>
      <w:r>
        <w:rPr>
          <w:color w:val="000000"/>
          <w:sz w:val="24"/>
          <w:szCs w:val="24"/>
        </w:rPr>
        <w:t xml:space="preserve">O encerramento da fase de lances ocorrerá de forma automática pontualmente no horário indicado, </w:t>
      </w:r>
      <w:r>
        <w:rPr>
          <w:b/>
          <w:color w:val="000000"/>
          <w:sz w:val="24"/>
          <w:szCs w:val="24"/>
        </w:rPr>
        <w:t xml:space="preserve">sem qualquer possibilidade de prorrogação e não havendo tempo aleatório ou mecanismo </w:t>
      </w:r>
      <w:r>
        <w:rPr>
          <w:b/>
          <w:sz w:val="24"/>
          <w:szCs w:val="24"/>
        </w:rPr>
        <w:lastRenderedPageBreak/>
        <w:t>s</w:t>
      </w:r>
      <w:r>
        <w:rPr>
          <w:b/>
          <w:color w:val="000000"/>
          <w:sz w:val="24"/>
          <w:szCs w:val="24"/>
        </w:rPr>
        <w:t>imilar</w:t>
      </w:r>
      <w:r>
        <w:rPr>
          <w:color w:val="000000"/>
          <w:sz w:val="24"/>
          <w:szCs w:val="24"/>
        </w:rPr>
        <w:t>.</w:t>
      </w:r>
    </w:p>
    <w:p w:rsidR="00967E25" w:rsidRDefault="00967E25">
      <w:pPr>
        <w:widowControl w:val="0"/>
        <w:rPr>
          <w:color w:val="000000"/>
          <w:sz w:val="24"/>
          <w:szCs w:val="24"/>
        </w:rPr>
      </w:pPr>
    </w:p>
    <w:p w:rsidR="00967E25" w:rsidRDefault="00936B82">
      <w:pPr>
        <w:pStyle w:val="Ttulo1"/>
        <w:numPr>
          <w:ilvl w:val="0"/>
          <w:numId w:val="9"/>
        </w:numPr>
        <w:tabs>
          <w:tab w:val="left" w:pos="1402"/>
        </w:tabs>
        <w:spacing w:before="180"/>
      </w:pPr>
      <w:r>
        <w:t>JULGAMENTO DAS PROPOSTAS DE PREÇO</w:t>
      </w:r>
    </w:p>
    <w:p w:rsidR="00967E25" w:rsidRDefault="00936B82">
      <w:pPr>
        <w:pStyle w:val="Ttulo2"/>
        <w:numPr>
          <w:ilvl w:val="1"/>
          <w:numId w:val="9"/>
        </w:numPr>
        <w:tabs>
          <w:tab w:val="left" w:pos="1834"/>
        </w:tabs>
        <w:spacing w:before="183" w:line="290" w:lineRule="auto"/>
        <w:ind w:right="435"/>
      </w:pPr>
      <w:r>
        <w:t>Encerrada a fase de lances, será verificada a conformidade da proposta classificada em primeiro lugar quanto à adequação do objeto e à compatibilidade do preço em relação ao estipulado para a contratação.</w:t>
      </w:r>
    </w:p>
    <w:p w:rsidR="00967E25" w:rsidRDefault="00936B82">
      <w:pPr>
        <w:widowControl w:val="0"/>
        <w:numPr>
          <w:ilvl w:val="1"/>
          <w:numId w:val="9"/>
        </w:numPr>
        <w:tabs>
          <w:tab w:val="left" w:pos="1834"/>
        </w:tabs>
        <w:spacing w:before="1" w:line="290" w:lineRule="auto"/>
        <w:ind w:right="442"/>
        <w:jc w:val="both"/>
        <w:rPr>
          <w:color w:val="000000"/>
          <w:sz w:val="24"/>
          <w:szCs w:val="24"/>
        </w:rPr>
      </w:pPr>
      <w:r>
        <w:rPr>
          <w:color w:val="000000"/>
          <w:sz w:val="24"/>
          <w:szCs w:val="24"/>
        </w:rPr>
        <w:t>No caso de o preço da proposta vencedora estar acima do estimado pela Administração, poderá haver a negociação de condições mais vantajosas.</w:t>
      </w:r>
    </w:p>
    <w:p w:rsidR="00967E25" w:rsidRDefault="00936B82">
      <w:pPr>
        <w:widowControl w:val="0"/>
        <w:numPr>
          <w:ilvl w:val="2"/>
          <w:numId w:val="9"/>
        </w:numPr>
        <w:tabs>
          <w:tab w:val="left" w:pos="2482"/>
        </w:tabs>
        <w:spacing w:before="1" w:line="290" w:lineRule="auto"/>
        <w:ind w:right="442" w:hanging="504"/>
        <w:jc w:val="both"/>
        <w:rPr>
          <w:color w:val="000000"/>
          <w:sz w:val="24"/>
          <w:szCs w:val="24"/>
        </w:rPr>
      </w:pPr>
      <w:r>
        <w:rPr>
          <w:color w:val="000000"/>
          <w:sz w:val="24"/>
          <w:szCs w:val="24"/>
        </w:rPr>
        <w:t>Neste caso, será encaminhada contraproposta ao fornecedor que tenha apresentado o melhor preço, para que seja obtida melhor proposta com preço compatível ao estimado pela Administração.</w:t>
      </w:r>
    </w:p>
    <w:p w:rsidR="00967E25" w:rsidRDefault="00936B82">
      <w:pPr>
        <w:widowControl w:val="0"/>
        <w:numPr>
          <w:ilvl w:val="2"/>
          <w:numId w:val="9"/>
        </w:numPr>
        <w:tabs>
          <w:tab w:val="left" w:pos="2482"/>
        </w:tabs>
        <w:spacing w:before="40" w:line="290" w:lineRule="auto"/>
        <w:ind w:right="436" w:hanging="504"/>
        <w:jc w:val="both"/>
        <w:rPr>
          <w:color w:val="000000"/>
          <w:sz w:val="24"/>
          <w:szCs w:val="24"/>
        </w:rPr>
      </w:pPr>
      <w:r>
        <w:rPr>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967E25" w:rsidRDefault="00936B82">
      <w:pPr>
        <w:widowControl w:val="0"/>
        <w:numPr>
          <w:ilvl w:val="2"/>
          <w:numId w:val="9"/>
        </w:numPr>
        <w:tabs>
          <w:tab w:val="left" w:pos="2482"/>
        </w:tabs>
        <w:spacing w:before="3" w:line="290" w:lineRule="auto"/>
        <w:ind w:right="436" w:hanging="504"/>
        <w:jc w:val="both"/>
        <w:rPr>
          <w:color w:val="000000"/>
          <w:sz w:val="24"/>
          <w:szCs w:val="24"/>
        </w:rPr>
      </w:pPr>
      <w:r>
        <w:rPr>
          <w:color w:val="000000"/>
          <w:sz w:val="24"/>
          <w:szCs w:val="24"/>
        </w:rPr>
        <w:t>Em qualquer caso, concluída a negociação, o resultado será registrado na ata do procedimento da dispensa eletrônica.</w:t>
      </w:r>
    </w:p>
    <w:p w:rsidR="00967E25" w:rsidRDefault="00936B82">
      <w:pPr>
        <w:widowControl w:val="0"/>
        <w:numPr>
          <w:ilvl w:val="1"/>
          <w:numId w:val="9"/>
        </w:numPr>
        <w:tabs>
          <w:tab w:val="left" w:pos="1834"/>
        </w:tabs>
        <w:spacing w:before="1" w:line="290" w:lineRule="auto"/>
        <w:ind w:right="441"/>
        <w:rPr>
          <w:color w:val="000000"/>
          <w:sz w:val="24"/>
          <w:szCs w:val="24"/>
        </w:rPr>
      </w:pPr>
      <w:r>
        <w:rPr>
          <w:color w:val="000000"/>
          <w:sz w:val="24"/>
          <w:szCs w:val="24"/>
        </w:rPr>
        <w:t>Estando o preço compatível, será solicitado o envio da proposta e, se necessário, de documentos complementares, adequada ao último lance.</w:t>
      </w:r>
    </w:p>
    <w:p w:rsidR="00967E25" w:rsidRDefault="00936B82">
      <w:pPr>
        <w:widowControl w:val="0"/>
        <w:numPr>
          <w:ilvl w:val="1"/>
          <w:numId w:val="9"/>
        </w:numPr>
        <w:tabs>
          <w:tab w:val="left" w:pos="1834"/>
        </w:tabs>
        <w:spacing w:before="118" w:line="292" w:lineRule="auto"/>
        <w:ind w:right="433"/>
        <w:rPr>
          <w:color w:val="000000"/>
          <w:sz w:val="24"/>
          <w:szCs w:val="24"/>
        </w:rPr>
      </w:pPr>
      <w:r>
        <w:rPr>
          <w:color w:val="000000"/>
          <w:sz w:val="24"/>
          <w:szCs w:val="24"/>
        </w:rPr>
        <w:t xml:space="preserve">O prazo de validade da proposta não será inferior a </w:t>
      </w:r>
      <w:r>
        <w:rPr>
          <w:color w:val="FF0000"/>
          <w:sz w:val="24"/>
          <w:szCs w:val="24"/>
        </w:rPr>
        <w:t xml:space="preserve">90 (noventa) </w:t>
      </w:r>
      <w:r>
        <w:rPr>
          <w:color w:val="000000"/>
          <w:sz w:val="24"/>
          <w:szCs w:val="24"/>
        </w:rPr>
        <w:t>dias</w:t>
      </w:r>
      <w:r>
        <w:rPr>
          <w:b/>
          <w:color w:val="000000"/>
          <w:sz w:val="24"/>
          <w:szCs w:val="24"/>
        </w:rPr>
        <w:t xml:space="preserve">, </w:t>
      </w:r>
      <w:r>
        <w:rPr>
          <w:color w:val="000000"/>
          <w:sz w:val="24"/>
          <w:szCs w:val="24"/>
        </w:rPr>
        <w:t>a contar da data de sua apresentação.</w:t>
      </w:r>
    </w:p>
    <w:p w:rsidR="00967E25" w:rsidRDefault="00936B82">
      <w:pPr>
        <w:widowControl w:val="0"/>
        <w:numPr>
          <w:ilvl w:val="1"/>
          <w:numId w:val="9"/>
        </w:numPr>
        <w:tabs>
          <w:tab w:val="left" w:pos="1834"/>
        </w:tabs>
        <w:spacing w:before="116"/>
        <w:rPr>
          <w:color w:val="000000"/>
          <w:sz w:val="24"/>
          <w:szCs w:val="24"/>
        </w:rPr>
      </w:pPr>
      <w:r>
        <w:rPr>
          <w:color w:val="000000"/>
          <w:sz w:val="24"/>
          <w:szCs w:val="24"/>
        </w:rPr>
        <w:t>Será desclassificada a proposta vencedora que:</w:t>
      </w:r>
    </w:p>
    <w:p w:rsidR="00967E25" w:rsidRDefault="00936B82">
      <w:pPr>
        <w:widowControl w:val="0"/>
        <w:numPr>
          <w:ilvl w:val="2"/>
          <w:numId w:val="9"/>
        </w:numPr>
        <w:tabs>
          <w:tab w:val="left" w:pos="2482"/>
        </w:tabs>
        <w:spacing w:before="63"/>
        <w:ind w:left="2482"/>
        <w:rPr>
          <w:color w:val="000000"/>
          <w:sz w:val="24"/>
          <w:szCs w:val="24"/>
        </w:rPr>
      </w:pPr>
      <w:r>
        <w:rPr>
          <w:color w:val="000000"/>
          <w:sz w:val="24"/>
          <w:szCs w:val="24"/>
        </w:rPr>
        <w:t>contiver vícios insanáveis;</w:t>
      </w:r>
    </w:p>
    <w:p w:rsidR="00967E25" w:rsidRDefault="00936B82">
      <w:pPr>
        <w:widowControl w:val="0"/>
        <w:numPr>
          <w:ilvl w:val="2"/>
          <w:numId w:val="9"/>
        </w:numPr>
        <w:tabs>
          <w:tab w:val="left" w:pos="2482"/>
        </w:tabs>
        <w:spacing w:before="60" w:line="290" w:lineRule="auto"/>
        <w:ind w:right="439" w:hanging="504"/>
        <w:rPr>
          <w:color w:val="000000"/>
          <w:sz w:val="24"/>
          <w:szCs w:val="24"/>
        </w:rPr>
      </w:pPr>
      <w:r>
        <w:rPr>
          <w:color w:val="000000"/>
          <w:sz w:val="24"/>
          <w:szCs w:val="24"/>
        </w:rPr>
        <w:t>não obedecer às especificações técnicas pormenorizadas neste aviso ou em seus anexos;</w:t>
      </w:r>
    </w:p>
    <w:p w:rsidR="00967E25" w:rsidRDefault="00936B82">
      <w:pPr>
        <w:widowControl w:val="0"/>
        <w:numPr>
          <w:ilvl w:val="2"/>
          <w:numId w:val="9"/>
        </w:numPr>
        <w:tabs>
          <w:tab w:val="left" w:pos="2482"/>
        </w:tabs>
        <w:spacing w:before="1" w:line="290" w:lineRule="auto"/>
        <w:ind w:right="438" w:hanging="504"/>
        <w:rPr>
          <w:color w:val="000000"/>
          <w:sz w:val="24"/>
          <w:szCs w:val="24"/>
        </w:rPr>
      </w:pPr>
      <w:r>
        <w:rPr>
          <w:color w:val="000000"/>
          <w:sz w:val="24"/>
          <w:szCs w:val="24"/>
        </w:rPr>
        <w:t>apresentar preços inexequíveis ou permanecerem acima do preço máximo definido para a contratação;</w:t>
      </w:r>
    </w:p>
    <w:p w:rsidR="00967E25" w:rsidRDefault="00936B82">
      <w:pPr>
        <w:widowControl w:val="0"/>
        <w:numPr>
          <w:ilvl w:val="2"/>
          <w:numId w:val="9"/>
        </w:numPr>
        <w:tabs>
          <w:tab w:val="left" w:pos="2482"/>
        </w:tabs>
        <w:spacing w:before="1" w:line="290" w:lineRule="auto"/>
        <w:ind w:right="440" w:hanging="504"/>
        <w:rPr>
          <w:color w:val="000000"/>
          <w:sz w:val="24"/>
          <w:szCs w:val="24"/>
        </w:rPr>
      </w:pPr>
      <w:r>
        <w:rPr>
          <w:color w:val="000000"/>
          <w:sz w:val="24"/>
          <w:szCs w:val="24"/>
        </w:rPr>
        <w:t>não tiverem sua exequibilidade demonstrada, quando exigido pela Administração;</w:t>
      </w:r>
    </w:p>
    <w:p w:rsidR="00967E25" w:rsidRDefault="00936B82">
      <w:pPr>
        <w:widowControl w:val="0"/>
        <w:numPr>
          <w:ilvl w:val="2"/>
          <w:numId w:val="9"/>
        </w:numPr>
        <w:tabs>
          <w:tab w:val="left" w:pos="2482"/>
        </w:tabs>
        <w:spacing w:line="292" w:lineRule="auto"/>
        <w:ind w:right="440" w:hanging="504"/>
        <w:rPr>
          <w:color w:val="000000"/>
          <w:sz w:val="24"/>
          <w:szCs w:val="24"/>
        </w:rPr>
      </w:pPr>
      <w:r>
        <w:rPr>
          <w:color w:val="000000"/>
          <w:sz w:val="24"/>
          <w:szCs w:val="24"/>
        </w:rPr>
        <w:t>apresentar desconformidade com quaisquer outras exigências deste aviso ou seus anexos, desde que insanável.</w:t>
      </w:r>
    </w:p>
    <w:p w:rsidR="00967E25" w:rsidRDefault="00936B82">
      <w:pPr>
        <w:widowControl w:val="0"/>
        <w:numPr>
          <w:ilvl w:val="1"/>
          <w:numId w:val="9"/>
        </w:numPr>
        <w:tabs>
          <w:tab w:val="left" w:pos="1834"/>
        </w:tabs>
        <w:spacing w:line="290" w:lineRule="auto"/>
        <w:ind w:right="439"/>
        <w:jc w:val="both"/>
        <w:rPr>
          <w:color w:val="000000"/>
          <w:sz w:val="24"/>
          <w:szCs w:val="24"/>
        </w:rPr>
      </w:pPr>
      <w:r>
        <w:rPr>
          <w:color w:val="000000"/>
          <w:sz w:val="24"/>
          <w:szCs w:val="24"/>
        </w:rPr>
        <w:t>Quando o fornecedor não conseguir comprovar que possui ou possuirá recursos suficientes para executar a contento o objeto, será considerada inexequível a proposta de preços ou menor lance que:</w:t>
      </w:r>
    </w:p>
    <w:p w:rsidR="00967E25" w:rsidRDefault="00936B82">
      <w:pPr>
        <w:widowControl w:val="0"/>
        <w:numPr>
          <w:ilvl w:val="2"/>
          <w:numId w:val="9"/>
        </w:numPr>
        <w:tabs>
          <w:tab w:val="left" w:pos="2482"/>
        </w:tabs>
        <w:spacing w:line="290" w:lineRule="auto"/>
        <w:ind w:right="435" w:hanging="504"/>
        <w:jc w:val="both"/>
        <w:rPr>
          <w:color w:val="000000"/>
          <w:sz w:val="24"/>
          <w:szCs w:val="24"/>
        </w:rPr>
      </w:pPr>
      <w:r>
        <w:rPr>
          <w:color w:val="000000"/>
          <w:sz w:val="24"/>
          <w:szCs w:val="24"/>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w:t>
      </w:r>
      <w:r>
        <w:rPr>
          <w:color w:val="000000"/>
          <w:sz w:val="24"/>
          <w:szCs w:val="24"/>
        </w:rPr>
        <w:lastRenderedPageBreak/>
        <w:t>convocatório da dispensa não tenha estabelecido limites mínimos, exceto quando se referirem a materiais e instalações de propriedade do próprio fornecedor, para os quais ele renuncie a parcela ou à totalidade da remuneração.</w:t>
      </w:r>
    </w:p>
    <w:p w:rsidR="00967E25" w:rsidRDefault="00936B82">
      <w:pPr>
        <w:widowControl w:val="0"/>
        <w:numPr>
          <w:ilvl w:val="2"/>
          <w:numId w:val="9"/>
        </w:numPr>
        <w:tabs>
          <w:tab w:val="left" w:pos="2482"/>
        </w:tabs>
        <w:spacing w:line="290" w:lineRule="auto"/>
        <w:ind w:right="436" w:hanging="504"/>
        <w:jc w:val="both"/>
        <w:rPr>
          <w:color w:val="000000"/>
          <w:sz w:val="24"/>
          <w:szCs w:val="24"/>
        </w:rPr>
      </w:pPr>
      <w:r>
        <w:rPr>
          <w:color w:val="000000"/>
          <w:sz w:val="24"/>
          <w:szCs w:val="24"/>
        </w:rPr>
        <w:t>apresentar um ou mais valores da planilha de custo que sejam inferiores àqueles fixados em instrumentos de caráter normativo obrigatório, tais como leis, medidas provisórias e convenções coletivas de trabalho vigentes.</w:t>
      </w:r>
    </w:p>
    <w:p w:rsidR="00967E25" w:rsidRDefault="00936B82">
      <w:pPr>
        <w:widowControl w:val="0"/>
        <w:numPr>
          <w:ilvl w:val="1"/>
          <w:numId w:val="9"/>
        </w:numPr>
        <w:tabs>
          <w:tab w:val="left" w:pos="1834"/>
        </w:tabs>
        <w:spacing w:line="290" w:lineRule="auto"/>
        <w:ind w:right="422"/>
        <w:jc w:val="both"/>
        <w:rPr>
          <w:color w:val="000000"/>
          <w:sz w:val="24"/>
          <w:szCs w:val="24"/>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rsidR="00967E25" w:rsidRDefault="00936B82">
      <w:pPr>
        <w:widowControl w:val="0"/>
        <w:numPr>
          <w:ilvl w:val="1"/>
          <w:numId w:val="9"/>
        </w:numPr>
        <w:tabs>
          <w:tab w:val="left" w:pos="1834"/>
        </w:tabs>
        <w:spacing w:line="290" w:lineRule="auto"/>
        <w:ind w:right="436"/>
        <w:jc w:val="both"/>
        <w:rPr>
          <w:color w:val="000000"/>
          <w:sz w:val="24"/>
          <w:szCs w:val="24"/>
        </w:rPr>
      </w:pPr>
      <w:r>
        <w:rPr>
          <w:color w:val="000000"/>
          <w:sz w:val="24"/>
          <w:szCs w:val="24"/>
        </w:rPr>
        <w:t>Para fins de análise da proposta quanto ao cumprimento das especificações do objeto, poderá ser colhida a manifestação escrita do setor requisitante ou da área especializada no objeto.</w:t>
      </w:r>
    </w:p>
    <w:p w:rsidR="00967E25" w:rsidRDefault="00936B82">
      <w:pPr>
        <w:widowControl w:val="0"/>
        <w:numPr>
          <w:ilvl w:val="1"/>
          <w:numId w:val="9"/>
        </w:numPr>
        <w:tabs>
          <w:tab w:val="left" w:pos="1834"/>
        </w:tabs>
        <w:spacing w:before="40" w:line="290" w:lineRule="auto"/>
        <w:ind w:right="435"/>
        <w:jc w:val="both"/>
        <w:rPr>
          <w:color w:val="000000"/>
          <w:sz w:val="24"/>
          <w:szCs w:val="24"/>
        </w:rPr>
      </w:pPr>
      <w:r>
        <w:rPr>
          <w:color w:val="000000"/>
          <w:sz w:val="24"/>
          <w:szCs w:val="24"/>
        </w:rPr>
        <w:t>Erros no preenchimento da planilha não constituem motivo para a desclassificação da proposta. A planilha poderá ser ajustada pelo fornecedor, no prazo indicado pelo sistema, desde que não haja majoração do preço.</w:t>
      </w:r>
    </w:p>
    <w:p w:rsidR="00967E25" w:rsidRDefault="00936B82">
      <w:pPr>
        <w:widowControl w:val="0"/>
        <w:numPr>
          <w:ilvl w:val="2"/>
          <w:numId w:val="9"/>
        </w:numPr>
        <w:tabs>
          <w:tab w:val="left" w:pos="2482"/>
        </w:tabs>
        <w:spacing w:before="3" w:line="290" w:lineRule="auto"/>
        <w:ind w:right="436" w:hanging="504"/>
        <w:jc w:val="both"/>
        <w:rPr>
          <w:color w:val="000000"/>
          <w:sz w:val="24"/>
          <w:szCs w:val="24"/>
        </w:rPr>
      </w:pPr>
      <w:r>
        <w:rPr>
          <w:color w:val="000000"/>
          <w:sz w:val="24"/>
          <w:szCs w:val="24"/>
        </w:rPr>
        <w:t>O ajuste de que trata este dispositivo se limita a sanar erros ou falhas que não alterem a substância das propostas;</w:t>
      </w:r>
    </w:p>
    <w:p w:rsidR="00967E25" w:rsidRDefault="00936B82">
      <w:pPr>
        <w:widowControl w:val="0"/>
        <w:numPr>
          <w:ilvl w:val="2"/>
          <w:numId w:val="9"/>
        </w:numPr>
        <w:tabs>
          <w:tab w:val="left" w:pos="2482"/>
        </w:tabs>
        <w:spacing w:line="290" w:lineRule="auto"/>
        <w:ind w:right="437" w:hanging="504"/>
        <w:jc w:val="both"/>
        <w:rPr>
          <w:color w:val="000000"/>
          <w:sz w:val="24"/>
          <w:szCs w:val="24"/>
        </w:rPr>
      </w:pPr>
      <w:r>
        <w:rPr>
          <w:color w:val="000000"/>
          <w:sz w:val="24"/>
          <w:szCs w:val="24"/>
        </w:rPr>
        <w:t>Considera-se erro no preenchimento da planilha passível de correção a indicação de recolhimento de impostos e contribuições na forma do Simples Nacional, quando não cabível esse regime.</w:t>
      </w:r>
    </w:p>
    <w:p w:rsidR="00967E25" w:rsidRDefault="00936B82">
      <w:pPr>
        <w:widowControl w:val="0"/>
        <w:numPr>
          <w:ilvl w:val="1"/>
          <w:numId w:val="9"/>
        </w:numPr>
        <w:tabs>
          <w:tab w:val="left" w:pos="2482"/>
        </w:tabs>
        <w:spacing w:line="290" w:lineRule="auto"/>
        <w:ind w:right="435"/>
        <w:jc w:val="both"/>
        <w:rPr>
          <w:color w:val="000000"/>
          <w:sz w:val="24"/>
          <w:szCs w:val="24"/>
        </w:rPr>
      </w:pPr>
      <w:r>
        <w:rPr>
          <w:color w:val="000000"/>
          <w:sz w:val="24"/>
          <w:szCs w:val="24"/>
        </w:rPr>
        <w:t>Se a proposta ou lance vencedor for desclassificado, será examinada a proposta ou lance subsequente, e, assim sucessivamente, na ordem de classificação.</w:t>
      </w:r>
    </w:p>
    <w:p w:rsidR="00967E25" w:rsidRDefault="00936B82">
      <w:pPr>
        <w:widowControl w:val="0"/>
        <w:numPr>
          <w:ilvl w:val="1"/>
          <w:numId w:val="9"/>
        </w:numPr>
        <w:tabs>
          <w:tab w:val="left" w:pos="2482"/>
        </w:tabs>
        <w:spacing w:before="2" w:line="290" w:lineRule="auto"/>
        <w:ind w:right="436"/>
        <w:jc w:val="both"/>
        <w:rPr>
          <w:color w:val="000000"/>
          <w:sz w:val="24"/>
          <w:szCs w:val="24"/>
        </w:rPr>
      </w:pPr>
      <w:r>
        <w:rPr>
          <w:color w:val="000000"/>
          <w:sz w:val="24"/>
          <w:szCs w:val="24"/>
        </w:rPr>
        <w:t>Havendo necessidade, a sessão será suspensa, informando-se no “chat” a nova data e horário para a sua continuidade.</w:t>
      </w:r>
    </w:p>
    <w:p w:rsidR="00967E25" w:rsidRDefault="00936B82">
      <w:pPr>
        <w:widowControl w:val="0"/>
        <w:numPr>
          <w:ilvl w:val="1"/>
          <w:numId w:val="9"/>
        </w:numPr>
        <w:tabs>
          <w:tab w:val="left" w:pos="2482"/>
        </w:tabs>
        <w:spacing w:line="292" w:lineRule="auto"/>
        <w:ind w:right="439"/>
        <w:jc w:val="both"/>
        <w:rPr>
          <w:color w:val="000000"/>
          <w:sz w:val="24"/>
          <w:szCs w:val="24"/>
        </w:rPr>
      </w:pPr>
      <w:r>
        <w:rPr>
          <w:color w:val="000000"/>
          <w:sz w:val="24"/>
          <w:szCs w:val="24"/>
        </w:rPr>
        <w:t>Encerrada a análise quanto à aceitação da proposta, se iniciará a fase de habilitação, observado o disposto neste Aviso de Contratação Direta.</w:t>
      </w:r>
    </w:p>
    <w:p w:rsidR="00967E25" w:rsidRDefault="00936B82">
      <w:pPr>
        <w:widowControl w:val="0"/>
        <w:numPr>
          <w:ilvl w:val="0"/>
          <w:numId w:val="9"/>
        </w:numPr>
        <w:tabs>
          <w:tab w:val="left" w:pos="1402"/>
        </w:tabs>
        <w:spacing w:before="115"/>
        <w:rPr>
          <w:b/>
          <w:color w:val="000000"/>
          <w:sz w:val="24"/>
          <w:szCs w:val="24"/>
        </w:rPr>
      </w:pPr>
      <w:r>
        <w:rPr>
          <w:b/>
          <w:color w:val="000000"/>
          <w:sz w:val="24"/>
          <w:szCs w:val="24"/>
        </w:rPr>
        <w:t>HABILITAÇÃO</w:t>
      </w:r>
    </w:p>
    <w:p w:rsidR="00967E25" w:rsidRDefault="00936B82">
      <w:pPr>
        <w:widowControl w:val="0"/>
        <w:numPr>
          <w:ilvl w:val="1"/>
          <w:numId w:val="9"/>
        </w:numPr>
        <w:tabs>
          <w:tab w:val="left" w:pos="1833"/>
          <w:tab w:val="left" w:pos="1834"/>
        </w:tabs>
        <w:spacing w:before="182"/>
        <w:ind w:hanging="574"/>
        <w:rPr>
          <w:b/>
          <w:color w:val="000000"/>
          <w:sz w:val="24"/>
          <w:szCs w:val="24"/>
        </w:rPr>
      </w:pPr>
      <w:r>
        <w:rPr>
          <w:color w:val="000000"/>
          <w:sz w:val="24"/>
          <w:szCs w:val="24"/>
        </w:rPr>
        <w:t xml:space="preserve">Os documentos a serem exigidos para fins de habilitação constam do </w:t>
      </w:r>
      <w:r>
        <w:rPr>
          <w:b/>
          <w:color w:val="000000"/>
          <w:sz w:val="24"/>
          <w:szCs w:val="24"/>
        </w:rPr>
        <w:t>ANEXO I</w:t>
      </w:r>
    </w:p>
    <w:p w:rsidR="00967E25" w:rsidRDefault="00936B82">
      <w:pPr>
        <w:spacing w:before="60" w:line="290" w:lineRule="auto"/>
        <w:ind w:left="1834" w:right="436"/>
        <w:jc w:val="both"/>
        <w:rPr>
          <w:sz w:val="24"/>
          <w:szCs w:val="24"/>
        </w:rPr>
      </w:pPr>
      <w:r>
        <w:rPr>
          <w:b/>
          <w:sz w:val="24"/>
          <w:szCs w:val="24"/>
        </w:rPr>
        <w:t xml:space="preserve">– DOCUMENTAÇÃO EXIGIDA PARA HABILITAÇÃO </w:t>
      </w:r>
      <w:r>
        <w:rPr>
          <w:sz w:val="24"/>
          <w:szCs w:val="24"/>
        </w:rPr>
        <w:t>deste aviso e serão solicitados do fornecedor mais bem classificado da fase de lances.</w:t>
      </w:r>
    </w:p>
    <w:p w:rsidR="00967E25" w:rsidRDefault="00936B82">
      <w:pPr>
        <w:pStyle w:val="Ttulo2"/>
        <w:numPr>
          <w:ilvl w:val="1"/>
          <w:numId w:val="9"/>
        </w:numPr>
        <w:tabs>
          <w:tab w:val="left" w:pos="1834"/>
        </w:tabs>
        <w:spacing w:before="1" w:line="290" w:lineRule="auto"/>
        <w:ind w:right="437" w:hanging="574"/>
      </w:pPr>
      <w: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w:t>
      </w:r>
      <w:r>
        <w:lastRenderedPageBreak/>
        <w:t>no certame ou a futura contratação, mediante a consulta aos seguintes cadastros:</w:t>
      </w:r>
    </w:p>
    <w:p w:rsidR="00967E25" w:rsidRDefault="00936B82">
      <w:pPr>
        <w:widowControl w:val="0"/>
        <w:numPr>
          <w:ilvl w:val="0"/>
          <w:numId w:val="5"/>
        </w:numPr>
        <w:tabs>
          <w:tab w:val="left" w:pos="2417"/>
        </w:tabs>
        <w:spacing w:before="2"/>
        <w:ind w:hanging="243"/>
        <w:jc w:val="both"/>
        <w:rPr>
          <w:color w:val="000000"/>
          <w:sz w:val="24"/>
          <w:szCs w:val="24"/>
        </w:rPr>
      </w:pPr>
      <w:r>
        <w:rPr>
          <w:color w:val="000000"/>
          <w:sz w:val="24"/>
          <w:szCs w:val="24"/>
        </w:rPr>
        <w:t>SICAF;</w:t>
      </w:r>
    </w:p>
    <w:p w:rsidR="00967E25" w:rsidRDefault="00936B82">
      <w:pPr>
        <w:widowControl w:val="0"/>
        <w:numPr>
          <w:ilvl w:val="0"/>
          <w:numId w:val="5"/>
        </w:numPr>
        <w:tabs>
          <w:tab w:val="left" w:pos="2458"/>
          <w:tab w:val="left" w:pos="3989"/>
          <w:tab w:val="left" w:pos="7332"/>
          <w:tab w:val="left" w:pos="8972"/>
        </w:tabs>
        <w:spacing w:before="60" w:line="290" w:lineRule="auto"/>
        <w:ind w:left="2174" w:right="436" w:firstLine="0"/>
        <w:jc w:val="both"/>
      </w:pPr>
      <w:r>
        <w:rPr>
          <w:color w:val="000000"/>
          <w:sz w:val="24"/>
          <w:szCs w:val="24"/>
        </w:rPr>
        <w:t>Cadastro Nacional de Empresas Inidôneas e Suspensas - CEIS, mantido pela</w:t>
      </w:r>
      <w:r>
        <w:rPr>
          <w:color w:val="000000"/>
          <w:sz w:val="24"/>
          <w:szCs w:val="24"/>
        </w:rPr>
        <w:tab/>
        <w:t>Controladoria-Geral</w:t>
      </w:r>
      <w:r>
        <w:rPr>
          <w:color w:val="000000"/>
          <w:sz w:val="24"/>
          <w:szCs w:val="24"/>
        </w:rPr>
        <w:tab/>
        <w:t>da</w:t>
      </w:r>
      <w:r>
        <w:rPr>
          <w:color w:val="000000"/>
          <w:sz w:val="24"/>
          <w:szCs w:val="24"/>
        </w:rPr>
        <w:tab/>
        <w:t>União (</w:t>
      </w:r>
      <w:hyperlink r:id="rId13">
        <w:r>
          <w:rPr>
            <w:rStyle w:val="ListLabel31"/>
          </w:rPr>
          <w:t>www.portaldatransparencia.gov.br/ceis</w:t>
        </w:r>
      </w:hyperlink>
      <w:r>
        <w:rPr>
          <w:color w:val="000000"/>
          <w:sz w:val="24"/>
          <w:szCs w:val="24"/>
        </w:rPr>
        <w:t>);</w:t>
      </w:r>
    </w:p>
    <w:p w:rsidR="00967E25" w:rsidRDefault="00936B82">
      <w:pPr>
        <w:widowControl w:val="0"/>
        <w:numPr>
          <w:ilvl w:val="0"/>
          <w:numId w:val="5"/>
        </w:numPr>
        <w:tabs>
          <w:tab w:val="left" w:pos="2470"/>
        </w:tabs>
        <w:spacing w:line="290" w:lineRule="auto"/>
        <w:ind w:left="2174" w:right="440" w:firstLine="0"/>
        <w:jc w:val="both"/>
      </w:pPr>
      <w:r>
        <w:rPr>
          <w:color w:val="000000"/>
          <w:sz w:val="24"/>
          <w:szCs w:val="24"/>
        </w:rPr>
        <w:t>Cadastro Nacional de Condenações Cíveis por Atos de Improbidade Administrativa, mantido pelo Conselho Nacional de Justiça (</w:t>
      </w:r>
      <w:hyperlink r:id="rId14">
        <w:r>
          <w:rPr>
            <w:rStyle w:val="ListLabel31"/>
          </w:rPr>
          <w:t>www.cnj.jus.br/improbidade_adm/consultar_requerido.php</w:t>
        </w:r>
      </w:hyperlink>
      <w:r>
        <w:rPr>
          <w:color w:val="000000"/>
          <w:sz w:val="24"/>
          <w:szCs w:val="24"/>
        </w:rPr>
        <w:t>).</w:t>
      </w:r>
    </w:p>
    <w:p w:rsidR="00967E25" w:rsidRDefault="00936B82">
      <w:pPr>
        <w:widowControl w:val="0"/>
        <w:numPr>
          <w:ilvl w:val="0"/>
          <w:numId w:val="5"/>
        </w:numPr>
        <w:tabs>
          <w:tab w:val="left" w:pos="2429"/>
        </w:tabs>
        <w:spacing w:before="1"/>
        <w:ind w:left="2428" w:hanging="255"/>
        <w:jc w:val="both"/>
        <w:rPr>
          <w:color w:val="000000"/>
          <w:sz w:val="24"/>
          <w:szCs w:val="24"/>
        </w:rPr>
      </w:pPr>
      <w:r>
        <w:rPr>
          <w:color w:val="000000"/>
          <w:sz w:val="24"/>
          <w:szCs w:val="24"/>
        </w:rPr>
        <w:t>Lista de Inidôneos mantida pelo Tribunal de Contas da União - TCU;</w:t>
      </w:r>
    </w:p>
    <w:p w:rsidR="00967E25" w:rsidRDefault="00936B82">
      <w:pPr>
        <w:widowControl w:val="0"/>
        <w:numPr>
          <w:ilvl w:val="2"/>
          <w:numId w:val="9"/>
        </w:numPr>
        <w:tabs>
          <w:tab w:val="left" w:pos="2482"/>
        </w:tabs>
        <w:spacing w:before="62" w:line="290" w:lineRule="auto"/>
        <w:ind w:right="432" w:hanging="504"/>
        <w:jc w:val="both"/>
      </w:pPr>
      <w:r>
        <w:rPr>
          <w:color w:val="000000"/>
          <w:sz w:val="24"/>
          <w:szCs w:val="24"/>
        </w:rPr>
        <w:t xml:space="preserve">Para a consulta de fornecedores </w:t>
      </w:r>
      <w:r>
        <w:rPr>
          <w:b/>
          <w:color w:val="000000"/>
          <w:sz w:val="24"/>
          <w:szCs w:val="24"/>
        </w:rPr>
        <w:t xml:space="preserve">pessoa jurídica </w:t>
      </w:r>
      <w:r>
        <w:rPr>
          <w:color w:val="000000"/>
          <w:sz w:val="24"/>
          <w:szCs w:val="24"/>
        </w:rPr>
        <w:t>poderá haver a substituição das consultas das alíneas “b”, “c” e “d” acima pela Consulta Consolidada de Pessoa Jurídica do TCU (</w:t>
      </w:r>
      <w:hyperlink r:id="rId15">
        <w:r>
          <w:rPr>
            <w:rStyle w:val="ListLabel31"/>
          </w:rPr>
          <w:t>https://certidoes- apf.apps.tcu.gov.br/</w:t>
        </w:r>
      </w:hyperlink>
      <w:r>
        <w:rPr>
          <w:color w:val="000000"/>
          <w:sz w:val="24"/>
          <w:szCs w:val="24"/>
        </w:rPr>
        <w:t>)</w:t>
      </w:r>
    </w:p>
    <w:p w:rsidR="00967E25" w:rsidRDefault="00936B82">
      <w:pPr>
        <w:widowControl w:val="0"/>
        <w:numPr>
          <w:ilvl w:val="2"/>
          <w:numId w:val="9"/>
        </w:numPr>
        <w:tabs>
          <w:tab w:val="left" w:pos="2482"/>
        </w:tabs>
        <w:spacing w:line="290" w:lineRule="auto"/>
        <w:ind w:right="436" w:hanging="504"/>
        <w:jc w:val="both"/>
        <w:rPr>
          <w:color w:val="000000"/>
          <w:sz w:val="24"/>
          <w:szCs w:val="24"/>
        </w:rPr>
      </w:pPr>
      <w:r>
        <w:rPr>
          <w:color w:val="000000"/>
          <w:sz w:val="24"/>
          <w:szCs w:val="24"/>
        </w:rPr>
        <w:t xml:space="preserve">A consulta aos cadastros será realizada em nome da empresa fornecedora </w:t>
      </w:r>
      <w:r>
        <w:rPr>
          <w:b/>
          <w:color w:val="000000"/>
          <w:sz w:val="24"/>
          <w:szCs w:val="24"/>
        </w:rPr>
        <w:t>e também de seu sócio majoritário</w:t>
      </w:r>
      <w:r>
        <w:rPr>
          <w:color w:val="000000"/>
          <w:sz w:val="24"/>
          <w:szCs w:val="24"/>
        </w:rPr>
        <w:t>, por força do artigo 12 da Lei n° 8.429, de 1992, que prevê, dentre as sanções impostas ao responsável pela prática de ato de improbidade administrativa, a proibição</w:t>
      </w:r>
      <w:r>
        <w:rPr>
          <w:sz w:val="24"/>
          <w:szCs w:val="24"/>
        </w:rPr>
        <w:t xml:space="preserve"> de contratar com o Poder Público, inclusive por intermédio de pessoa jurídica da qual seja sócio majoritário.</w:t>
      </w:r>
    </w:p>
    <w:p w:rsidR="00967E25" w:rsidRDefault="00936B82">
      <w:pPr>
        <w:widowControl w:val="0"/>
        <w:numPr>
          <w:ilvl w:val="3"/>
          <w:numId w:val="4"/>
        </w:numPr>
        <w:tabs>
          <w:tab w:val="left" w:pos="3203"/>
        </w:tabs>
        <w:spacing w:line="290" w:lineRule="auto"/>
        <w:ind w:right="437" w:hanging="648"/>
        <w:jc w:val="both"/>
        <w:rPr>
          <w:color w:val="000000"/>
          <w:sz w:val="24"/>
          <w:szCs w:val="24"/>
        </w:rPr>
      </w:pPr>
      <w:r>
        <w:rPr>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rsidR="00967E25" w:rsidRDefault="00936B82">
      <w:pPr>
        <w:widowControl w:val="0"/>
        <w:numPr>
          <w:ilvl w:val="4"/>
          <w:numId w:val="4"/>
        </w:numPr>
        <w:tabs>
          <w:tab w:val="left" w:pos="3923"/>
        </w:tabs>
        <w:spacing w:line="290" w:lineRule="auto"/>
        <w:ind w:right="439" w:hanging="793"/>
        <w:jc w:val="both"/>
        <w:rPr>
          <w:color w:val="000000"/>
          <w:sz w:val="24"/>
          <w:szCs w:val="24"/>
        </w:rPr>
      </w:pPr>
      <w:r>
        <w:rPr>
          <w:color w:val="000000"/>
          <w:sz w:val="24"/>
          <w:szCs w:val="24"/>
        </w:rPr>
        <w:t>A tentativa de burla será verificada por meio dos vínculos societários, linhas de fornecimento similares, dentre outros.</w:t>
      </w:r>
    </w:p>
    <w:p w:rsidR="00967E25" w:rsidRDefault="00936B82">
      <w:pPr>
        <w:widowControl w:val="0"/>
        <w:numPr>
          <w:ilvl w:val="4"/>
          <w:numId w:val="4"/>
        </w:numPr>
        <w:tabs>
          <w:tab w:val="left" w:pos="3923"/>
        </w:tabs>
        <w:spacing w:line="292" w:lineRule="auto"/>
        <w:ind w:right="436" w:hanging="793"/>
        <w:jc w:val="both"/>
        <w:rPr>
          <w:color w:val="000000"/>
          <w:sz w:val="24"/>
          <w:szCs w:val="24"/>
        </w:rPr>
      </w:pPr>
      <w:r>
        <w:rPr>
          <w:color w:val="000000"/>
          <w:sz w:val="24"/>
          <w:szCs w:val="24"/>
        </w:rPr>
        <w:t>O fornecedor será convocado para manifestação previamente à sua desclassificação</w:t>
      </w:r>
    </w:p>
    <w:p w:rsidR="00967E25" w:rsidRDefault="00936B82">
      <w:pPr>
        <w:widowControl w:val="0"/>
        <w:numPr>
          <w:ilvl w:val="2"/>
          <w:numId w:val="9"/>
        </w:numPr>
        <w:tabs>
          <w:tab w:val="left" w:pos="2482"/>
        </w:tabs>
        <w:spacing w:line="292" w:lineRule="auto"/>
        <w:ind w:right="442" w:hanging="504"/>
        <w:jc w:val="both"/>
        <w:rPr>
          <w:color w:val="000000"/>
          <w:sz w:val="24"/>
          <w:szCs w:val="24"/>
        </w:rPr>
      </w:pPr>
      <w:r>
        <w:rPr>
          <w:color w:val="000000"/>
          <w:sz w:val="24"/>
          <w:szCs w:val="24"/>
        </w:rPr>
        <w:t>Constatada a existência de sanção, o fornecedor será reputado inabilitado, por falta de condição de participação.</w:t>
      </w:r>
    </w:p>
    <w:p w:rsidR="00967E25" w:rsidRDefault="00936B82">
      <w:pPr>
        <w:widowControl w:val="0"/>
        <w:numPr>
          <w:ilvl w:val="1"/>
          <w:numId w:val="9"/>
        </w:numPr>
        <w:tabs>
          <w:tab w:val="left" w:pos="1834"/>
        </w:tabs>
        <w:spacing w:line="290" w:lineRule="auto"/>
        <w:ind w:right="442" w:hanging="574"/>
        <w:jc w:val="both"/>
        <w:rPr>
          <w:color w:val="000000"/>
          <w:sz w:val="24"/>
          <w:szCs w:val="24"/>
        </w:rPr>
      </w:pPr>
      <w:r>
        <w:rPr>
          <w:color w:val="000000"/>
          <w:sz w:val="24"/>
          <w:szCs w:val="24"/>
        </w:rPr>
        <w:t>Caso atendidas as condições de participação, a habilitação dos fornecedores será verificada por meio do SICAF, nos documentos por ele abrangidos.</w:t>
      </w:r>
    </w:p>
    <w:p w:rsidR="00967E25" w:rsidRDefault="00936B82">
      <w:pPr>
        <w:widowControl w:val="0"/>
        <w:numPr>
          <w:ilvl w:val="2"/>
          <w:numId w:val="9"/>
        </w:numPr>
        <w:tabs>
          <w:tab w:val="left" w:pos="2482"/>
        </w:tabs>
        <w:spacing w:line="290" w:lineRule="auto"/>
        <w:ind w:right="441" w:hanging="504"/>
        <w:jc w:val="both"/>
        <w:rPr>
          <w:b/>
          <w:color w:val="000000"/>
          <w:sz w:val="24"/>
          <w:szCs w:val="24"/>
        </w:rPr>
      </w:pPr>
      <w:r>
        <w:rPr>
          <w:b/>
          <w:color w:val="000000"/>
          <w:sz w:val="24"/>
          <w:szCs w:val="24"/>
        </w:rPr>
        <w:t>É dever do fornecedor atualizar previamente as comprovações constantes do SICAF para que estejam vigentes na data da abertura da sessão pública, ou encaminhar, quando solicitado, a respectiva documentação atualizada.</w:t>
      </w:r>
    </w:p>
    <w:p w:rsidR="00967E25" w:rsidRDefault="00936B82">
      <w:pPr>
        <w:widowControl w:val="0"/>
        <w:numPr>
          <w:ilvl w:val="2"/>
          <w:numId w:val="9"/>
        </w:numPr>
        <w:tabs>
          <w:tab w:val="left" w:pos="2482"/>
        </w:tabs>
        <w:spacing w:line="290" w:lineRule="auto"/>
        <w:ind w:right="436" w:hanging="504"/>
        <w:jc w:val="both"/>
        <w:rPr>
          <w:color w:val="000000"/>
          <w:sz w:val="24"/>
          <w:szCs w:val="24"/>
        </w:rPr>
      </w:pPr>
      <w:r>
        <w:rPr>
          <w:color w:val="000000"/>
          <w:sz w:val="24"/>
          <w:szCs w:val="24"/>
        </w:rPr>
        <w:t xml:space="preserve">O descumprimento do subitem acima implicará a inabilitação do fornecedor, exceto se a consulta aos sítios eletrônicos oficiais emissores de certidões lograr êxito em encontrar a(s) certidão(ões) </w:t>
      </w:r>
      <w:r>
        <w:rPr>
          <w:color w:val="000000"/>
          <w:sz w:val="24"/>
          <w:szCs w:val="24"/>
        </w:rPr>
        <w:lastRenderedPageBreak/>
        <w:t>válida(s).</w:t>
      </w:r>
    </w:p>
    <w:p w:rsidR="00967E25" w:rsidRDefault="00936B82">
      <w:pPr>
        <w:widowControl w:val="0"/>
        <w:numPr>
          <w:ilvl w:val="1"/>
          <w:numId w:val="9"/>
        </w:numPr>
        <w:tabs>
          <w:tab w:val="left" w:pos="1834"/>
        </w:tabs>
        <w:spacing w:line="290" w:lineRule="auto"/>
        <w:ind w:right="432" w:hanging="574"/>
        <w:jc w:val="both"/>
        <w:rPr>
          <w:color w:val="000000"/>
          <w:sz w:val="24"/>
          <w:szCs w:val="24"/>
        </w:rPr>
      </w:pPr>
      <w:r>
        <w:rPr>
          <w:color w:val="000000"/>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967E25" w:rsidRDefault="00936B82">
      <w:pPr>
        <w:widowControl w:val="0"/>
        <w:numPr>
          <w:ilvl w:val="1"/>
          <w:numId w:val="9"/>
        </w:numPr>
        <w:tabs>
          <w:tab w:val="left" w:pos="1834"/>
        </w:tabs>
        <w:spacing w:line="290" w:lineRule="auto"/>
        <w:ind w:right="434" w:hanging="574"/>
        <w:jc w:val="both"/>
        <w:rPr>
          <w:color w:val="000000"/>
          <w:sz w:val="24"/>
          <w:szCs w:val="24"/>
        </w:rPr>
      </w:pPr>
      <w:r>
        <w:rPr>
          <w:color w:val="000000"/>
          <w:sz w:val="24"/>
          <w:szCs w:val="24"/>
        </w:rPr>
        <w:t>Somente haverá a necessidade de comprovação do preenchimento de requisitos mediante apresentação dos documentos originais não-digitais quando houver dúvida em relação à integridade do documento digital.</w:t>
      </w:r>
    </w:p>
    <w:p w:rsidR="00967E25" w:rsidRDefault="00936B82">
      <w:pPr>
        <w:widowControl w:val="0"/>
        <w:numPr>
          <w:ilvl w:val="1"/>
          <w:numId w:val="9"/>
        </w:numPr>
        <w:tabs>
          <w:tab w:val="left" w:pos="1834"/>
        </w:tabs>
        <w:spacing w:line="292" w:lineRule="auto"/>
        <w:ind w:right="435" w:hanging="574"/>
        <w:jc w:val="both"/>
        <w:rPr>
          <w:color w:val="000000"/>
          <w:sz w:val="24"/>
          <w:szCs w:val="24"/>
        </w:rPr>
      </w:pPr>
      <w:r>
        <w:rPr>
          <w:color w:val="000000"/>
          <w:sz w:val="24"/>
          <w:szCs w:val="24"/>
        </w:rPr>
        <w:t>O fornecedor enquadrado como microempreendedor individual que pretenda auferir os benefícios do tratamento diferenciado previstos na Lei Complementar</w:t>
      </w:r>
    </w:p>
    <w:p w:rsidR="00967E25" w:rsidRDefault="00936B82">
      <w:pPr>
        <w:spacing w:line="290" w:lineRule="auto"/>
        <w:ind w:left="1834" w:right="436"/>
        <w:jc w:val="both"/>
        <w:rPr>
          <w:sz w:val="24"/>
          <w:szCs w:val="24"/>
        </w:rPr>
      </w:pPr>
      <w:r>
        <w:rPr>
          <w:sz w:val="24"/>
          <w:szCs w:val="24"/>
        </w:rPr>
        <w:t>n. 123, de 2006, estará dispensado (a) da prova de inscrição nos cadastros de contribuintes estadual e municipal e (b) da apresentação do balanço patrimonial e das demonstrações contábeis do último exercício.</w:t>
      </w:r>
    </w:p>
    <w:p w:rsidR="00967E25" w:rsidRDefault="00936B82">
      <w:pPr>
        <w:widowControl w:val="0"/>
        <w:numPr>
          <w:ilvl w:val="1"/>
          <w:numId w:val="9"/>
        </w:numPr>
        <w:tabs>
          <w:tab w:val="left" w:pos="1834"/>
        </w:tabs>
        <w:spacing w:line="290" w:lineRule="auto"/>
        <w:ind w:right="437" w:hanging="574"/>
        <w:jc w:val="both"/>
        <w:rPr>
          <w:color w:val="000000"/>
          <w:sz w:val="24"/>
          <w:szCs w:val="24"/>
        </w:rPr>
      </w:pPr>
      <w:r>
        <w:rPr>
          <w:color w:val="000000"/>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967E25" w:rsidRDefault="00936B82">
      <w:pPr>
        <w:widowControl w:val="0"/>
        <w:numPr>
          <w:ilvl w:val="2"/>
          <w:numId w:val="9"/>
        </w:numPr>
        <w:tabs>
          <w:tab w:val="left" w:pos="2482"/>
        </w:tabs>
        <w:spacing w:line="292" w:lineRule="auto"/>
        <w:ind w:right="438" w:hanging="504"/>
        <w:jc w:val="both"/>
        <w:rPr>
          <w:color w:val="000000"/>
          <w:sz w:val="24"/>
          <w:szCs w:val="24"/>
        </w:rPr>
      </w:pPr>
      <w:r>
        <w:rPr>
          <w:color w:val="000000"/>
          <w:sz w:val="24"/>
          <w:szCs w:val="24"/>
        </w:rPr>
        <w:t>Não havendo a comprovação cumulativa dos requisitos de habilitação, a inabilitação recairá sobre o(s) item(ns) de menor(es) valor(es) cuja</w:t>
      </w:r>
      <w:r>
        <w:rPr>
          <w:sz w:val="24"/>
          <w:szCs w:val="24"/>
        </w:rPr>
        <w:t xml:space="preserve"> retirada(s) seja(m) suficiente(s) para a habilitação do fornecedor nos remanescentes.</w:t>
      </w:r>
    </w:p>
    <w:p w:rsidR="00967E25" w:rsidRDefault="00936B82">
      <w:pPr>
        <w:widowControl w:val="0"/>
        <w:numPr>
          <w:ilvl w:val="1"/>
          <w:numId w:val="9"/>
        </w:numPr>
        <w:tabs>
          <w:tab w:val="left" w:pos="1834"/>
        </w:tabs>
        <w:spacing w:line="290" w:lineRule="auto"/>
        <w:ind w:right="435" w:hanging="574"/>
        <w:jc w:val="both"/>
        <w:rPr>
          <w:color w:val="000000"/>
          <w:sz w:val="24"/>
          <w:szCs w:val="24"/>
        </w:rPr>
      </w:pPr>
      <w:r>
        <w:rPr>
          <w:color w:val="000000"/>
          <w:sz w:val="24"/>
          <w:szCs w:val="24"/>
        </w:rPr>
        <w:t>Havendo necessidade de analisar minuciosamente os documentos exigidos, a sessão será suspensa, sendo informada a nova data e horário para a sua continuidade.</w:t>
      </w:r>
    </w:p>
    <w:p w:rsidR="00967E25" w:rsidRDefault="00936B82">
      <w:pPr>
        <w:widowControl w:val="0"/>
        <w:numPr>
          <w:ilvl w:val="1"/>
          <w:numId w:val="9"/>
        </w:numPr>
        <w:tabs>
          <w:tab w:val="left" w:pos="1834"/>
        </w:tabs>
        <w:spacing w:line="290" w:lineRule="auto"/>
        <w:ind w:right="433" w:hanging="574"/>
        <w:jc w:val="both"/>
        <w:rPr>
          <w:color w:val="000000"/>
          <w:sz w:val="24"/>
          <w:szCs w:val="24"/>
        </w:rPr>
      </w:pPr>
      <w:r>
        <w:rPr>
          <w:color w:val="000000"/>
          <w:sz w:val="24"/>
          <w:szCs w:val="24"/>
        </w:rPr>
        <w:t>Será inabilitado o fornecedor que não comprovar sua habilitação, seja por não apresentar quaisquer dos documentos exigidos, ou apresentá-los em desacordo com o estabelecido neste Aviso de Contratação Direta.</w:t>
      </w:r>
    </w:p>
    <w:p w:rsidR="00967E25" w:rsidRDefault="00936B82">
      <w:pPr>
        <w:widowControl w:val="0"/>
        <w:numPr>
          <w:ilvl w:val="2"/>
          <w:numId w:val="9"/>
        </w:numPr>
        <w:tabs>
          <w:tab w:val="left" w:pos="2482"/>
        </w:tabs>
        <w:spacing w:line="290" w:lineRule="auto"/>
        <w:ind w:right="434" w:hanging="504"/>
        <w:jc w:val="both"/>
        <w:rPr>
          <w:color w:val="000000"/>
          <w:sz w:val="24"/>
          <w:szCs w:val="24"/>
        </w:rPr>
      </w:pPr>
      <w:r>
        <w:rPr>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967E25" w:rsidRDefault="00936B82">
      <w:pPr>
        <w:widowControl w:val="0"/>
        <w:numPr>
          <w:ilvl w:val="1"/>
          <w:numId w:val="9"/>
        </w:numPr>
        <w:tabs>
          <w:tab w:val="left" w:pos="1834"/>
        </w:tabs>
        <w:spacing w:line="292" w:lineRule="auto"/>
        <w:ind w:right="440" w:hanging="574"/>
        <w:jc w:val="both"/>
        <w:rPr>
          <w:color w:val="000000"/>
          <w:sz w:val="24"/>
          <w:szCs w:val="24"/>
        </w:rPr>
      </w:pPr>
      <w:r>
        <w:rPr>
          <w:color w:val="000000"/>
          <w:sz w:val="24"/>
          <w:szCs w:val="24"/>
        </w:rPr>
        <w:t>Constatado o atendimento às exigências de habilitação, o fornecedor será habilitado.</w:t>
      </w:r>
    </w:p>
    <w:p w:rsidR="00967E25" w:rsidRDefault="00967E25">
      <w:pPr>
        <w:widowControl w:val="0"/>
        <w:rPr>
          <w:color w:val="000000"/>
          <w:sz w:val="24"/>
          <w:szCs w:val="24"/>
        </w:rPr>
      </w:pPr>
    </w:p>
    <w:p w:rsidR="00967E25" w:rsidRDefault="00936B82">
      <w:pPr>
        <w:widowControl w:val="0"/>
        <w:numPr>
          <w:ilvl w:val="0"/>
          <w:numId w:val="9"/>
        </w:numPr>
        <w:tabs>
          <w:tab w:val="left" w:pos="1402"/>
        </w:tabs>
        <w:spacing w:before="177"/>
        <w:rPr>
          <w:b/>
          <w:color w:val="000000"/>
          <w:sz w:val="24"/>
          <w:szCs w:val="24"/>
        </w:rPr>
      </w:pPr>
      <w:r>
        <w:rPr>
          <w:b/>
          <w:color w:val="000000"/>
          <w:sz w:val="24"/>
          <w:szCs w:val="24"/>
        </w:rPr>
        <w:t>CONTRATAÇÃO</w:t>
      </w:r>
    </w:p>
    <w:p w:rsidR="00967E25" w:rsidRDefault="00936B82">
      <w:pPr>
        <w:widowControl w:val="0"/>
        <w:numPr>
          <w:ilvl w:val="1"/>
          <w:numId w:val="9"/>
        </w:numPr>
        <w:tabs>
          <w:tab w:val="left" w:pos="2482"/>
        </w:tabs>
        <w:spacing w:before="180" w:line="290" w:lineRule="auto"/>
        <w:ind w:left="1466" w:right="438" w:firstLine="0"/>
        <w:jc w:val="both"/>
        <w:rPr>
          <w:color w:val="000000"/>
          <w:sz w:val="24"/>
          <w:szCs w:val="24"/>
        </w:rPr>
      </w:pPr>
      <w:r>
        <w:rPr>
          <w:color w:val="000000"/>
          <w:sz w:val="24"/>
          <w:szCs w:val="24"/>
        </w:rPr>
        <w:t xml:space="preserve">Após a adjudicação e homologação, caso se conclua pela contratação, será firmado Termo de Contrato ou emitido instrumento </w:t>
      </w:r>
      <w:r>
        <w:rPr>
          <w:color w:val="000000"/>
          <w:sz w:val="24"/>
          <w:szCs w:val="24"/>
        </w:rPr>
        <w:lastRenderedPageBreak/>
        <w:t>equivalente (Nota de Empenho).</w:t>
      </w:r>
    </w:p>
    <w:p w:rsidR="00967E25" w:rsidRDefault="00936B82">
      <w:pPr>
        <w:widowControl w:val="0"/>
        <w:numPr>
          <w:ilvl w:val="1"/>
          <w:numId w:val="9"/>
        </w:numPr>
        <w:tabs>
          <w:tab w:val="left" w:pos="2482"/>
        </w:tabs>
        <w:spacing w:before="120" w:line="290" w:lineRule="auto"/>
        <w:ind w:left="1466" w:right="436" w:firstLine="0"/>
        <w:jc w:val="both"/>
        <w:rPr>
          <w:color w:val="000000"/>
          <w:sz w:val="24"/>
          <w:szCs w:val="24"/>
        </w:rPr>
      </w:pPr>
      <w:r>
        <w:rPr>
          <w:color w:val="000000"/>
          <w:sz w:val="24"/>
          <w:szCs w:val="24"/>
        </w:rPr>
        <w:t>O adjudicatário terá o prazo de 2 (dois) dias úteis, contados a partir da data de sua convocação, para assinar o Termo de Contrato ou aceitar instrumento equivalente, Nota de Empenho, conforme o caso, sob pena de decair do direito à contratação, sem prejuízo das sanções previstas neste Aviso de Contratação Direta.</w:t>
      </w:r>
    </w:p>
    <w:p w:rsidR="00967E25" w:rsidRDefault="00936B82">
      <w:pPr>
        <w:widowControl w:val="0"/>
        <w:numPr>
          <w:ilvl w:val="2"/>
          <w:numId w:val="9"/>
        </w:numPr>
        <w:tabs>
          <w:tab w:val="left" w:pos="2482"/>
        </w:tabs>
        <w:spacing w:before="119" w:line="276" w:lineRule="auto"/>
        <w:ind w:right="436" w:hanging="504"/>
        <w:jc w:val="both"/>
        <w:rPr>
          <w:rFonts w:ascii="Carlito" w:eastAsia="Carlito" w:hAnsi="Carlito" w:cs="Carlito"/>
          <w:i/>
          <w:color w:val="000000"/>
          <w:sz w:val="24"/>
          <w:szCs w:val="24"/>
        </w:rPr>
      </w:pPr>
      <w:r>
        <w:rPr>
          <w:rFonts w:eastAsia="Carlito" w:cs="Carlito"/>
          <w:i/>
          <w:color w:val="000000"/>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 (dois) dias, a contar da data de seu recebimento.</w:t>
      </w:r>
    </w:p>
    <w:p w:rsidR="00967E25" w:rsidRDefault="00936B82">
      <w:pPr>
        <w:widowControl w:val="0"/>
        <w:numPr>
          <w:ilvl w:val="2"/>
          <w:numId w:val="9"/>
        </w:numPr>
        <w:tabs>
          <w:tab w:val="left" w:pos="2482"/>
        </w:tabs>
        <w:spacing w:before="121" w:line="290" w:lineRule="auto"/>
        <w:ind w:right="436" w:hanging="504"/>
        <w:jc w:val="both"/>
        <w:rPr>
          <w:color w:val="000000"/>
          <w:sz w:val="24"/>
          <w:szCs w:val="24"/>
        </w:rPr>
      </w:pPr>
      <w:r>
        <w:rPr>
          <w:color w:val="000000"/>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rsidR="00967E25" w:rsidRDefault="00936B82">
      <w:pPr>
        <w:widowControl w:val="0"/>
        <w:numPr>
          <w:ilvl w:val="1"/>
          <w:numId w:val="9"/>
        </w:numPr>
        <w:tabs>
          <w:tab w:val="left" w:pos="2482"/>
        </w:tabs>
        <w:spacing w:before="119" w:line="276" w:lineRule="auto"/>
        <w:ind w:left="1466" w:right="440" w:firstLine="0"/>
        <w:jc w:val="both"/>
        <w:rPr>
          <w:rFonts w:ascii="Carlito" w:eastAsia="Carlito" w:hAnsi="Carlito" w:cs="Carlito"/>
          <w:i/>
          <w:color w:val="000000"/>
          <w:sz w:val="24"/>
          <w:szCs w:val="24"/>
        </w:rPr>
      </w:pPr>
      <w:r>
        <w:rPr>
          <w:rFonts w:eastAsia="Carlito" w:cs="Carlito"/>
          <w:i/>
          <w:color w:val="000000"/>
          <w:sz w:val="24"/>
          <w:szCs w:val="24"/>
        </w:rPr>
        <w:t>O Aceite da Nota de Empenho ou do instrumento equivalente, emitida à empresa adjudicada, implica no reconhecimento de que:</w:t>
      </w:r>
    </w:p>
    <w:p w:rsidR="00967E25" w:rsidRDefault="00936B82">
      <w:pPr>
        <w:widowControl w:val="0"/>
        <w:numPr>
          <w:ilvl w:val="2"/>
          <w:numId w:val="9"/>
        </w:numPr>
        <w:tabs>
          <w:tab w:val="left" w:pos="2482"/>
        </w:tabs>
        <w:spacing w:before="121" w:line="276" w:lineRule="auto"/>
        <w:ind w:right="436" w:hanging="504"/>
        <w:jc w:val="both"/>
        <w:rPr>
          <w:rFonts w:ascii="Carlito" w:eastAsia="Carlito" w:hAnsi="Carlito" w:cs="Carlito"/>
          <w:i/>
          <w:color w:val="000000"/>
          <w:sz w:val="24"/>
          <w:szCs w:val="24"/>
        </w:rPr>
      </w:pPr>
      <w:r>
        <w:rPr>
          <w:rFonts w:eastAsia="Carlito" w:cs="Carlito"/>
          <w:i/>
          <w:color w:val="000000"/>
          <w:sz w:val="24"/>
          <w:szCs w:val="24"/>
        </w:rPr>
        <w:t>referida Nota está substituindo o contrato, aplicando-se à relação de negócios ali estabelecida as disposições da Lei nº 14.133, de 2021;</w:t>
      </w:r>
    </w:p>
    <w:p w:rsidR="00967E25" w:rsidRDefault="00936B82">
      <w:pPr>
        <w:widowControl w:val="0"/>
        <w:numPr>
          <w:ilvl w:val="2"/>
          <w:numId w:val="9"/>
        </w:numPr>
        <w:tabs>
          <w:tab w:val="left" w:pos="2482"/>
        </w:tabs>
        <w:spacing w:before="37" w:line="276" w:lineRule="auto"/>
        <w:ind w:right="441" w:hanging="504"/>
        <w:jc w:val="both"/>
        <w:rPr>
          <w:rFonts w:ascii="Carlito" w:eastAsia="Carlito" w:hAnsi="Carlito" w:cs="Carlito"/>
          <w:i/>
          <w:color w:val="000000"/>
          <w:sz w:val="24"/>
          <w:szCs w:val="24"/>
        </w:rPr>
      </w:pPr>
      <w:r>
        <w:rPr>
          <w:rFonts w:eastAsia="Carlito" w:cs="Carlito"/>
          <w:i/>
          <w:color w:val="000000"/>
          <w:sz w:val="24"/>
          <w:szCs w:val="24"/>
        </w:rPr>
        <w:t>a contratada se vincula à sua proposta e às previsões contidas no Aviso de Contratação Direta e seus anexos;</w:t>
      </w:r>
    </w:p>
    <w:p w:rsidR="00967E25" w:rsidRDefault="00936B82">
      <w:pPr>
        <w:widowControl w:val="0"/>
        <w:numPr>
          <w:ilvl w:val="2"/>
          <w:numId w:val="9"/>
        </w:numPr>
        <w:tabs>
          <w:tab w:val="left" w:pos="2482"/>
        </w:tabs>
        <w:spacing w:before="115" w:line="276" w:lineRule="auto"/>
        <w:ind w:right="439" w:hanging="504"/>
        <w:jc w:val="both"/>
        <w:rPr>
          <w:rFonts w:ascii="Carlito" w:eastAsia="Carlito" w:hAnsi="Carlito" w:cs="Carlito"/>
          <w:i/>
          <w:color w:val="000000"/>
          <w:sz w:val="24"/>
          <w:szCs w:val="24"/>
        </w:rPr>
      </w:pPr>
      <w:r>
        <w:rPr>
          <w:rFonts w:eastAsia="Carlito" w:cs="Carlito"/>
          <w:i/>
          <w:color w:val="000000"/>
          <w:sz w:val="24"/>
          <w:szCs w:val="24"/>
        </w:rPr>
        <w:t>a contratada reconhece que as hipóteses de rescisão são aquelas previstas nos artigos 137 e 138 da Lei nº 14.133/21 e reconhece os direitos da Administração previstos nos artigos 137 a 139 da mesma Lei.</w:t>
      </w:r>
    </w:p>
    <w:p w:rsidR="00967E25" w:rsidRDefault="00936B82">
      <w:pPr>
        <w:widowControl w:val="0"/>
        <w:numPr>
          <w:ilvl w:val="1"/>
          <w:numId w:val="9"/>
        </w:numPr>
        <w:tabs>
          <w:tab w:val="left" w:pos="1834"/>
        </w:tabs>
        <w:spacing w:before="123" w:line="292" w:lineRule="auto"/>
        <w:ind w:right="441"/>
        <w:jc w:val="both"/>
        <w:rPr>
          <w:color w:val="000000"/>
          <w:sz w:val="24"/>
          <w:szCs w:val="24"/>
        </w:rPr>
      </w:pPr>
      <w:r>
        <w:rPr>
          <w:color w:val="000000"/>
          <w:sz w:val="24"/>
          <w:szCs w:val="24"/>
        </w:rPr>
        <w:t>O prazo de vigência da contratação é de 180 (cento e oitenta) dias prorrogável conforme previsão nos anexos a este Aviso de Contratação Direta.</w:t>
      </w:r>
    </w:p>
    <w:p w:rsidR="00967E25" w:rsidRDefault="00936B82">
      <w:pPr>
        <w:widowControl w:val="0"/>
        <w:numPr>
          <w:ilvl w:val="1"/>
          <w:numId w:val="9"/>
        </w:numPr>
        <w:tabs>
          <w:tab w:val="left" w:pos="2482"/>
        </w:tabs>
        <w:spacing w:before="115" w:line="290" w:lineRule="auto"/>
        <w:ind w:left="1466" w:right="434" w:firstLine="0"/>
        <w:jc w:val="both"/>
        <w:rPr>
          <w:color w:val="000000"/>
          <w:sz w:val="24"/>
          <w:szCs w:val="24"/>
        </w:rPr>
      </w:pPr>
      <w:r>
        <w:rPr>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rsidR="00967E25" w:rsidRDefault="00936B82">
      <w:pPr>
        <w:widowControl w:val="0"/>
        <w:numPr>
          <w:ilvl w:val="0"/>
          <w:numId w:val="9"/>
        </w:numPr>
        <w:tabs>
          <w:tab w:val="left" w:pos="1402"/>
        </w:tabs>
        <w:spacing w:before="121"/>
        <w:rPr>
          <w:b/>
          <w:color w:val="000000"/>
          <w:sz w:val="24"/>
          <w:szCs w:val="24"/>
        </w:rPr>
      </w:pPr>
      <w:r>
        <w:rPr>
          <w:b/>
          <w:color w:val="000000"/>
          <w:sz w:val="24"/>
          <w:szCs w:val="24"/>
        </w:rPr>
        <w:t>SANÇÕES</w:t>
      </w:r>
    </w:p>
    <w:p w:rsidR="00967E25" w:rsidRDefault="00936B82">
      <w:pPr>
        <w:widowControl w:val="0"/>
        <w:numPr>
          <w:ilvl w:val="1"/>
          <w:numId w:val="9"/>
        </w:numPr>
        <w:tabs>
          <w:tab w:val="left" w:pos="2482"/>
        </w:tabs>
        <w:spacing w:before="183" w:line="290" w:lineRule="auto"/>
        <w:ind w:left="1466" w:right="438" w:firstLine="0"/>
        <w:jc w:val="both"/>
        <w:rPr>
          <w:color w:val="000000"/>
          <w:sz w:val="24"/>
          <w:szCs w:val="24"/>
        </w:rPr>
      </w:pPr>
      <w:r>
        <w:rPr>
          <w:color w:val="000000"/>
          <w:sz w:val="24"/>
          <w:szCs w:val="24"/>
        </w:rPr>
        <w:t>Comete infração administrativa o fornecedor que cometer quaisquer das infrações previstas no art. 155 da Lei nº 14.133, de 2021, quais sejam:</w:t>
      </w:r>
    </w:p>
    <w:p w:rsidR="00967E25" w:rsidRDefault="00936B82">
      <w:pPr>
        <w:widowControl w:val="0"/>
        <w:numPr>
          <w:ilvl w:val="2"/>
          <w:numId w:val="9"/>
        </w:numPr>
        <w:tabs>
          <w:tab w:val="left" w:pos="2482"/>
        </w:tabs>
        <w:spacing w:before="118"/>
        <w:ind w:left="2482"/>
        <w:jc w:val="both"/>
        <w:rPr>
          <w:color w:val="000000"/>
          <w:sz w:val="24"/>
          <w:szCs w:val="24"/>
        </w:rPr>
      </w:pPr>
      <w:r>
        <w:rPr>
          <w:color w:val="000000"/>
          <w:sz w:val="24"/>
          <w:szCs w:val="24"/>
        </w:rPr>
        <w:t>dar causa à inexecução parcial do contrato;</w:t>
      </w:r>
    </w:p>
    <w:p w:rsidR="00967E25" w:rsidRDefault="00936B82">
      <w:pPr>
        <w:widowControl w:val="0"/>
        <w:numPr>
          <w:ilvl w:val="2"/>
          <w:numId w:val="9"/>
        </w:numPr>
        <w:tabs>
          <w:tab w:val="left" w:pos="2482"/>
        </w:tabs>
        <w:spacing w:before="183" w:line="290" w:lineRule="auto"/>
        <w:ind w:right="440" w:hanging="504"/>
        <w:jc w:val="both"/>
        <w:rPr>
          <w:color w:val="000000"/>
          <w:sz w:val="24"/>
          <w:szCs w:val="24"/>
        </w:rPr>
      </w:pPr>
      <w:r>
        <w:rPr>
          <w:color w:val="000000"/>
          <w:sz w:val="24"/>
          <w:szCs w:val="24"/>
        </w:rPr>
        <w:lastRenderedPageBreak/>
        <w:t>dar causa à inexecução parcial do contrato que cause grave dano à Administração, ao funcionamento dos serviços públicos ou ao interesse coletivo;</w:t>
      </w:r>
    </w:p>
    <w:p w:rsidR="00967E25" w:rsidRDefault="00936B82">
      <w:pPr>
        <w:widowControl w:val="0"/>
        <w:numPr>
          <w:ilvl w:val="2"/>
          <w:numId w:val="9"/>
        </w:numPr>
        <w:tabs>
          <w:tab w:val="left" w:pos="2482"/>
        </w:tabs>
        <w:spacing w:before="120"/>
        <w:ind w:left="2482"/>
        <w:jc w:val="both"/>
        <w:rPr>
          <w:color w:val="000000"/>
          <w:sz w:val="24"/>
          <w:szCs w:val="24"/>
        </w:rPr>
      </w:pPr>
      <w:r>
        <w:rPr>
          <w:color w:val="000000"/>
          <w:sz w:val="24"/>
          <w:szCs w:val="24"/>
        </w:rPr>
        <w:t>dar causa à inexecução total do contrato;</w:t>
      </w:r>
    </w:p>
    <w:p w:rsidR="00967E25" w:rsidRDefault="00936B82">
      <w:pPr>
        <w:widowControl w:val="0"/>
        <w:numPr>
          <w:ilvl w:val="2"/>
          <w:numId w:val="9"/>
        </w:numPr>
        <w:tabs>
          <w:tab w:val="left" w:pos="2482"/>
        </w:tabs>
        <w:spacing w:before="180"/>
        <w:ind w:left="2482"/>
        <w:rPr>
          <w:color w:val="000000"/>
          <w:sz w:val="24"/>
          <w:szCs w:val="24"/>
        </w:rPr>
      </w:pPr>
      <w:r>
        <w:rPr>
          <w:color w:val="000000"/>
          <w:sz w:val="24"/>
          <w:szCs w:val="24"/>
        </w:rPr>
        <w:t>deixar de entregar a documentação exigida para o certame;</w:t>
      </w:r>
    </w:p>
    <w:p w:rsidR="00967E25" w:rsidRDefault="00936B82">
      <w:pPr>
        <w:widowControl w:val="0"/>
        <w:numPr>
          <w:ilvl w:val="2"/>
          <w:numId w:val="9"/>
        </w:numPr>
        <w:tabs>
          <w:tab w:val="left" w:pos="2482"/>
        </w:tabs>
        <w:spacing w:before="183" w:line="290" w:lineRule="auto"/>
        <w:ind w:right="439" w:hanging="504"/>
        <w:jc w:val="both"/>
        <w:rPr>
          <w:color w:val="000000"/>
          <w:sz w:val="24"/>
          <w:szCs w:val="24"/>
        </w:rPr>
      </w:pPr>
      <w:r>
        <w:rPr>
          <w:color w:val="000000"/>
          <w:sz w:val="24"/>
          <w:szCs w:val="24"/>
        </w:rPr>
        <w:t>não manter a proposta, salvo em decorrência de fato superveniente devidamente justificado;</w:t>
      </w:r>
    </w:p>
    <w:p w:rsidR="00967E25" w:rsidRDefault="00936B82">
      <w:pPr>
        <w:widowControl w:val="0"/>
        <w:numPr>
          <w:ilvl w:val="2"/>
          <w:numId w:val="9"/>
        </w:numPr>
        <w:tabs>
          <w:tab w:val="left" w:pos="2482"/>
        </w:tabs>
        <w:spacing w:before="119" w:line="290" w:lineRule="auto"/>
        <w:ind w:right="441" w:hanging="504"/>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967E25" w:rsidRDefault="00936B82">
      <w:pPr>
        <w:widowControl w:val="0"/>
        <w:numPr>
          <w:ilvl w:val="2"/>
          <w:numId w:val="9"/>
        </w:numPr>
        <w:tabs>
          <w:tab w:val="left" w:pos="2538"/>
        </w:tabs>
        <w:spacing w:before="122" w:line="290" w:lineRule="auto"/>
        <w:ind w:right="438" w:hanging="504"/>
        <w:jc w:val="both"/>
        <w:rPr>
          <w:color w:val="000000"/>
          <w:sz w:val="24"/>
          <w:szCs w:val="24"/>
        </w:rPr>
      </w:pPr>
      <w:r>
        <w:rPr>
          <w:color w:val="000000"/>
          <w:sz w:val="24"/>
          <w:szCs w:val="24"/>
        </w:rPr>
        <w:t>ensejar o retardamento da execução ou da entrega do objeto da licitação sem motivo justificado;</w:t>
      </w:r>
    </w:p>
    <w:p w:rsidR="00967E25" w:rsidRDefault="00936B82">
      <w:pPr>
        <w:widowControl w:val="0"/>
        <w:numPr>
          <w:ilvl w:val="2"/>
          <w:numId w:val="9"/>
        </w:numPr>
        <w:tabs>
          <w:tab w:val="left" w:pos="2482"/>
        </w:tabs>
        <w:spacing w:before="119" w:line="290" w:lineRule="auto"/>
        <w:ind w:right="438" w:hanging="504"/>
        <w:jc w:val="both"/>
        <w:rPr>
          <w:color w:val="000000"/>
          <w:sz w:val="24"/>
          <w:szCs w:val="24"/>
        </w:rPr>
      </w:pPr>
      <w:r>
        <w:rPr>
          <w:color w:val="000000"/>
          <w:sz w:val="24"/>
          <w:szCs w:val="24"/>
        </w:rPr>
        <w:t>apresentar declaração ou documentação falsa exigida para o certame ou prestar declaração falsa durante a dispensa eletrônica ou a execução do contrato;</w:t>
      </w:r>
    </w:p>
    <w:p w:rsidR="00967E25" w:rsidRDefault="00936B82">
      <w:pPr>
        <w:widowControl w:val="0"/>
        <w:numPr>
          <w:ilvl w:val="2"/>
          <w:numId w:val="9"/>
        </w:numPr>
        <w:tabs>
          <w:tab w:val="left" w:pos="2482"/>
        </w:tabs>
        <w:spacing w:before="121" w:line="292" w:lineRule="auto"/>
        <w:ind w:right="437" w:hanging="504"/>
        <w:jc w:val="both"/>
        <w:rPr>
          <w:color w:val="000000"/>
          <w:sz w:val="24"/>
          <w:szCs w:val="24"/>
        </w:rPr>
      </w:pPr>
      <w:r>
        <w:rPr>
          <w:color w:val="000000"/>
          <w:sz w:val="24"/>
          <w:szCs w:val="24"/>
        </w:rPr>
        <w:t>fraudar a dispensa eletrônica ou praticar ato fraudulento na execução do contrato;</w:t>
      </w:r>
    </w:p>
    <w:p w:rsidR="00967E25" w:rsidRDefault="00936B82">
      <w:pPr>
        <w:widowControl w:val="0"/>
        <w:numPr>
          <w:ilvl w:val="2"/>
          <w:numId w:val="9"/>
        </w:numPr>
        <w:tabs>
          <w:tab w:val="left" w:pos="2538"/>
        </w:tabs>
        <w:spacing w:before="115" w:line="292" w:lineRule="auto"/>
        <w:ind w:right="437" w:hanging="504"/>
        <w:jc w:val="both"/>
        <w:rPr>
          <w:color w:val="000000"/>
          <w:sz w:val="24"/>
          <w:szCs w:val="24"/>
        </w:rPr>
      </w:pPr>
      <w:r>
        <w:rPr>
          <w:color w:val="000000"/>
          <w:sz w:val="24"/>
          <w:szCs w:val="24"/>
        </w:rPr>
        <w:t>comportar-se de modo inidôneo ou cometer fraude de qualquer natureza;</w:t>
      </w:r>
    </w:p>
    <w:p w:rsidR="00967E25" w:rsidRDefault="00936B82">
      <w:pPr>
        <w:spacing w:before="116" w:line="290" w:lineRule="auto"/>
        <w:ind w:left="2770" w:right="436" w:hanging="648"/>
        <w:jc w:val="both"/>
        <w:rPr>
          <w:sz w:val="24"/>
          <w:szCs w:val="24"/>
        </w:rPr>
      </w:pPr>
      <w:r>
        <w:rPr>
          <w:sz w:val="24"/>
          <w:szCs w:val="24"/>
        </w:rP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967E25" w:rsidRDefault="00936B82">
      <w:pPr>
        <w:widowControl w:val="0"/>
        <w:numPr>
          <w:ilvl w:val="2"/>
          <w:numId w:val="9"/>
        </w:numPr>
        <w:tabs>
          <w:tab w:val="left" w:pos="2538"/>
        </w:tabs>
        <w:spacing w:before="123"/>
        <w:ind w:left="2537" w:hanging="776"/>
        <w:jc w:val="both"/>
        <w:rPr>
          <w:color w:val="000000"/>
          <w:sz w:val="24"/>
          <w:szCs w:val="24"/>
        </w:rPr>
      </w:pPr>
      <w:r>
        <w:rPr>
          <w:color w:val="000000"/>
          <w:sz w:val="24"/>
          <w:szCs w:val="24"/>
        </w:rPr>
        <w:t>praticar atos ilícitos com vistas a frustrar os objetivos deste certame.</w:t>
      </w:r>
    </w:p>
    <w:p w:rsidR="00967E25" w:rsidRDefault="00936B82">
      <w:pPr>
        <w:widowControl w:val="0"/>
        <w:numPr>
          <w:ilvl w:val="2"/>
          <w:numId w:val="9"/>
        </w:numPr>
        <w:tabs>
          <w:tab w:val="left" w:pos="2482"/>
        </w:tabs>
        <w:spacing w:before="180" w:line="290" w:lineRule="auto"/>
        <w:ind w:right="437" w:hanging="504"/>
        <w:jc w:val="both"/>
      </w:pPr>
      <w:r>
        <w:rPr>
          <w:color w:val="000000"/>
          <w:sz w:val="24"/>
          <w:szCs w:val="24"/>
        </w:rPr>
        <w:t xml:space="preserve">praticar ato lesivo previsto no </w:t>
      </w:r>
      <w:hyperlink r:id="rId16" w:anchor="art5" w:history="1">
        <w:r>
          <w:rPr>
            <w:rStyle w:val="ListLabel32"/>
          </w:rPr>
          <w:t>art. 5º da Lei nº 12.846, de 1º de agosto de 2013.</w:t>
        </w:r>
      </w:hyperlink>
    </w:p>
    <w:p w:rsidR="00967E25" w:rsidRDefault="00936B82">
      <w:pPr>
        <w:widowControl w:val="0"/>
        <w:numPr>
          <w:ilvl w:val="1"/>
          <w:numId w:val="9"/>
        </w:numPr>
        <w:tabs>
          <w:tab w:val="left" w:pos="2482"/>
        </w:tabs>
        <w:spacing w:before="121" w:line="290" w:lineRule="auto"/>
        <w:ind w:left="1466" w:right="437" w:firstLine="0"/>
        <w:jc w:val="both"/>
        <w:rPr>
          <w:color w:val="000000"/>
          <w:sz w:val="24"/>
          <w:szCs w:val="24"/>
        </w:rPr>
      </w:pPr>
      <w:r>
        <w:rPr>
          <w:color w:val="000000"/>
          <w:sz w:val="24"/>
          <w:szCs w:val="24"/>
        </w:rPr>
        <w:t>O fornecedor que cometer qualquer das infrações discriminadas nos subitens anteriores ficará sujeito, sem prejuízo da responsabilidade civil e criminal, às seguintes sanções:</w:t>
      </w:r>
    </w:p>
    <w:p w:rsidR="00967E25" w:rsidRDefault="00936B82">
      <w:pPr>
        <w:widowControl w:val="0"/>
        <w:numPr>
          <w:ilvl w:val="0"/>
          <w:numId w:val="3"/>
        </w:numPr>
        <w:tabs>
          <w:tab w:val="left" w:pos="2266"/>
        </w:tabs>
        <w:spacing w:before="121" w:line="290" w:lineRule="auto"/>
        <w:ind w:right="440"/>
        <w:jc w:val="both"/>
        <w:rPr>
          <w:color w:val="000000"/>
          <w:sz w:val="24"/>
          <w:szCs w:val="24"/>
        </w:rPr>
      </w:pPr>
      <w:r>
        <w:rPr>
          <w:color w:val="000000"/>
          <w:sz w:val="24"/>
          <w:szCs w:val="24"/>
        </w:rPr>
        <w:t>Advertência pela falta do subitem 8.1.1 deste Aviso de Contratação Direta, quando não se justificar a imposição de penalidade mais grave;</w:t>
      </w:r>
    </w:p>
    <w:p w:rsidR="00967E25" w:rsidRDefault="00936B82">
      <w:pPr>
        <w:widowControl w:val="0"/>
        <w:numPr>
          <w:ilvl w:val="0"/>
          <w:numId w:val="3"/>
        </w:numPr>
        <w:tabs>
          <w:tab w:val="left" w:pos="2266"/>
        </w:tabs>
        <w:spacing w:before="121" w:line="290" w:lineRule="auto"/>
        <w:ind w:right="435"/>
        <w:jc w:val="both"/>
        <w:rPr>
          <w:color w:val="000000"/>
          <w:sz w:val="24"/>
          <w:szCs w:val="24"/>
        </w:rPr>
      </w:pPr>
      <w:r>
        <w:rPr>
          <w:color w:val="000000"/>
          <w:sz w:val="24"/>
          <w:szCs w:val="24"/>
        </w:rPr>
        <w:t>Multa de 1 % (um por cento) sobre o valor estimado do(s) item(s) prejudicado(s) pela conduta do fornecedor, por qualquer das infrações dos subitens 8.1.1 a 8.1.12;</w:t>
      </w:r>
    </w:p>
    <w:p w:rsidR="00967E25" w:rsidRDefault="00936B82">
      <w:pPr>
        <w:widowControl w:val="0"/>
        <w:numPr>
          <w:ilvl w:val="0"/>
          <w:numId w:val="3"/>
        </w:numPr>
        <w:tabs>
          <w:tab w:val="left" w:pos="2266"/>
        </w:tabs>
        <w:spacing w:before="121" w:line="290" w:lineRule="auto"/>
        <w:ind w:right="437"/>
        <w:jc w:val="both"/>
        <w:rPr>
          <w:color w:val="000000"/>
          <w:sz w:val="24"/>
          <w:szCs w:val="24"/>
        </w:rPr>
      </w:pPr>
      <w:r>
        <w:rPr>
          <w:color w:val="000000"/>
          <w:sz w:val="24"/>
          <w:szCs w:val="24"/>
        </w:rPr>
        <w:t xml:space="preserve">Impedimento de licitar e contratar no âmbito da Administração </w:t>
      </w:r>
      <w:r>
        <w:rPr>
          <w:color w:val="000000"/>
          <w:sz w:val="24"/>
          <w:szCs w:val="24"/>
        </w:rPr>
        <w:lastRenderedPageBreak/>
        <w:t>Pública direta e indireta do ente federativo que tiver aplicado a sanção, pelo prazo máximo de 3 (três) anos, nos casos dos subitens 8.1.2 a 8.1.7 deste Aviso de Contratação Direta, quando não se justificar a imposição de penalidade mais grave;</w:t>
      </w:r>
    </w:p>
    <w:p w:rsidR="00967E25" w:rsidRDefault="00936B82">
      <w:pPr>
        <w:widowControl w:val="0"/>
        <w:numPr>
          <w:ilvl w:val="0"/>
          <w:numId w:val="3"/>
        </w:numPr>
        <w:tabs>
          <w:tab w:val="left" w:pos="2266"/>
        </w:tabs>
        <w:spacing w:before="121" w:line="290" w:lineRule="auto"/>
        <w:ind w:right="434"/>
        <w:jc w:val="both"/>
        <w:rPr>
          <w:color w:val="000000"/>
          <w:sz w:val="24"/>
          <w:szCs w:val="24"/>
        </w:rPr>
      </w:pPr>
      <w:r>
        <w:rPr>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967E25" w:rsidRDefault="00936B82">
      <w:pPr>
        <w:widowControl w:val="0"/>
        <w:numPr>
          <w:ilvl w:val="1"/>
          <w:numId w:val="9"/>
        </w:numPr>
        <w:tabs>
          <w:tab w:val="left" w:pos="1834"/>
        </w:tabs>
        <w:spacing w:before="121"/>
        <w:jc w:val="both"/>
        <w:rPr>
          <w:color w:val="000000"/>
          <w:sz w:val="24"/>
          <w:szCs w:val="24"/>
        </w:rPr>
      </w:pPr>
      <w:r>
        <w:rPr>
          <w:color w:val="000000"/>
          <w:sz w:val="24"/>
          <w:szCs w:val="24"/>
        </w:rPr>
        <w:t>Na aplicação das sanções serão considerados:</w:t>
      </w:r>
    </w:p>
    <w:p w:rsidR="00967E25" w:rsidRDefault="00936B82">
      <w:pPr>
        <w:widowControl w:val="0"/>
        <w:numPr>
          <w:ilvl w:val="2"/>
          <w:numId w:val="9"/>
        </w:numPr>
        <w:tabs>
          <w:tab w:val="left" w:pos="2482"/>
        </w:tabs>
        <w:spacing w:before="180"/>
        <w:ind w:left="2482"/>
        <w:jc w:val="both"/>
        <w:rPr>
          <w:color w:val="000000"/>
          <w:sz w:val="24"/>
          <w:szCs w:val="24"/>
        </w:rPr>
      </w:pPr>
      <w:r>
        <w:rPr>
          <w:color w:val="000000"/>
          <w:sz w:val="24"/>
          <w:szCs w:val="24"/>
        </w:rPr>
        <w:t>a natureza e a gravidade da infração cometida;</w:t>
      </w:r>
    </w:p>
    <w:p w:rsidR="00967E25" w:rsidRDefault="00936B82">
      <w:pPr>
        <w:widowControl w:val="0"/>
        <w:numPr>
          <w:ilvl w:val="2"/>
          <w:numId w:val="9"/>
        </w:numPr>
        <w:tabs>
          <w:tab w:val="left" w:pos="2482"/>
        </w:tabs>
        <w:spacing w:before="182"/>
        <w:ind w:left="2482"/>
        <w:jc w:val="both"/>
        <w:rPr>
          <w:color w:val="000000"/>
          <w:sz w:val="24"/>
          <w:szCs w:val="24"/>
        </w:rPr>
      </w:pPr>
      <w:r>
        <w:rPr>
          <w:color w:val="000000"/>
          <w:sz w:val="24"/>
          <w:szCs w:val="24"/>
        </w:rPr>
        <w:t>as peculiaridades do caso concreto;</w:t>
      </w:r>
    </w:p>
    <w:p w:rsidR="00967E25" w:rsidRDefault="00936B82">
      <w:pPr>
        <w:widowControl w:val="0"/>
        <w:numPr>
          <w:ilvl w:val="2"/>
          <w:numId w:val="9"/>
        </w:numPr>
        <w:tabs>
          <w:tab w:val="left" w:pos="2482"/>
        </w:tabs>
        <w:spacing w:before="180"/>
        <w:ind w:left="2482"/>
        <w:jc w:val="both"/>
        <w:rPr>
          <w:color w:val="000000"/>
          <w:sz w:val="24"/>
          <w:szCs w:val="24"/>
        </w:rPr>
      </w:pPr>
      <w:r>
        <w:rPr>
          <w:color w:val="000000"/>
          <w:sz w:val="24"/>
          <w:szCs w:val="24"/>
        </w:rPr>
        <w:t>as circunstâncias agravantes ou atenuantes;</w:t>
      </w:r>
    </w:p>
    <w:p w:rsidR="00967E25" w:rsidRDefault="00936B82">
      <w:pPr>
        <w:widowControl w:val="0"/>
        <w:numPr>
          <w:ilvl w:val="2"/>
          <w:numId w:val="9"/>
        </w:numPr>
        <w:tabs>
          <w:tab w:val="left" w:pos="2482"/>
        </w:tabs>
        <w:spacing w:before="181"/>
        <w:ind w:left="2482"/>
        <w:jc w:val="both"/>
        <w:rPr>
          <w:color w:val="000000"/>
          <w:sz w:val="24"/>
          <w:szCs w:val="24"/>
        </w:rPr>
      </w:pPr>
      <w:r>
        <w:rPr>
          <w:color w:val="000000"/>
          <w:sz w:val="24"/>
          <w:szCs w:val="24"/>
        </w:rPr>
        <w:t>os danos que dela provierem para a Administração Pública;</w:t>
      </w:r>
    </w:p>
    <w:p w:rsidR="00967E25" w:rsidRDefault="00936B82">
      <w:pPr>
        <w:widowControl w:val="0"/>
        <w:numPr>
          <w:ilvl w:val="2"/>
          <w:numId w:val="9"/>
        </w:numPr>
        <w:tabs>
          <w:tab w:val="left" w:pos="2482"/>
        </w:tabs>
        <w:spacing w:before="183" w:line="290" w:lineRule="auto"/>
        <w:ind w:right="436" w:hanging="504"/>
        <w:jc w:val="both"/>
        <w:rPr>
          <w:color w:val="000000"/>
          <w:sz w:val="24"/>
          <w:szCs w:val="24"/>
        </w:rPr>
      </w:pPr>
      <w:r>
        <w:rPr>
          <w:color w:val="000000"/>
          <w:sz w:val="24"/>
          <w:szCs w:val="24"/>
        </w:rPr>
        <w:t>a implantação ou o aperfeiçoamento de programa de integridade, conforme normas e orientações dos órgãos de controle.</w:t>
      </w:r>
    </w:p>
    <w:p w:rsidR="00967E25" w:rsidRDefault="00936B82">
      <w:pPr>
        <w:widowControl w:val="0"/>
        <w:numPr>
          <w:ilvl w:val="1"/>
          <w:numId w:val="9"/>
        </w:numPr>
        <w:tabs>
          <w:tab w:val="left" w:pos="2482"/>
        </w:tabs>
        <w:spacing w:before="121" w:line="290" w:lineRule="auto"/>
        <w:ind w:left="1466" w:right="438" w:firstLine="0"/>
        <w:jc w:val="both"/>
        <w:rPr>
          <w:color w:val="000000"/>
          <w:sz w:val="24"/>
          <w:szCs w:val="24"/>
        </w:rPr>
      </w:pPr>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r>
        <w:rPr>
          <w:sz w:val="24"/>
          <w:szCs w:val="24"/>
        </w:rPr>
        <w:t xml:space="preserve"> </w:t>
      </w:r>
      <w:r>
        <w:rPr>
          <w:color w:val="000000"/>
          <w:sz w:val="24"/>
          <w:szCs w:val="24"/>
        </w:rPr>
        <w:t>A aplicação das sanções previstas neste Aviso de Contratação Direta, em hipótese alguma, a obrigação de reparação integral do dano causado à Administração Pública.</w:t>
      </w:r>
    </w:p>
    <w:p w:rsidR="00967E25" w:rsidRDefault="00936B82">
      <w:pPr>
        <w:widowControl w:val="0"/>
        <w:numPr>
          <w:ilvl w:val="1"/>
          <w:numId w:val="9"/>
        </w:numPr>
        <w:tabs>
          <w:tab w:val="left" w:pos="2482"/>
        </w:tabs>
        <w:spacing w:before="123" w:line="290" w:lineRule="auto"/>
        <w:ind w:left="1466" w:right="440" w:firstLine="0"/>
        <w:jc w:val="both"/>
        <w:rPr>
          <w:color w:val="000000"/>
          <w:sz w:val="24"/>
          <w:szCs w:val="24"/>
        </w:rPr>
      </w:pPr>
      <w:r>
        <w:rPr>
          <w:color w:val="000000"/>
          <w:sz w:val="24"/>
          <w:szCs w:val="24"/>
        </w:rPr>
        <w:t>A penalidade de multa pode ser aplicada cumulativamente com as demais sanções.</w:t>
      </w:r>
    </w:p>
    <w:p w:rsidR="00967E25" w:rsidRDefault="00936B82">
      <w:pPr>
        <w:widowControl w:val="0"/>
        <w:numPr>
          <w:ilvl w:val="1"/>
          <w:numId w:val="9"/>
        </w:numPr>
        <w:tabs>
          <w:tab w:val="left" w:pos="2482"/>
        </w:tabs>
        <w:spacing w:before="119" w:line="290" w:lineRule="auto"/>
        <w:ind w:left="1466" w:right="435" w:firstLine="0"/>
        <w:jc w:val="both"/>
        <w:rPr>
          <w:color w:val="000000"/>
          <w:sz w:val="24"/>
          <w:szCs w:val="24"/>
        </w:rPr>
      </w:pPr>
      <w:r>
        <w:rPr>
          <w:color w:val="000000"/>
          <w:sz w:val="24"/>
          <w:szCs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967E25" w:rsidRDefault="00936B82">
      <w:pPr>
        <w:widowControl w:val="0"/>
        <w:numPr>
          <w:ilvl w:val="1"/>
          <w:numId w:val="9"/>
        </w:numPr>
        <w:tabs>
          <w:tab w:val="left" w:pos="2482"/>
        </w:tabs>
        <w:spacing w:before="123" w:line="290" w:lineRule="auto"/>
        <w:ind w:left="1466" w:right="438" w:firstLine="0"/>
        <w:jc w:val="both"/>
        <w:rPr>
          <w:color w:val="000000"/>
          <w:sz w:val="24"/>
          <w:szCs w:val="24"/>
        </w:rPr>
      </w:pPr>
      <w:r>
        <w:rPr>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967E25" w:rsidRDefault="00936B82">
      <w:pPr>
        <w:widowControl w:val="0"/>
        <w:numPr>
          <w:ilvl w:val="1"/>
          <w:numId w:val="9"/>
        </w:numPr>
        <w:tabs>
          <w:tab w:val="left" w:pos="2482"/>
        </w:tabs>
        <w:spacing w:before="122" w:line="290" w:lineRule="auto"/>
        <w:ind w:left="1466" w:right="438" w:firstLine="0"/>
        <w:jc w:val="both"/>
        <w:rPr>
          <w:color w:val="000000"/>
          <w:sz w:val="24"/>
          <w:szCs w:val="24"/>
        </w:rPr>
      </w:pPr>
      <w:r>
        <w:rPr>
          <w:color w:val="000000"/>
          <w:sz w:val="24"/>
          <w:szCs w:val="24"/>
        </w:rPr>
        <w:t xml:space="preserve">O processamento do PAR não interfere no seguimento regular dos </w:t>
      </w:r>
      <w:r>
        <w:rPr>
          <w:color w:val="000000"/>
          <w:sz w:val="24"/>
          <w:szCs w:val="24"/>
        </w:rPr>
        <w:lastRenderedPageBreak/>
        <w:t>processos administrativos específicos para apuração da ocorrência de danos e prejuízos à Administração Pública Federal resultantes de ato lesivo cometido por pessoa jurídica, com ou sem a participação de agente público.</w:t>
      </w:r>
    </w:p>
    <w:p w:rsidR="00967E25" w:rsidRDefault="00936B82">
      <w:pPr>
        <w:widowControl w:val="0"/>
        <w:numPr>
          <w:ilvl w:val="1"/>
          <w:numId w:val="9"/>
        </w:numPr>
        <w:tabs>
          <w:tab w:val="left" w:pos="2482"/>
        </w:tabs>
        <w:spacing w:before="120" w:line="290" w:lineRule="auto"/>
        <w:ind w:left="1466" w:right="433" w:firstLine="0"/>
        <w:jc w:val="both"/>
        <w:rPr>
          <w:color w:val="000000"/>
          <w:sz w:val="24"/>
          <w:szCs w:val="24"/>
        </w:rPr>
      </w:pPr>
      <w:r>
        <w:rPr>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967E25" w:rsidRDefault="00936B82">
      <w:pPr>
        <w:widowControl w:val="0"/>
        <w:numPr>
          <w:ilvl w:val="1"/>
          <w:numId w:val="9"/>
        </w:numPr>
        <w:tabs>
          <w:tab w:val="left" w:pos="2482"/>
        </w:tabs>
        <w:spacing w:before="122" w:line="290" w:lineRule="auto"/>
        <w:ind w:left="1466" w:right="441" w:firstLine="0"/>
        <w:jc w:val="both"/>
        <w:rPr>
          <w:color w:val="000000"/>
          <w:sz w:val="24"/>
          <w:szCs w:val="24"/>
        </w:rPr>
      </w:pPr>
      <w:r>
        <w:rPr>
          <w:color w:val="000000"/>
          <w:sz w:val="24"/>
          <w:szCs w:val="24"/>
        </w:rPr>
        <w:t>As sanções por atos praticados no decorrer da contratação estão previstas nos anexos a este Aviso.</w:t>
      </w:r>
    </w:p>
    <w:p w:rsidR="00967E25" w:rsidRDefault="00967E25">
      <w:pPr>
        <w:widowControl w:val="0"/>
        <w:rPr>
          <w:color w:val="000000"/>
          <w:sz w:val="24"/>
          <w:szCs w:val="24"/>
        </w:rPr>
      </w:pPr>
    </w:p>
    <w:p w:rsidR="00967E25" w:rsidRDefault="00967E25">
      <w:pPr>
        <w:widowControl w:val="0"/>
        <w:spacing w:before="2"/>
        <w:rPr>
          <w:color w:val="000000"/>
          <w:sz w:val="24"/>
          <w:szCs w:val="24"/>
        </w:rPr>
      </w:pPr>
    </w:p>
    <w:p w:rsidR="00967E25" w:rsidRDefault="00936B82">
      <w:pPr>
        <w:widowControl w:val="0"/>
        <w:numPr>
          <w:ilvl w:val="0"/>
          <w:numId w:val="9"/>
        </w:numPr>
        <w:tabs>
          <w:tab w:val="left" w:pos="1402"/>
        </w:tabs>
        <w:rPr>
          <w:b/>
          <w:color w:val="000000"/>
          <w:sz w:val="24"/>
          <w:szCs w:val="24"/>
        </w:rPr>
      </w:pPr>
      <w:r>
        <w:rPr>
          <w:b/>
          <w:color w:val="000000"/>
          <w:sz w:val="24"/>
          <w:szCs w:val="24"/>
        </w:rPr>
        <w:t>DAS DISPOSIÇÕES GERAIS</w:t>
      </w:r>
    </w:p>
    <w:p w:rsidR="00967E25" w:rsidRDefault="00936B82">
      <w:pPr>
        <w:widowControl w:val="0"/>
        <w:numPr>
          <w:ilvl w:val="1"/>
          <w:numId w:val="9"/>
        </w:numPr>
        <w:tabs>
          <w:tab w:val="left" w:pos="2482"/>
        </w:tabs>
        <w:spacing w:before="180" w:line="290" w:lineRule="auto"/>
        <w:ind w:left="1466" w:right="436" w:firstLine="0"/>
        <w:jc w:val="both"/>
        <w:rPr>
          <w:color w:val="000000"/>
          <w:sz w:val="24"/>
          <w:szCs w:val="24"/>
        </w:rPr>
      </w:pPr>
      <w:r>
        <w:rPr>
          <w:color w:val="000000"/>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967E25" w:rsidRDefault="00936B82">
      <w:pPr>
        <w:widowControl w:val="0"/>
        <w:numPr>
          <w:ilvl w:val="1"/>
          <w:numId w:val="9"/>
        </w:numPr>
        <w:tabs>
          <w:tab w:val="left" w:pos="2482"/>
        </w:tabs>
        <w:spacing w:before="122" w:line="290" w:lineRule="auto"/>
        <w:ind w:left="1466" w:right="438" w:firstLine="0"/>
        <w:jc w:val="both"/>
        <w:rPr>
          <w:color w:val="000000"/>
          <w:sz w:val="24"/>
          <w:szCs w:val="24"/>
        </w:rPr>
      </w:pPr>
      <w:r>
        <w:rPr>
          <w:color w:val="000000"/>
          <w:sz w:val="24"/>
          <w:szCs w:val="24"/>
        </w:rPr>
        <w:t>No caso de todos os fornecedores restarem desclassificados ou inabilitados (procedimento fracassado), a Administração poderá:</w:t>
      </w:r>
    </w:p>
    <w:p w:rsidR="00967E25" w:rsidRDefault="00936B82">
      <w:pPr>
        <w:widowControl w:val="0"/>
        <w:numPr>
          <w:ilvl w:val="2"/>
          <w:numId w:val="9"/>
        </w:numPr>
        <w:tabs>
          <w:tab w:val="left" w:pos="2482"/>
        </w:tabs>
        <w:spacing w:before="121"/>
        <w:ind w:left="2482"/>
        <w:jc w:val="both"/>
        <w:rPr>
          <w:color w:val="000000"/>
          <w:sz w:val="24"/>
          <w:szCs w:val="24"/>
        </w:rPr>
      </w:pPr>
      <w:r>
        <w:rPr>
          <w:color w:val="000000"/>
          <w:sz w:val="24"/>
          <w:szCs w:val="24"/>
        </w:rPr>
        <w:t>republicar o presente aviso com uma nova data;</w:t>
      </w:r>
    </w:p>
    <w:p w:rsidR="00967E25" w:rsidRDefault="00936B82">
      <w:pPr>
        <w:widowControl w:val="0"/>
        <w:numPr>
          <w:ilvl w:val="2"/>
          <w:numId w:val="9"/>
        </w:numPr>
        <w:tabs>
          <w:tab w:val="left" w:pos="2482"/>
        </w:tabs>
        <w:spacing w:before="40" w:line="290" w:lineRule="auto"/>
        <w:ind w:right="435" w:hanging="504"/>
        <w:jc w:val="both"/>
        <w:rPr>
          <w:color w:val="000000"/>
          <w:sz w:val="24"/>
          <w:szCs w:val="24"/>
        </w:rPr>
      </w:pPr>
      <w:r>
        <w:rPr>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rsidR="00967E25" w:rsidRDefault="00936B82">
      <w:pPr>
        <w:spacing w:before="123" w:line="290" w:lineRule="auto"/>
        <w:ind w:left="2770" w:right="436" w:hanging="648"/>
        <w:jc w:val="both"/>
        <w:rPr>
          <w:sz w:val="24"/>
          <w:szCs w:val="24"/>
        </w:rPr>
      </w:pPr>
      <w:r>
        <w:rPr>
          <w:sz w:val="24"/>
          <w:szCs w:val="24"/>
        </w:rPr>
        <w:t>9.2.2.1. No caso do subitem anterior, a contratação será operacionalizada fora deste procedimento.</w:t>
      </w:r>
    </w:p>
    <w:p w:rsidR="00967E25" w:rsidRDefault="00936B82">
      <w:pPr>
        <w:widowControl w:val="0"/>
        <w:numPr>
          <w:ilvl w:val="2"/>
          <w:numId w:val="9"/>
        </w:numPr>
        <w:tabs>
          <w:tab w:val="left" w:pos="2482"/>
        </w:tabs>
        <w:spacing w:before="121" w:line="290" w:lineRule="auto"/>
        <w:ind w:right="441" w:hanging="504"/>
        <w:jc w:val="both"/>
        <w:rPr>
          <w:color w:val="000000"/>
          <w:sz w:val="24"/>
          <w:szCs w:val="24"/>
        </w:rPr>
      </w:pPr>
      <w:r>
        <w:rPr>
          <w:color w:val="000000"/>
          <w:sz w:val="24"/>
          <w:szCs w:val="24"/>
        </w:rPr>
        <w:t>fixar prazo para que possa haver adequação das propostas ou da documentação de habilitação, conforme o caso.</w:t>
      </w:r>
    </w:p>
    <w:p w:rsidR="00967E25" w:rsidRDefault="00936B82">
      <w:pPr>
        <w:widowControl w:val="0"/>
        <w:numPr>
          <w:ilvl w:val="1"/>
          <w:numId w:val="9"/>
        </w:numPr>
        <w:tabs>
          <w:tab w:val="left" w:pos="2482"/>
        </w:tabs>
        <w:spacing w:before="118" w:line="290" w:lineRule="auto"/>
        <w:ind w:left="1466" w:right="436" w:firstLine="0"/>
        <w:jc w:val="both"/>
        <w:rPr>
          <w:color w:val="000000"/>
          <w:sz w:val="24"/>
          <w:szCs w:val="24"/>
        </w:rPr>
      </w:pPr>
      <w:r>
        <w:rPr>
          <w:color w:val="000000"/>
          <w:sz w:val="24"/>
          <w:szCs w:val="24"/>
        </w:rPr>
        <w:t>As providências dos subitens 9.2.1 e 9.2.2 acima poderão ser utilizadas se não houver o comparecimento de quaisquer fornecedores interessados (procedimento deserto)</w:t>
      </w:r>
    </w:p>
    <w:p w:rsidR="00967E25" w:rsidRDefault="00936B82">
      <w:pPr>
        <w:widowControl w:val="0"/>
        <w:numPr>
          <w:ilvl w:val="1"/>
          <w:numId w:val="9"/>
        </w:numPr>
        <w:tabs>
          <w:tab w:val="left" w:pos="2482"/>
        </w:tabs>
        <w:spacing w:before="124" w:line="290" w:lineRule="auto"/>
        <w:ind w:left="1466" w:right="434" w:firstLine="0"/>
        <w:jc w:val="both"/>
        <w:rPr>
          <w:color w:val="000000"/>
          <w:sz w:val="24"/>
          <w:szCs w:val="24"/>
        </w:rPr>
      </w:pPr>
      <w:r>
        <w:rPr>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967E25" w:rsidRDefault="00936B82">
      <w:pPr>
        <w:widowControl w:val="0"/>
        <w:numPr>
          <w:ilvl w:val="1"/>
          <w:numId w:val="9"/>
        </w:numPr>
        <w:tabs>
          <w:tab w:val="left" w:pos="2482"/>
        </w:tabs>
        <w:spacing w:before="119" w:line="290" w:lineRule="auto"/>
        <w:ind w:left="1466" w:right="439" w:firstLine="0"/>
        <w:jc w:val="both"/>
        <w:rPr>
          <w:color w:val="000000"/>
          <w:sz w:val="24"/>
          <w:szCs w:val="24"/>
        </w:rPr>
      </w:pPr>
      <w:r>
        <w:rPr>
          <w:color w:val="000000"/>
          <w:sz w:val="24"/>
          <w:szCs w:val="24"/>
        </w:rPr>
        <w:t>Caberá ao fornecedor acompanhar as operações, ficando responsável pelo ônus decorrente da perda do negócio diante da inobservância de quaisquer mensagens emitidas pela Administração ou de sua desconexão.</w:t>
      </w:r>
    </w:p>
    <w:p w:rsidR="00967E25" w:rsidRDefault="00936B82">
      <w:pPr>
        <w:widowControl w:val="0"/>
        <w:numPr>
          <w:ilvl w:val="1"/>
          <w:numId w:val="9"/>
        </w:numPr>
        <w:tabs>
          <w:tab w:val="left" w:pos="2482"/>
        </w:tabs>
        <w:spacing w:before="121" w:line="290" w:lineRule="auto"/>
        <w:ind w:left="1466" w:right="440" w:firstLine="0"/>
        <w:jc w:val="both"/>
        <w:rPr>
          <w:color w:val="000000"/>
          <w:sz w:val="24"/>
          <w:szCs w:val="24"/>
        </w:rPr>
      </w:pPr>
      <w:r>
        <w:rPr>
          <w:color w:val="000000"/>
          <w:sz w:val="24"/>
          <w:szCs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967E25" w:rsidRDefault="00936B82">
      <w:pPr>
        <w:widowControl w:val="0"/>
        <w:numPr>
          <w:ilvl w:val="1"/>
          <w:numId w:val="9"/>
        </w:numPr>
        <w:tabs>
          <w:tab w:val="left" w:pos="2482"/>
        </w:tabs>
        <w:spacing w:before="122" w:line="290" w:lineRule="auto"/>
        <w:ind w:left="1466" w:right="438" w:firstLine="0"/>
        <w:jc w:val="both"/>
        <w:rPr>
          <w:color w:val="000000"/>
          <w:sz w:val="24"/>
          <w:szCs w:val="24"/>
        </w:rPr>
      </w:pPr>
      <w:r>
        <w:rPr>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rsidR="00967E25" w:rsidRDefault="00936B82">
      <w:pPr>
        <w:widowControl w:val="0"/>
        <w:numPr>
          <w:ilvl w:val="1"/>
          <w:numId w:val="9"/>
        </w:numPr>
        <w:tabs>
          <w:tab w:val="left" w:pos="2482"/>
        </w:tabs>
        <w:spacing w:before="120" w:line="290" w:lineRule="auto"/>
        <w:ind w:left="1466" w:right="436" w:firstLine="0"/>
        <w:jc w:val="both"/>
        <w:rPr>
          <w:color w:val="000000"/>
          <w:sz w:val="24"/>
          <w:szCs w:val="24"/>
        </w:rPr>
      </w:pPr>
      <w:r>
        <w:rPr>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967E25" w:rsidRDefault="00936B82">
      <w:pPr>
        <w:widowControl w:val="0"/>
        <w:numPr>
          <w:ilvl w:val="1"/>
          <w:numId w:val="9"/>
        </w:numPr>
        <w:tabs>
          <w:tab w:val="left" w:pos="2482"/>
        </w:tabs>
        <w:spacing w:before="122" w:line="290" w:lineRule="auto"/>
        <w:ind w:left="1466" w:right="434" w:firstLine="0"/>
        <w:jc w:val="both"/>
        <w:rPr>
          <w:color w:val="000000"/>
          <w:sz w:val="24"/>
          <w:szCs w:val="24"/>
        </w:rPr>
      </w:pPr>
      <w:r>
        <w:rPr>
          <w:color w:val="000000"/>
          <w:sz w:val="24"/>
          <w:szCs w:val="24"/>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967E25" w:rsidRDefault="00936B82">
      <w:pPr>
        <w:widowControl w:val="0"/>
        <w:numPr>
          <w:ilvl w:val="1"/>
          <w:numId w:val="9"/>
        </w:numPr>
        <w:tabs>
          <w:tab w:val="left" w:pos="2482"/>
        </w:tabs>
        <w:spacing w:before="120" w:line="290" w:lineRule="auto"/>
        <w:ind w:left="1466" w:right="439" w:firstLine="0"/>
        <w:jc w:val="both"/>
        <w:rPr>
          <w:color w:val="000000"/>
          <w:sz w:val="24"/>
          <w:szCs w:val="24"/>
        </w:rPr>
      </w:pPr>
      <w:r>
        <w:rPr>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r>
        <w:rPr>
          <w:sz w:val="24"/>
          <w:szCs w:val="24"/>
        </w:rPr>
        <w:t xml:space="preserve"> </w:t>
      </w:r>
      <w:r>
        <w:rPr>
          <w:color w:val="000000"/>
          <w:sz w:val="24"/>
          <w:szCs w:val="24"/>
        </w:rPr>
        <w:t>Em caso de divergência entre disposições deste Aviso de Contratação Direta e de seus anexos ou demais peças que compõem o processo, prevalecerá as deste Aviso.</w:t>
      </w:r>
    </w:p>
    <w:p w:rsidR="00967E25" w:rsidRDefault="00936B82">
      <w:pPr>
        <w:widowControl w:val="0"/>
        <w:numPr>
          <w:ilvl w:val="1"/>
          <w:numId w:val="9"/>
        </w:numPr>
        <w:tabs>
          <w:tab w:val="left" w:pos="2482"/>
        </w:tabs>
        <w:spacing w:before="123"/>
        <w:ind w:left="2482" w:hanging="1016"/>
        <w:jc w:val="both"/>
        <w:rPr>
          <w:color w:val="000000"/>
          <w:sz w:val="24"/>
          <w:szCs w:val="24"/>
        </w:rPr>
      </w:pPr>
      <w:r>
        <w:rPr>
          <w:color w:val="000000"/>
          <w:sz w:val="24"/>
          <w:szCs w:val="24"/>
        </w:rPr>
        <w:t>Da sessão pública será divulgada Ata no sistema eletrônico.</w:t>
      </w:r>
    </w:p>
    <w:p w:rsidR="00967E25" w:rsidRDefault="00936B82">
      <w:pPr>
        <w:widowControl w:val="0"/>
        <w:numPr>
          <w:ilvl w:val="1"/>
          <w:numId w:val="9"/>
        </w:numPr>
        <w:tabs>
          <w:tab w:val="left" w:pos="2482"/>
        </w:tabs>
        <w:spacing w:before="180" w:line="290" w:lineRule="auto"/>
        <w:ind w:left="1466" w:right="441" w:firstLine="0"/>
        <w:jc w:val="both"/>
        <w:rPr>
          <w:color w:val="000000"/>
          <w:sz w:val="24"/>
          <w:szCs w:val="24"/>
        </w:rPr>
      </w:pPr>
      <w:r>
        <w:rPr>
          <w:color w:val="000000"/>
          <w:sz w:val="24"/>
          <w:szCs w:val="24"/>
        </w:rPr>
        <w:t>Integram este Aviso de Contratação Direta, para todos os fins e efeitos, os seguintes anexos:</w:t>
      </w:r>
    </w:p>
    <w:p w:rsidR="00967E25" w:rsidRDefault="00936B82">
      <w:pPr>
        <w:widowControl w:val="0"/>
        <w:numPr>
          <w:ilvl w:val="2"/>
          <w:numId w:val="9"/>
        </w:numPr>
        <w:tabs>
          <w:tab w:val="left" w:pos="2482"/>
        </w:tabs>
        <w:spacing w:before="121"/>
        <w:ind w:left="2482"/>
        <w:rPr>
          <w:color w:val="000000"/>
          <w:sz w:val="24"/>
          <w:szCs w:val="24"/>
        </w:rPr>
      </w:pPr>
      <w:r>
        <w:rPr>
          <w:color w:val="000000"/>
          <w:sz w:val="24"/>
          <w:szCs w:val="24"/>
        </w:rPr>
        <w:t>ANEXO I – Documentação exigida para Habilitação</w:t>
      </w:r>
    </w:p>
    <w:p w:rsidR="00967E25" w:rsidRDefault="00936B82">
      <w:pPr>
        <w:widowControl w:val="0"/>
        <w:numPr>
          <w:ilvl w:val="2"/>
          <w:numId w:val="9"/>
        </w:numPr>
        <w:tabs>
          <w:tab w:val="left" w:pos="2482"/>
        </w:tabs>
        <w:spacing w:before="180"/>
        <w:ind w:left="2482"/>
        <w:rPr>
          <w:color w:val="000000"/>
          <w:sz w:val="24"/>
          <w:szCs w:val="24"/>
        </w:rPr>
      </w:pPr>
      <w:r>
        <w:rPr>
          <w:color w:val="000000"/>
          <w:sz w:val="24"/>
          <w:szCs w:val="24"/>
        </w:rPr>
        <w:t>ANEXO II - Termo de Referência;</w:t>
      </w:r>
    </w:p>
    <w:p w:rsidR="00967E25" w:rsidRDefault="00936B82">
      <w:pPr>
        <w:widowControl w:val="0"/>
        <w:numPr>
          <w:ilvl w:val="2"/>
          <w:numId w:val="9"/>
        </w:numPr>
        <w:tabs>
          <w:tab w:val="left" w:pos="2482"/>
        </w:tabs>
        <w:spacing w:before="180"/>
        <w:ind w:left="2482"/>
        <w:rPr>
          <w:color w:val="000000"/>
          <w:sz w:val="24"/>
          <w:szCs w:val="24"/>
        </w:rPr>
      </w:pPr>
      <w:r>
        <w:rPr>
          <w:color w:val="000000"/>
          <w:sz w:val="24"/>
          <w:szCs w:val="24"/>
        </w:rPr>
        <w:t>ANEXO III – Modelo de Proposta Comercial.</w:t>
      </w:r>
    </w:p>
    <w:p w:rsidR="00967E25" w:rsidRDefault="00967E25">
      <w:pPr>
        <w:widowControl w:val="0"/>
        <w:rPr>
          <w:color w:val="000000"/>
          <w:sz w:val="24"/>
          <w:szCs w:val="24"/>
        </w:rPr>
      </w:pPr>
    </w:p>
    <w:p w:rsidR="00967E25" w:rsidRDefault="00967E25">
      <w:pPr>
        <w:widowControl w:val="0"/>
        <w:spacing w:before="7"/>
        <w:rPr>
          <w:color w:val="000000"/>
          <w:sz w:val="24"/>
          <w:szCs w:val="24"/>
        </w:rPr>
      </w:pPr>
    </w:p>
    <w:p w:rsidR="00967E25" w:rsidRDefault="00936B82">
      <w:pPr>
        <w:ind w:right="420"/>
        <w:jc w:val="right"/>
        <w:rPr>
          <w:sz w:val="24"/>
          <w:szCs w:val="24"/>
        </w:rPr>
      </w:pPr>
      <w:r>
        <w:rPr>
          <w:sz w:val="24"/>
          <w:szCs w:val="24"/>
        </w:rPr>
        <w:t>Piúma, 24 de maio de 2022.</w:t>
      </w:r>
    </w:p>
    <w:p w:rsidR="00967E25" w:rsidRDefault="00967E25">
      <w:pPr>
        <w:widowControl w:val="0"/>
        <w:rPr>
          <w:color w:val="000000"/>
          <w:sz w:val="24"/>
          <w:szCs w:val="24"/>
        </w:rPr>
      </w:pPr>
    </w:p>
    <w:p w:rsidR="00967E25" w:rsidRDefault="00967E25">
      <w:pPr>
        <w:widowControl w:val="0"/>
        <w:spacing w:before="3"/>
        <w:rPr>
          <w:color w:val="000000"/>
          <w:sz w:val="24"/>
          <w:szCs w:val="24"/>
        </w:rPr>
      </w:pPr>
    </w:p>
    <w:p w:rsidR="00967E25" w:rsidRDefault="00936B82">
      <w:pPr>
        <w:ind w:left="811" w:right="214"/>
        <w:jc w:val="center"/>
        <w:rPr>
          <w:b/>
          <w:sz w:val="24"/>
          <w:szCs w:val="24"/>
        </w:rPr>
      </w:pPr>
      <w:r>
        <w:rPr>
          <w:b/>
          <w:sz w:val="24"/>
          <w:szCs w:val="24"/>
        </w:rPr>
        <w:t>MARCELO FANTTINI POLESE</w:t>
      </w:r>
    </w:p>
    <w:p w:rsidR="00967E25" w:rsidRDefault="00936B82">
      <w:pPr>
        <w:spacing w:before="17"/>
        <w:ind w:left="811" w:right="210"/>
        <w:jc w:val="center"/>
        <w:rPr>
          <w:b/>
          <w:sz w:val="24"/>
          <w:szCs w:val="24"/>
        </w:rPr>
        <w:sectPr w:rsidR="00967E25">
          <w:footerReference w:type="default" r:id="rId17"/>
          <w:pgSz w:w="11906" w:h="16838"/>
          <w:pgMar w:top="1400" w:right="1260" w:bottom="1100" w:left="660" w:header="0" w:footer="920" w:gutter="0"/>
          <w:cols w:space="720"/>
          <w:formProt w:val="0"/>
          <w:docGrid w:linePitch="100" w:charSpace="4096"/>
        </w:sectPr>
      </w:pPr>
      <w:r>
        <w:rPr>
          <w:b/>
          <w:sz w:val="24"/>
          <w:szCs w:val="24"/>
        </w:rPr>
        <w:t>Diretor-Geral</w:t>
      </w:r>
    </w:p>
    <w:p w:rsidR="00967E25" w:rsidRDefault="00936B82">
      <w:pPr>
        <w:widowControl w:val="0"/>
        <w:ind w:left="4797"/>
        <w:rPr>
          <w:color w:val="000000"/>
          <w:sz w:val="20"/>
          <w:szCs w:val="20"/>
        </w:rPr>
      </w:pPr>
      <w:r>
        <w:rPr>
          <w:noProof/>
          <w:sz w:val="24"/>
          <w:szCs w:val="24"/>
          <w:lang w:val="pt-BR" w:eastAsia="pt-BR"/>
        </w:rPr>
        <w:lastRenderedPageBreak/>
        <w:drawing>
          <wp:inline distT="0" distB="0" distL="0" distR="0">
            <wp:extent cx="624840" cy="594360"/>
            <wp:effectExtent l="0" t="0" r="0" b="0"/>
            <wp:docPr id="4"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pic:cNvPicPr>
                      <a:picLocks noChangeAspect="1" noChangeArrowheads="1"/>
                    </pic:cNvPicPr>
                  </pic:nvPicPr>
                  <pic:blipFill>
                    <a:blip r:embed="rId8"/>
                    <a:stretch>
                      <a:fillRect/>
                    </a:stretch>
                  </pic:blipFill>
                  <pic:spPr bwMode="auto">
                    <a:xfrm>
                      <a:off x="0" y="0"/>
                      <a:ext cx="624840" cy="594360"/>
                    </a:xfrm>
                    <a:prstGeom prst="rect">
                      <a:avLst/>
                    </a:prstGeom>
                  </pic:spPr>
                </pic:pic>
              </a:graphicData>
            </a:graphic>
          </wp:inline>
        </w:drawing>
      </w:r>
    </w:p>
    <w:p w:rsidR="00967E25" w:rsidRDefault="00936B82">
      <w:pPr>
        <w:spacing w:before="108" w:line="276" w:lineRule="auto"/>
        <w:ind w:left="3392" w:right="2621" w:firstLine="763"/>
        <w:rPr>
          <w:b/>
          <w:sz w:val="20"/>
          <w:szCs w:val="20"/>
        </w:rPr>
      </w:pPr>
      <w:r>
        <w:rPr>
          <w:b/>
          <w:sz w:val="24"/>
          <w:szCs w:val="24"/>
        </w:rPr>
        <w:t>MINISTÉRIO DA EDUCAÇÃO INSTITUTO FEDERAL DO ESPÍRITO SANTO</w:t>
      </w:r>
    </w:p>
    <w:p w:rsidR="00967E25" w:rsidRDefault="00936B82">
      <w:pPr>
        <w:spacing w:before="4"/>
        <w:ind w:left="4409"/>
        <w:rPr>
          <w:b/>
          <w:sz w:val="20"/>
          <w:szCs w:val="20"/>
        </w:rPr>
      </w:pPr>
      <w:r>
        <w:rPr>
          <w:b/>
          <w:sz w:val="24"/>
          <w:szCs w:val="24"/>
        </w:rPr>
        <w:t>CAMPUS PIÚMA</w:t>
      </w:r>
    </w:p>
    <w:p w:rsidR="00967E25" w:rsidRDefault="00967E25">
      <w:pPr>
        <w:widowControl w:val="0"/>
        <w:spacing w:before="10"/>
        <w:rPr>
          <w:b/>
          <w:color w:val="000000"/>
          <w:sz w:val="24"/>
          <w:szCs w:val="24"/>
        </w:rPr>
      </w:pPr>
    </w:p>
    <w:p w:rsidR="00967E25" w:rsidRDefault="00936B82">
      <w:pPr>
        <w:pStyle w:val="Ttulo1"/>
        <w:ind w:left="2419" w:firstLine="0"/>
      </w:pPr>
      <w:r>
        <w:t>ANEXO I – DOCUMENTAÇÃO EXIGIDA PARA HABILITAÇÃO</w:t>
      </w:r>
    </w:p>
    <w:p w:rsidR="00967E25" w:rsidRDefault="00967E25">
      <w:pPr>
        <w:widowControl w:val="0"/>
        <w:rPr>
          <w:b/>
          <w:color w:val="000000"/>
          <w:sz w:val="24"/>
          <w:szCs w:val="24"/>
        </w:rPr>
      </w:pPr>
    </w:p>
    <w:p w:rsidR="00967E25" w:rsidRDefault="00936B82">
      <w:pPr>
        <w:widowControl w:val="0"/>
        <w:numPr>
          <w:ilvl w:val="0"/>
          <w:numId w:val="2"/>
        </w:numPr>
        <w:tabs>
          <w:tab w:val="left" w:pos="1401"/>
          <w:tab w:val="left" w:pos="1402"/>
        </w:tabs>
        <w:spacing w:before="154"/>
        <w:rPr>
          <w:b/>
          <w:color w:val="000000"/>
          <w:sz w:val="24"/>
          <w:szCs w:val="24"/>
        </w:rPr>
      </w:pPr>
      <w:r>
        <w:rPr>
          <w:b/>
          <w:color w:val="000000"/>
          <w:sz w:val="24"/>
          <w:szCs w:val="24"/>
        </w:rPr>
        <w:t>Habilitação jurídica:</w:t>
      </w:r>
    </w:p>
    <w:p w:rsidR="00967E25" w:rsidRDefault="00936B82">
      <w:pPr>
        <w:pStyle w:val="Ttulo2"/>
        <w:numPr>
          <w:ilvl w:val="1"/>
          <w:numId w:val="2"/>
        </w:numPr>
        <w:tabs>
          <w:tab w:val="left" w:pos="1969"/>
        </w:tabs>
        <w:spacing w:before="180" w:line="292" w:lineRule="auto"/>
        <w:ind w:right="439"/>
      </w:pPr>
      <w:r>
        <w:t>no caso de empresário individual, inscrição no Registro Público de Empresas Mercantis, a cargo da Junta Comercial da respectiva sede;</w:t>
      </w:r>
    </w:p>
    <w:p w:rsidR="00967E25" w:rsidRDefault="00936B82">
      <w:pPr>
        <w:widowControl w:val="0"/>
        <w:numPr>
          <w:ilvl w:val="1"/>
          <w:numId w:val="2"/>
        </w:numPr>
        <w:tabs>
          <w:tab w:val="left" w:pos="1969"/>
        </w:tabs>
        <w:spacing w:before="115" w:line="290" w:lineRule="auto"/>
        <w:ind w:right="436"/>
        <w:jc w:val="both"/>
        <w:rPr>
          <w:color w:val="000000"/>
          <w:sz w:val="24"/>
          <w:szCs w:val="24"/>
        </w:rPr>
      </w:pPr>
      <w:r>
        <w:rPr>
          <w:color w:val="000000"/>
          <w:sz w:val="24"/>
          <w:szCs w:val="24"/>
        </w:rPr>
        <w:t>Em se tratando de Microempreendedor Individual – MEI: Certificado da Condição de Microempreendedor Individual - CCMEI, cuja aceitação ficará condicionada à verificação da autenticidade no sítio www.portaldoempreendedor.gov.br;</w:t>
      </w:r>
    </w:p>
    <w:p w:rsidR="00967E25" w:rsidRDefault="00936B82">
      <w:pPr>
        <w:widowControl w:val="0"/>
        <w:numPr>
          <w:ilvl w:val="1"/>
          <w:numId w:val="2"/>
        </w:numPr>
        <w:tabs>
          <w:tab w:val="left" w:pos="1969"/>
        </w:tabs>
        <w:spacing w:before="123" w:line="290" w:lineRule="auto"/>
        <w:ind w:right="438"/>
        <w:jc w:val="both"/>
        <w:rPr>
          <w:color w:val="000000"/>
          <w:sz w:val="24"/>
          <w:szCs w:val="24"/>
        </w:rPr>
      </w:pPr>
      <w:r>
        <w:rPr>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67E25" w:rsidRDefault="00936B82">
      <w:pPr>
        <w:widowControl w:val="0"/>
        <w:numPr>
          <w:ilvl w:val="1"/>
          <w:numId w:val="2"/>
        </w:numPr>
        <w:tabs>
          <w:tab w:val="left" w:pos="1969"/>
        </w:tabs>
        <w:spacing w:before="120" w:line="290" w:lineRule="auto"/>
        <w:ind w:right="432"/>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rsidR="00967E25" w:rsidRDefault="00936B82">
      <w:pPr>
        <w:widowControl w:val="0"/>
        <w:numPr>
          <w:ilvl w:val="1"/>
          <w:numId w:val="2"/>
        </w:numPr>
        <w:tabs>
          <w:tab w:val="left" w:pos="1969"/>
        </w:tabs>
        <w:spacing w:before="120" w:line="290" w:lineRule="auto"/>
        <w:ind w:right="438"/>
        <w:jc w:val="both"/>
        <w:rPr>
          <w:color w:val="000000"/>
          <w:sz w:val="24"/>
          <w:szCs w:val="24"/>
        </w:rPr>
      </w:pPr>
      <w:r>
        <w:rPr>
          <w:color w:val="000000"/>
          <w:sz w:val="24"/>
          <w:szCs w:val="24"/>
        </w:rPr>
        <w:t>No caso de sociedade simples: inscrição do ato constitutivo no Registro Civil das Pessoas Jurídicas do local de sua sede, acompanhada de prova da indicação dos seus administradores;</w:t>
      </w:r>
    </w:p>
    <w:p w:rsidR="00967E25" w:rsidRDefault="00936B82">
      <w:pPr>
        <w:widowControl w:val="0"/>
        <w:numPr>
          <w:ilvl w:val="1"/>
          <w:numId w:val="2"/>
        </w:numPr>
        <w:tabs>
          <w:tab w:val="left" w:pos="1969"/>
        </w:tabs>
        <w:spacing w:before="121" w:line="292" w:lineRule="auto"/>
        <w:ind w:right="437"/>
        <w:jc w:val="both"/>
        <w:rPr>
          <w:color w:val="000000"/>
          <w:sz w:val="24"/>
          <w:szCs w:val="24"/>
        </w:rPr>
      </w:pPr>
      <w:r>
        <w:rPr>
          <w:color w:val="000000"/>
          <w:sz w:val="24"/>
          <w:szCs w:val="24"/>
        </w:rPr>
        <w:t>decreto de autorização, em se tratando de sociedade empresária estrangeira em funcionamento no País;</w:t>
      </w:r>
    </w:p>
    <w:p w:rsidR="00967E25" w:rsidRDefault="00936B82">
      <w:pPr>
        <w:widowControl w:val="0"/>
        <w:numPr>
          <w:ilvl w:val="1"/>
          <w:numId w:val="2"/>
        </w:numPr>
        <w:tabs>
          <w:tab w:val="left" w:pos="1969"/>
        </w:tabs>
        <w:spacing w:before="115" w:line="290" w:lineRule="auto"/>
        <w:ind w:right="435"/>
        <w:jc w:val="both"/>
        <w:rPr>
          <w:i/>
          <w:color w:val="000000"/>
          <w:sz w:val="24"/>
          <w:szCs w:val="24"/>
        </w:rPr>
      </w:pPr>
      <w:r>
        <w:rPr>
          <w:color w:val="000000"/>
          <w:sz w:val="24"/>
          <w:szCs w:val="24"/>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Pr>
          <w:i/>
          <w:color w:val="FF0000"/>
          <w:sz w:val="24"/>
          <w:szCs w:val="24"/>
        </w:rPr>
        <w:t>.</w:t>
      </w:r>
    </w:p>
    <w:p w:rsidR="00967E25" w:rsidRDefault="00936B82">
      <w:pPr>
        <w:widowControl w:val="0"/>
        <w:numPr>
          <w:ilvl w:val="1"/>
          <w:numId w:val="2"/>
        </w:numPr>
        <w:tabs>
          <w:tab w:val="left" w:pos="1969"/>
        </w:tabs>
        <w:spacing w:before="122" w:line="290" w:lineRule="auto"/>
        <w:ind w:right="441"/>
        <w:jc w:val="both"/>
        <w:rPr>
          <w:color w:val="000000"/>
          <w:sz w:val="24"/>
          <w:szCs w:val="24"/>
        </w:rPr>
      </w:pPr>
      <w:r>
        <w:rPr>
          <w:color w:val="000000"/>
          <w:sz w:val="24"/>
          <w:szCs w:val="24"/>
        </w:rPr>
        <w:t>Os documentos acima deverão estar acompanhados de todas as alterações ou da consolidação respectiva.</w:t>
      </w:r>
    </w:p>
    <w:p w:rsidR="00967E25" w:rsidRDefault="00967E25">
      <w:pPr>
        <w:widowControl w:val="0"/>
        <w:rPr>
          <w:color w:val="000000"/>
          <w:sz w:val="24"/>
          <w:szCs w:val="24"/>
        </w:rPr>
      </w:pPr>
    </w:p>
    <w:p w:rsidR="00967E25" w:rsidRDefault="00936B82">
      <w:pPr>
        <w:widowControl w:val="0"/>
        <w:numPr>
          <w:ilvl w:val="0"/>
          <w:numId w:val="2"/>
        </w:numPr>
        <w:tabs>
          <w:tab w:val="left" w:pos="1457"/>
          <w:tab w:val="left" w:pos="1458"/>
        </w:tabs>
        <w:spacing w:before="182"/>
        <w:ind w:left="1457" w:hanging="415"/>
        <w:rPr>
          <w:b/>
          <w:color w:val="000000"/>
          <w:sz w:val="24"/>
          <w:szCs w:val="24"/>
        </w:rPr>
      </w:pPr>
      <w:r>
        <w:rPr>
          <w:b/>
          <w:color w:val="000000"/>
          <w:sz w:val="24"/>
          <w:szCs w:val="24"/>
        </w:rPr>
        <w:t>Regularidade fiscal, social e trabalhista:</w:t>
      </w:r>
    </w:p>
    <w:p w:rsidR="00967E25" w:rsidRDefault="00936B82">
      <w:pPr>
        <w:widowControl w:val="0"/>
        <w:numPr>
          <w:ilvl w:val="1"/>
          <w:numId w:val="2"/>
        </w:numPr>
        <w:tabs>
          <w:tab w:val="left" w:pos="1969"/>
        </w:tabs>
        <w:spacing w:before="180" w:line="292" w:lineRule="auto"/>
        <w:ind w:right="443"/>
        <w:jc w:val="both"/>
        <w:rPr>
          <w:color w:val="000000"/>
          <w:sz w:val="24"/>
          <w:szCs w:val="24"/>
        </w:rPr>
      </w:pPr>
      <w:r>
        <w:rPr>
          <w:color w:val="000000"/>
          <w:sz w:val="24"/>
          <w:szCs w:val="24"/>
        </w:rPr>
        <w:t>prova de inscrição no Cadastro Nacional de Pessoas Jurídicas ou no Cadastro de Pessoas Físicas, conforme o caso;</w:t>
      </w:r>
    </w:p>
    <w:p w:rsidR="00967E25" w:rsidRDefault="00936B82">
      <w:pPr>
        <w:widowControl w:val="0"/>
        <w:numPr>
          <w:ilvl w:val="1"/>
          <w:numId w:val="2"/>
        </w:numPr>
        <w:tabs>
          <w:tab w:val="left" w:pos="1969"/>
        </w:tabs>
        <w:spacing w:before="115" w:line="290" w:lineRule="auto"/>
        <w:ind w:right="439"/>
        <w:jc w:val="both"/>
        <w:rPr>
          <w:color w:val="000000"/>
          <w:sz w:val="24"/>
          <w:szCs w:val="24"/>
        </w:rPr>
        <w:sectPr w:rsidR="00967E25">
          <w:footerReference w:type="default" r:id="rId18"/>
          <w:pgSz w:w="11906" w:h="16838"/>
          <w:pgMar w:top="620" w:right="1260" w:bottom="280" w:left="660" w:header="0" w:footer="0" w:gutter="0"/>
          <w:cols w:space="720"/>
          <w:formProt w:val="0"/>
          <w:docGrid w:linePitch="100" w:charSpace="4096"/>
        </w:sectPr>
      </w:pPr>
      <w:r>
        <w:rPr>
          <w:color w:val="000000"/>
          <w:sz w:val="24"/>
          <w:szCs w:val="24"/>
        </w:rPr>
        <w:t>prova de regularidade fiscal perante a Fazenda Nacional, mediante apresentação de certidão expedida conjuntamente pela Secretaria da Receita</w:t>
      </w:r>
    </w:p>
    <w:p w:rsidR="00967E25" w:rsidRDefault="00936B82">
      <w:pPr>
        <w:spacing w:before="40" w:line="290" w:lineRule="auto"/>
        <w:ind w:left="1968" w:right="439"/>
        <w:jc w:val="both"/>
        <w:rPr>
          <w:sz w:val="24"/>
          <w:szCs w:val="24"/>
        </w:rPr>
      </w:pPr>
      <w:r>
        <w:rPr>
          <w:sz w:val="24"/>
          <w:szCs w:val="24"/>
        </w:rPr>
        <w:lastRenderedPageBreak/>
        <w:t>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967E25" w:rsidRDefault="00936B82">
      <w:pPr>
        <w:widowControl w:val="0"/>
        <w:numPr>
          <w:ilvl w:val="1"/>
          <w:numId w:val="2"/>
        </w:numPr>
        <w:tabs>
          <w:tab w:val="left" w:pos="1969"/>
        </w:tabs>
        <w:spacing w:before="122"/>
        <w:jc w:val="both"/>
        <w:rPr>
          <w:color w:val="000000"/>
          <w:sz w:val="24"/>
          <w:szCs w:val="24"/>
        </w:rPr>
      </w:pPr>
      <w:r>
        <w:rPr>
          <w:color w:val="000000"/>
          <w:sz w:val="24"/>
          <w:szCs w:val="24"/>
        </w:rPr>
        <w:t>prova de regularidade com o Fundo de Garantia do Tempo de Serviço (FGTS);</w:t>
      </w:r>
    </w:p>
    <w:p w:rsidR="00967E25" w:rsidRDefault="00936B82">
      <w:pPr>
        <w:widowControl w:val="0"/>
        <w:numPr>
          <w:ilvl w:val="1"/>
          <w:numId w:val="2"/>
        </w:numPr>
        <w:tabs>
          <w:tab w:val="left" w:pos="1969"/>
        </w:tabs>
        <w:spacing w:before="182" w:line="290" w:lineRule="auto"/>
        <w:ind w:right="437"/>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67E25" w:rsidRDefault="00936B82">
      <w:pPr>
        <w:widowControl w:val="0"/>
        <w:numPr>
          <w:ilvl w:val="1"/>
          <w:numId w:val="2"/>
        </w:numPr>
        <w:tabs>
          <w:tab w:val="left" w:pos="1969"/>
        </w:tabs>
        <w:spacing w:before="120" w:line="290" w:lineRule="auto"/>
        <w:ind w:right="434"/>
        <w:jc w:val="both"/>
        <w:rPr>
          <w:color w:val="000000"/>
          <w:sz w:val="24"/>
          <w:szCs w:val="24"/>
        </w:rPr>
      </w:pPr>
      <w:r>
        <w:rPr>
          <w:color w:val="000000"/>
          <w:sz w:val="24"/>
          <w:szCs w:val="24"/>
        </w:rPr>
        <w:t xml:space="preserve">prova de inscrição no cadastro de contribuintes </w:t>
      </w:r>
      <w:r>
        <w:rPr>
          <w:i/>
          <w:color w:val="000000"/>
          <w:sz w:val="24"/>
          <w:szCs w:val="24"/>
        </w:rPr>
        <w:t>estadual e municipal</w:t>
      </w:r>
      <w:r>
        <w:rPr>
          <w:color w:val="000000"/>
          <w:sz w:val="24"/>
          <w:szCs w:val="24"/>
        </w:rPr>
        <w:t>, relativo ao domicílio ou sede do fornecedor, pertinente ao seu ramo de atividade e compatível com o objeto contratual;</w:t>
      </w:r>
    </w:p>
    <w:p w:rsidR="00967E25" w:rsidRDefault="00936B82">
      <w:pPr>
        <w:widowControl w:val="0"/>
        <w:numPr>
          <w:ilvl w:val="1"/>
          <w:numId w:val="2"/>
        </w:numPr>
        <w:tabs>
          <w:tab w:val="left" w:pos="1969"/>
        </w:tabs>
        <w:spacing w:before="121" w:line="290" w:lineRule="auto"/>
        <w:ind w:right="436"/>
        <w:jc w:val="both"/>
        <w:rPr>
          <w:color w:val="000000"/>
          <w:sz w:val="24"/>
          <w:szCs w:val="24"/>
        </w:rPr>
      </w:pPr>
      <w:r>
        <w:rPr>
          <w:color w:val="000000"/>
          <w:sz w:val="24"/>
          <w:szCs w:val="24"/>
        </w:rPr>
        <w:t xml:space="preserve">prova de regularidade com a Fazenda </w:t>
      </w:r>
      <w:r>
        <w:rPr>
          <w:i/>
          <w:color w:val="000000"/>
          <w:sz w:val="24"/>
          <w:szCs w:val="24"/>
        </w:rPr>
        <w:t xml:space="preserve">Estadual e Municipal </w:t>
      </w:r>
      <w:r>
        <w:rPr>
          <w:color w:val="000000"/>
          <w:sz w:val="24"/>
          <w:szCs w:val="24"/>
        </w:rPr>
        <w:t>do domicílio ou sede do fornecedor, relativa à atividade em cujo exercício contrata ou concorre;</w:t>
      </w:r>
    </w:p>
    <w:p w:rsidR="00967E25" w:rsidRDefault="00936B82">
      <w:pPr>
        <w:widowControl w:val="0"/>
        <w:numPr>
          <w:ilvl w:val="1"/>
          <w:numId w:val="2"/>
        </w:numPr>
        <w:tabs>
          <w:tab w:val="left" w:pos="1969"/>
        </w:tabs>
        <w:spacing w:before="123" w:line="290" w:lineRule="auto"/>
        <w:ind w:right="434"/>
        <w:jc w:val="both"/>
        <w:rPr>
          <w:color w:val="000000"/>
          <w:sz w:val="24"/>
          <w:szCs w:val="24"/>
        </w:rPr>
      </w:pPr>
      <w:r>
        <w:rPr>
          <w:color w:val="000000"/>
          <w:sz w:val="24"/>
          <w:szCs w:val="24"/>
        </w:rPr>
        <w:t xml:space="preserve">caso o fornecedor seja considerado isento dos tributos </w:t>
      </w:r>
      <w:r>
        <w:rPr>
          <w:i/>
          <w:color w:val="000000"/>
          <w:sz w:val="24"/>
          <w:szCs w:val="24"/>
        </w:rPr>
        <w:t xml:space="preserve">estaduais </w:t>
      </w:r>
      <w:r>
        <w:rPr>
          <w:b/>
          <w:i/>
          <w:color w:val="000000"/>
          <w:sz w:val="24"/>
          <w:szCs w:val="24"/>
          <w:u w:val="single"/>
        </w:rPr>
        <w:t>ou</w:t>
      </w:r>
      <w:r>
        <w:rPr>
          <w:b/>
          <w:i/>
          <w:color w:val="000000"/>
          <w:sz w:val="24"/>
          <w:szCs w:val="24"/>
        </w:rPr>
        <w:t xml:space="preserve"> </w:t>
      </w:r>
      <w:r>
        <w:rPr>
          <w:i/>
          <w:color w:val="000000"/>
          <w:sz w:val="24"/>
          <w:szCs w:val="24"/>
        </w:rPr>
        <w:t xml:space="preserve">municipais </w:t>
      </w:r>
      <w:r>
        <w:rPr>
          <w:color w:val="000000"/>
          <w:sz w:val="24"/>
          <w:szCs w:val="24"/>
        </w:rPr>
        <w:t>relacionados ao objeto contratual, deverá comprovar tal condição mediante a apresentação de declaração da Fazenda respectiva do seu domicílio ou sede, ou outra equivalente, na forma da lei.</w:t>
      </w:r>
    </w:p>
    <w:p w:rsidR="00967E25" w:rsidRDefault="00967E25">
      <w:pPr>
        <w:widowControl w:val="0"/>
        <w:rPr>
          <w:color w:val="000000"/>
          <w:sz w:val="24"/>
          <w:szCs w:val="24"/>
        </w:rPr>
      </w:pPr>
    </w:p>
    <w:p w:rsidR="00967E25" w:rsidRDefault="00967E25">
      <w:pPr>
        <w:widowControl w:val="0"/>
        <w:rPr>
          <w:color w:val="000000"/>
          <w:sz w:val="24"/>
          <w:szCs w:val="24"/>
        </w:rPr>
      </w:pPr>
    </w:p>
    <w:p w:rsidR="00967E25" w:rsidRDefault="00967E25">
      <w:pPr>
        <w:widowControl w:val="0"/>
        <w:spacing w:before="10"/>
        <w:rPr>
          <w:color w:val="000000"/>
          <w:sz w:val="24"/>
          <w:szCs w:val="24"/>
        </w:rPr>
      </w:pPr>
    </w:p>
    <w:p w:rsidR="00967E25" w:rsidRDefault="00936B82">
      <w:pPr>
        <w:ind w:right="602"/>
        <w:jc w:val="right"/>
        <w:rPr>
          <w:rFonts w:ascii="Times New Roman" w:eastAsia="Times New Roman" w:hAnsi="Times New Roman" w:cs="Times New Roman"/>
          <w:b/>
          <w:sz w:val="20"/>
          <w:szCs w:val="20"/>
        </w:rPr>
      </w:pPr>
      <w:r>
        <w:rPr>
          <w:rFonts w:eastAsia="Times New Roman" w:cs="Times New Roman"/>
          <w:b/>
          <w:sz w:val="24"/>
          <w:szCs w:val="24"/>
        </w:rPr>
        <w:t>Piúma - ES, 20 de abril de 2022</w:t>
      </w:r>
    </w:p>
    <w:p w:rsidR="00967E25" w:rsidRDefault="00967E25">
      <w:pPr>
        <w:widowControl w:val="0"/>
        <w:rPr>
          <w:rFonts w:eastAsia="Times New Roman" w:cs="Times New Roman"/>
          <w:b/>
          <w:color w:val="000000"/>
          <w:sz w:val="24"/>
          <w:szCs w:val="24"/>
        </w:rPr>
      </w:pPr>
    </w:p>
    <w:p w:rsidR="00967E25" w:rsidRDefault="00936B82">
      <w:pPr>
        <w:widowControl w:val="0"/>
        <w:spacing w:before="9"/>
        <w:rPr>
          <w:rFonts w:eastAsia="Times New Roman" w:cs="Times New Roman"/>
          <w:b/>
          <w:color w:val="000000"/>
          <w:sz w:val="24"/>
          <w:szCs w:val="24"/>
        </w:rPr>
      </w:pPr>
      <w:r>
        <w:rPr>
          <w:rFonts w:eastAsia="Times New Roman" w:cs="Times New Roman"/>
          <w:b/>
          <w:noProof/>
          <w:color w:val="000000"/>
          <w:sz w:val="24"/>
          <w:szCs w:val="24"/>
          <w:lang w:val="pt-BR" w:eastAsia="pt-BR"/>
        </w:rPr>
        <mc:AlternateContent>
          <mc:Choice Requires="wps">
            <w:drawing>
              <wp:anchor distT="0" distB="0" distL="114300" distR="114300" simplePos="0" relativeHeight="124" behindDoc="0" locked="0" layoutInCell="1" allowOverlap="1">
                <wp:simplePos x="0" y="0"/>
                <wp:positionH relativeFrom="column">
                  <wp:posOffset>2654300</wp:posOffset>
                </wp:positionH>
                <wp:positionV relativeFrom="paragraph">
                  <wp:posOffset>152400</wp:posOffset>
                </wp:positionV>
                <wp:extent cx="1905" cy="13335"/>
                <wp:effectExtent l="0" t="0" r="0" b="0"/>
                <wp:wrapTopAndBottom/>
                <wp:docPr id="5" name="Figura2"/>
                <wp:cNvGraphicFramePr/>
                <a:graphic xmlns:a="http://schemas.openxmlformats.org/drawingml/2006/main">
                  <a:graphicData uri="http://schemas.microsoft.com/office/word/2010/wordprocessingShape">
                    <wps:wsp>
                      <wps:cNvSpPr/>
                      <wps:spPr>
                        <a:xfrm>
                          <a:off x="0" y="0"/>
                          <a:ext cx="1440" cy="12600"/>
                        </a:xfrm>
                        <a:custGeom>
                          <a:avLst/>
                          <a:gdLst/>
                          <a:ahLst/>
                          <a:cxnLst/>
                          <a:rect l="l" t="t" r="r" b="b"/>
                          <a:pathLst>
                            <a:path w="1642110" h="1270">
                              <a:moveTo>
                                <a:pt x="0" y="0"/>
                              </a:moveTo>
                              <a:lnTo>
                                <a:pt x="1642110" y="0"/>
                              </a:lnTo>
                            </a:path>
                          </a:pathLst>
                        </a:cu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p>
    <w:p w:rsidR="00967E25" w:rsidRDefault="00936B82">
      <w:pPr>
        <w:spacing w:before="37"/>
        <w:ind w:left="811" w:right="205"/>
        <w:jc w:val="center"/>
        <w:rPr>
          <w:b/>
          <w:sz w:val="20"/>
          <w:szCs w:val="20"/>
        </w:rPr>
      </w:pPr>
      <w:r>
        <w:rPr>
          <w:b/>
          <w:sz w:val="24"/>
          <w:szCs w:val="24"/>
        </w:rPr>
        <w:t>MARCELO FANTTINI POLESE</w:t>
      </w:r>
    </w:p>
    <w:p w:rsidR="00967E25" w:rsidRDefault="00936B82">
      <w:pPr>
        <w:spacing w:before="61"/>
        <w:ind w:left="811" w:right="201"/>
        <w:jc w:val="center"/>
        <w:rPr>
          <w:sz w:val="20"/>
          <w:szCs w:val="20"/>
        </w:rPr>
        <w:sectPr w:rsidR="00967E25">
          <w:footerReference w:type="default" r:id="rId19"/>
          <w:pgSz w:w="11906" w:h="16838"/>
          <w:pgMar w:top="1360" w:right="1260" w:bottom="280" w:left="660" w:header="0" w:footer="0" w:gutter="0"/>
          <w:cols w:space="720"/>
          <w:formProt w:val="0"/>
          <w:docGrid w:linePitch="100" w:charSpace="4096"/>
        </w:sectPr>
      </w:pPr>
      <w:r>
        <w:rPr>
          <w:sz w:val="24"/>
          <w:szCs w:val="24"/>
        </w:rPr>
        <w:t>Diretor-Geral</w:t>
      </w:r>
    </w:p>
    <w:p w:rsidR="00967E25" w:rsidRDefault="00967E25">
      <w:pPr>
        <w:widowControl w:val="0"/>
        <w:spacing w:before="4"/>
        <w:rPr>
          <w:color w:val="000000"/>
          <w:sz w:val="24"/>
          <w:szCs w:val="24"/>
        </w:rPr>
      </w:pPr>
    </w:p>
    <w:p w:rsidR="00967E25" w:rsidRDefault="00936B82" w:rsidP="00277921">
      <w:pPr>
        <w:pStyle w:val="Ttulo3"/>
        <w:spacing w:before="60" w:line="403" w:lineRule="auto"/>
        <w:ind w:left="3600" w:right="2945" w:firstLine="1"/>
        <w:jc w:val="center"/>
        <w:rPr>
          <w:rFonts w:ascii="Times New Roman" w:eastAsia="Times New Roman" w:hAnsi="Times New Roman" w:cs="Times New Roman"/>
        </w:rPr>
      </w:pPr>
      <w:r>
        <w:rPr>
          <w:sz w:val="24"/>
          <w:szCs w:val="24"/>
        </w:rPr>
        <w:t xml:space="preserve">ANEXO II - </w:t>
      </w:r>
      <w:r>
        <w:rPr>
          <w:rFonts w:eastAsia="Times New Roman" w:cs="Times New Roman"/>
          <w:sz w:val="24"/>
          <w:szCs w:val="24"/>
        </w:rPr>
        <w:t>TERMO DE REFERÊNCIA</w:t>
      </w:r>
    </w:p>
    <w:p w:rsidR="00967E25" w:rsidRDefault="00936B82" w:rsidP="00277921">
      <w:pPr>
        <w:spacing w:before="57" w:after="57" w:line="276" w:lineRule="auto"/>
        <w:ind w:left="605"/>
        <w:jc w:val="center"/>
        <w:rPr>
          <w:rFonts w:ascii="Times New Roman" w:eastAsia="Times New Roman" w:hAnsi="Times New Roman" w:cs="Times New Roman"/>
          <w:b/>
        </w:rPr>
      </w:pPr>
      <w:r>
        <w:rPr>
          <w:rFonts w:eastAsia="Times New Roman" w:cs="Times New Roman"/>
          <w:b/>
          <w:sz w:val="24"/>
          <w:szCs w:val="24"/>
        </w:rPr>
        <w:t>AQUISIÇÃO DE BENS COMUNS</w:t>
      </w:r>
    </w:p>
    <w:p w:rsidR="00967E25" w:rsidRDefault="00936B82" w:rsidP="00277921">
      <w:pPr>
        <w:spacing w:before="57" w:after="57" w:line="276" w:lineRule="auto"/>
        <w:ind w:left="593"/>
        <w:jc w:val="center"/>
        <w:rPr>
          <w:rFonts w:ascii="Times New Roman" w:eastAsia="Times New Roman" w:hAnsi="Times New Roman" w:cs="Times New Roman"/>
          <w:sz w:val="24"/>
          <w:szCs w:val="24"/>
        </w:rPr>
      </w:pPr>
      <w:r>
        <w:rPr>
          <w:rFonts w:eastAsia="Times New Roman" w:cs="Times New Roman"/>
          <w:b/>
          <w:sz w:val="24"/>
          <w:szCs w:val="24"/>
        </w:rPr>
        <w:t>(Processo Administrativo n.°</w:t>
      </w:r>
      <w:r>
        <w:rPr>
          <w:rFonts w:eastAsia="Verdana" w:cs="Verdana"/>
          <w:b/>
          <w:sz w:val="24"/>
          <w:szCs w:val="24"/>
        </w:rPr>
        <w:t>23185.000580/2022-33</w:t>
      </w:r>
      <w:r>
        <w:rPr>
          <w:rFonts w:eastAsia="Times New Roman" w:cs="Times New Roman"/>
          <w:b/>
          <w:sz w:val="24"/>
          <w:szCs w:val="24"/>
        </w:rPr>
        <w:t xml:space="preserve"> )</w:t>
      </w:r>
    </w:p>
    <w:p w:rsidR="00967E25" w:rsidRDefault="00967E25" w:rsidP="00277921">
      <w:pPr>
        <w:spacing w:before="57" w:after="57" w:line="276" w:lineRule="auto"/>
        <w:ind w:left="605"/>
        <w:jc w:val="both"/>
        <w:rPr>
          <w:rFonts w:eastAsia="Times New Roman" w:cs="Times New Roman"/>
          <w:sz w:val="24"/>
          <w:szCs w:val="24"/>
        </w:rPr>
      </w:pPr>
    </w:p>
    <w:tbl>
      <w:tblPr>
        <w:tblStyle w:val="TableNormal0"/>
        <w:tblW w:w="9651" w:type="dxa"/>
        <w:tblInd w:w="605" w:type="dxa"/>
        <w:tblBorders>
          <w:top w:val="single" w:sz="4" w:space="0" w:color="000000"/>
          <w:left w:val="single" w:sz="4" w:space="0" w:color="000000"/>
          <w:bottom w:val="single" w:sz="4" w:space="0" w:color="000000"/>
          <w:insideH w:val="single" w:sz="4" w:space="0" w:color="000000"/>
        </w:tblBorders>
        <w:tblCellMar>
          <w:top w:w="55" w:type="dxa"/>
          <w:left w:w="55" w:type="dxa"/>
          <w:bottom w:w="55" w:type="dxa"/>
          <w:right w:w="55" w:type="dxa"/>
        </w:tblCellMar>
        <w:tblLook w:val="0000" w:firstRow="0" w:lastRow="0" w:firstColumn="0" w:lastColumn="0" w:noHBand="0" w:noVBand="0"/>
      </w:tblPr>
      <w:tblGrid>
        <w:gridCol w:w="3029"/>
        <w:gridCol w:w="6622"/>
      </w:tblGrid>
      <w:tr w:rsidR="00967E25" w:rsidTr="00277921">
        <w:trPr>
          <w:trHeight w:val="535"/>
        </w:trPr>
        <w:tc>
          <w:tcPr>
            <w:tcW w:w="3029" w:type="dxa"/>
            <w:tcBorders>
              <w:top w:val="single" w:sz="4" w:space="0" w:color="000000"/>
              <w:left w:val="single" w:sz="4" w:space="0" w:color="000000"/>
              <w:bottom w:val="single" w:sz="4" w:space="0" w:color="000000"/>
            </w:tcBorders>
            <w:shd w:val="clear" w:color="auto" w:fill="auto"/>
            <w:vAlign w:val="center"/>
          </w:tcPr>
          <w:p w:rsidR="00967E25" w:rsidRDefault="00936B82" w:rsidP="00277921">
            <w:pPr>
              <w:spacing w:before="57" w:after="57" w:line="276" w:lineRule="auto"/>
              <w:ind w:left="-12"/>
              <w:jc w:val="both"/>
              <w:rPr>
                <w:rFonts w:ascii="Times New Roman" w:eastAsia="Times New Roman" w:hAnsi="Times New Roman" w:cs="Times New Roman"/>
              </w:rPr>
            </w:pPr>
            <w:r>
              <w:rPr>
                <w:rFonts w:eastAsia="Times New Roman" w:cs="Times New Roman"/>
                <w:sz w:val="24"/>
                <w:szCs w:val="24"/>
              </w:rPr>
              <w:t>Unidade Solicitante:</w:t>
            </w:r>
          </w:p>
        </w:tc>
        <w:tc>
          <w:tcPr>
            <w:tcW w:w="6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E25" w:rsidRDefault="00936B82" w:rsidP="00277921">
            <w:pPr>
              <w:spacing w:before="57" w:after="57" w:line="276" w:lineRule="auto"/>
              <w:ind w:left="119" w:right="3"/>
              <w:jc w:val="both"/>
              <w:rPr>
                <w:rFonts w:ascii="Times New Roman" w:eastAsia="Times New Roman" w:hAnsi="Times New Roman" w:cs="Times New Roman"/>
              </w:rPr>
            </w:pPr>
            <w:r>
              <w:rPr>
                <w:rFonts w:eastAsia="Times New Roman" w:cs="Times New Roman"/>
                <w:sz w:val="24"/>
                <w:szCs w:val="24"/>
              </w:rPr>
              <w:t xml:space="preserve">Ifes – </w:t>
            </w:r>
            <w:r>
              <w:rPr>
                <w:rFonts w:eastAsia="Times New Roman" w:cs="Times New Roman"/>
                <w:i/>
                <w:sz w:val="24"/>
                <w:szCs w:val="24"/>
              </w:rPr>
              <w:t>Campus</w:t>
            </w:r>
            <w:r>
              <w:rPr>
                <w:rFonts w:eastAsia="Times New Roman" w:cs="Times New Roman"/>
                <w:sz w:val="24"/>
                <w:szCs w:val="24"/>
              </w:rPr>
              <w:t xml:space="preserve"> Piúma</w:t>
            </w:r>
          </w:p>
        </w:tc>
      </w:tr>
      <w:tr w:rsidR="00967E25" w:rsidTr="00277921">
        <w:trPr>
          <w:trHeight w:val="487"/>
        </w:trPr>
        <w:tc>
          <w:tcPr>
            <w:tcW w:w="3029" w:type="dxa"/>
            <w:tcBorders>
              <w:left w:val="single" w:sz="4" w:space="0" w:color="000000"/>
              <w:bottom w:val="single" w:sz="4" w:space="0" w:color="000000"/>
            </w:tcBorders>
            <w:shd w:val="clear" w:color="auto" w:fill="auto"/>
            <w:vAlign w:val="center"/>
          </w:tcPr>
          <w:p w:rsidR="00967E25" w:rsidRDefault="00936B82" w:rsidP="00277921">
            <w:pPr>
              <w:spacing w:before="57" w:after="57" w:line="276" w:lineRule="auto"/>
              <w:jc w:val="both"/>
              <w:rPr>
                <w:rFonts w:ascii="Times New Roman" w:eastAsia="Times New Roman" w:hAnsi="Times New Roman" w:cs="Times New Roman"/>
              </w:rPr>
            </w:pPr>
            <w:r>
              <w:rPr>
                <w:rFonts w:eastAsia="Times New Roman" w:cs="Times New Roman"/>
                <w:sz w:val="24"/>
                <w:szCs w:val="24"/>
              </w:rPr>
              <w:t>Unidade Supridora:</w:t>
            </w:r>
          </w:p>
        </w:tc>
        <w:tc>
          <w:tcPr>
            <w:tcW w:w="6622" w:type="dxa"/>
            <w:tcBorders>
              <w:left w:val="single" w:sz="4" w:space="0" w:color="000000"/>
              <w:bottom w:val="single" w:sz="4" w:space="0" w:color="000000"/>
              <w:right w:val="single" w:sz="4" w:space="0" w:color="000000"/>
            </w:tcBorders>
            <w:shd w:val="clear" w:color="auto" w:fill="auto"/>
            <w:vAlign w:val="center"/>
          </w:tcPr>
          <w:p w:rsidR="00967E25" w:rsidRDefault="00936B82" w:rsidP="00277921">
            <w:pPr>
              <w:spacing w:before="57" w:after="57" w:line="276" w:lineRule="auto"/>
              <w:ind w:left="119" w:right="3"/>
              <w:jc w:val="both"/>
              <w:rPr>
                <w:rFonts w:ascii="Times New Roman" w:eastAsia="Times New Roman" w:hAnsi="Times New Roman" w:cs="Times New Roman"/>
              </w:rPr>
            </w:pPr>
            <w:r>
              <w:rPr>
                <w:rFonts w:eastAsia="Times New Roman" w:cs="Times New Roman"/>
                <w:sz w:val="24"/>
                <w:szCs w:val="24"/>
              </w:rPr>
              <w:t>Coordenadoria Geral de Assistência à Comunidade</w:t>
            </w:r>
          </w:p>
        </w:tc>
      </w:tr>
      <w:tr w:rsidR="00967E25" w:rsidTr="00277921">
        <w:trPr>
          <w:trHeight w:val="578"/>
        </w:trPr>
        <w:tc>
          <w:tcPr>
            <w:tcW w:w="3029" w:type="dxa"/>
            <w:tcBorders>
              <w:left w:val="single" w:sz="4" w:space="0" w:color="000000"/>
              <w:bottom w:val="single" w:sz="4" w:space="0" w:color="000000"/>
            </w:tcBorders>
            <w:shd w:val="clear" w:color="auto" w:fill="auto"/>
            <w:vAlign w:val="center"/>
          </w:tcPr>
          <w:p w:rsidR="00967E25" w:rsidRDefault="00936B82" w:rsidP="00277921">
            <w:pPr>
              <w:spacing w:before="57" w:after="57" w:line="276" w:lineRule="auto"/>
              <w:ind w:left="-12"/>
              <w:jc w:val="both"/>
              <w:rPr>
                <w:rFonts w:ascii="Times New Roman" w:eastAsia="Times New Roman" w:hAnsi="Times New Roman" w:cs="Times New Roman"/>
              </w:rPr>
            </w:pPr>
            <w:r>
              <w:rPr>
                <w:rFonts w:eastAsia="Times New Roman" w:cs="Times New Roman"/>
                <w:sz w:val="24"/>
                <w:szCs w:val="24"/>
              </w:rPr>
              <w:t>Responsável(is) pela Solicitação:</w:t>
            </w:r>
          </w:p>
        </w:tc>
        <w:tc>
          <w:tcPr>
            <w:tcW w:w="6622" w:type="dxa"/>
            <w:tcBorders>
              <w:left w:val="single" w:sz="4" w:space="0" w:color="000000"/>
              <w:bottom w:val="single" w:sz="4" w:space="0" w:color="000000"/>
              <w:right w:val="single" w:sz="4" w:space="0" w:color="000000"/>
            </w:tcBorders>
            <w:shd w:val="clear" w:color="auto" w:fill="auto"/>
            <w:vAlign w:val="center"/>
          </w:tcPr>
          <w:p w:rsidR="00967E25" w:rsidRDefault="00936B82" w:rsidP="00277921">
            <w:pPr>
              <w:spacing w:before="57" w:after="57" w:line="276" w:lineRule="auto"/>
              <w:ind w:left="119" w:right="3"/>
              <w:jc w:val="both"/>
              <w:rPr>
                <w:rFonts w:ascii="Times New Roman" w:eastAsia="Times New Roman" w:hAnsi="Times New Roman" w:cs="Times New Roman"/>
              </w:rPr>
            </w:pPr>
            <w:r>
              <w:rPr>
                <w:rFonts w:eastAsia="Times New Roman" w:cs="Times New Roman"/>
                <w:sz w:val="24"/>
                <w:szCs w:val="24"/>
              </w:rPr>
              <w:t>Rebeca Grecco Reis Costa</w:t>
            </w:r>
          </w:p>
        </w:tc>
      </w:tr>
      <w:tr w:rsidR="00967E25" w:rsidTr="00277921">
        <w:trPr>
          <w:trHeight w:val="578"/>
        </w:trPr>
        <w:tc>
          <w:tcPr>
            <w:tcW w:w="3029" w:type="dxa"/>
            <w:tcBorders>
              <w:left w:val="single" w:sz="4" w:space="0" w:color="000000"/>
              <w:bottom w:val="single" w:sz="4" w:space="0" w:color="000000"/>
            </w:tcBorders>
            <w:shd w:val="clear" w:color="auto" w:fill="auto"/>
            <w:vAlign w:val="center"/>
          </w:tcPr>
          <w:p w:rsidR="00967E25" w:rsidRDefault="00936B82" w:rsidP="00277921">
            <w:pPr>
              <w:spacing w:before="57" w:after="57" w:line="276" w:lineRule="auto"/>
              <w:ind w:left="-12"/>
              <w:jc w:val="both"/>
              <w:rPr>
                <w:rFonts w:ascii="Times New Roman" w:eastAsia="Times New Roman" w:hAnsi="Times New Roman" w:cs="Times New Roman"/>
              </w:rPr>
            </w:pPr>
            <w:r>
              <w:rPr>
                <w:rFonts w:eastAsia="Times New Roman" w:cs="Times New Roman"/>
                <w:sz w:val="24"/>
                <w:szCs w:val="24"/>
              </w:rPr>
              <w:t>Equipe de Planejamento da Contratação:</w:t>
            </w:r>
          </w:p>
        </w:tc>
        <w:tc>
          <w:tcPr>
            <w:tcW w:w="6622" w:type="dxa"/>
            <w:tcBorders>
              <w:left w:val="single" w:sz="4" w:space="0" w:color="000000"/>
              <w:bottom w:val="single" w:sz="4" w:space="0" w:color="000000"/>
              <w:right w:val="single" w:sz="4" w:space="0" w:color="000000"/>
            </w:tcBorders>
            <w:shd w:val="clear" w:color="auto" w:fill="auto"/>
            <w:vAlign w:val="center"/>
          </w:tcPr>
          <w:p w:rsidR="00967E25" w:rsidRDefault="00936B82" w:rsidP="00277921">
            <w:pPr>
              <w:spacing w:before="57" w:after="57" w:line="276" w:lineRule="auto"/>
              <w:ind w:left="119" w:right="3"/>
              <w:jc w:val="both"/>
              <w:rPr>
                <w:rFonts w:ascii="Times New Roman" w:eastAsia="Times New Roman" w:hAnsi="Times New Roman" w:cs="Times New Roman"/>
              </w:rPr>
            </w:pPr>
            <w:r>
              <w:rPr>
                <w:rFonts w:eastAsia="Times New Roman" w:cs="Times New Roman"/>
                <w:sz w:val="24"/>
                <w:szCs w:val="24"/>
              </w:rPr>
              <w:t>Rebeca Grecco Reis Costa</w:t>
            </w:r>
          </w:p>
          <w:p w:rsidR="00967E25" w:rsidRDefault="00936B82" w:rsidP="00277921">
            <w:pPr>
              <w:spacing w:before="57" w:after="57" w:line="276" w:lineRule="auto"/>
              <w:ind w:left="119" w:right="3"/>
              <w:jc w:val="both"/>
              <w:rPr>
                <w:rFonts w:ascii="Times New Roman" w:eastAsia="Times New Roman" w:hAnsi="Times New Roman" w:cs="Times New Roman"/>
              </w:rPr>
            </w:pPr>
            <w:r>
              <w:rPr>
                <w:rFonts w:eastAsia="Times New Roman" w:cs="Times New Roman"/>
                <w:sz w:val="24"/>
                <w:szCs w:val="24"/>
              </w:rPr>
              <w:t>Sheila Fáula Muniz</w:t>
            </w:r>
          </w:p>
        </w:tc>
      </w:tr>
    </w:tbl>
    <w:p w:rsidR="00967E25" w:rsidRDefault="00967E25" w:rsidP="00277921">
      <w:pPr>
        <w:spacing w:before="57" w:after="57" w:line="276" w:lineRule="auto"/>
        <w:ind w:left="605"/>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b/>
        </w:rPr>
      </w:pPr>
      <w:r>
        <w:rPr>
          <w:rFonts w:eastAsia="Times New Roman" w:cs="Times New Roman"/>
          <w:b/>
          <w:sz w:val="24"/>
          <w:szCs w:val="24"/>
        </w:rPr>
        <w:t xml:space="preserve">1. </w:t>
      </w:r>
      <w:r>
        <w:rPr>
          <w:rFonts w:eastAsia="Times New Roman" w:cs="Times New Roman"/>
          <w:b/>
          <w:sz w:val="24"/>
          <w:szCs w:val="24"/>
        </w:rPr>
        <w:tab/>
        <w:t>DO OBJETO</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numPr>
          <w:ilvl w:val="1"/>
          <w:numId w:val="1"/>
        </w:numPr>
        <w:spacing w:before="57" w:after="57" w:line="276" w:lineRule="auto"/>
        <w:ind w:left="1325"/>
        <w:jc w:val="both"/>
        <w:rPr>
          <w:rFonts w:ascii="Calibri" w:eastAsia="Calibri" w:hAnsi="Calibri" w:cs="Calibri"/>
        </w:rPr>
      </w:pPr>
      <w:r>
        <w:rPr>
          <w:rFonts w:eastAsia="Times New Roman" w:cs="Times New Roman"/>
          <w:b/>
          <w:sz w:val="24"/>
          <w:szCs w:val="24"/>
        </w:rPr>
        <w:t>Aquisições periódicas de materiais ambulatoriais, com vistas à sua renovação e substituição,  para atender às necessidades do (setor) Enfermaria do Ifes Campus Piúma conforme especificações</w:t>
      </w:r>
      <w:r>
        <w:rPr>
          <w:rFonts w:eastAsia="Times New Roman" w:cs="Times New Roman"/>
          <w:b/>
          <w:i/>
          <w:sz w:val="24"/>
          <w:szCs w:val="24"/>
        </w:rPr>
        <w:t>, condições, quantidades e exigências estabelecidas neste instrumento.</w:t>
      </w:r>
    </w:p>
    <w:p w:rsidR="00967E25" w:rsidRDefault="00936B82" w:rsidP="00277921">
      <w:pPr>
        <w:numPr>
          <w:ilvl w:val="1"/>
          <w:numId w:val="1"/>
        </w:numPr>
        <w:spacing w:before="57" w:after="57" w:line="276" w:lineRule="auto"/>
        <w:ind w:left="1325"/>
        <w:jc w:val="both"/>
        <w:rPr>
          <w:rFonts w:ascii="Times New Roman" w:eastAsia="Times New Roman" w:hAnsi="Times New Roman" w:cs="Times New Roman"/>
        </w:rPr>
      </w:pPr>
      <w:r>
        <w:rPr>
          <w:rFonts w:eastAsia="Times New Roman" w:cs="Times New Roman"/>
          <w:sz w:val="24"/>
          <w:szCs w:val="24"/>
        </w:rPr>
        <w:t>A contratação será di</w:t>
      </w:r>
      <w:r>
        <w:rPr>
          <w:rFonts w:eastAsia="Times New Roman" w:cs="Times New Roman"/>
          <w:color w:val="202124"/>
          <w:sz w:val="24"/>
          <w:szCs w:val="24"/>
        </w:rPr>
        <w:t>vidida em itens conforme o detalham</w:t>
      </w:r>
      <w:r>
        <w:rPr>
          <w:rFonts w:eastAsia="Times New Roman" w:cs="Times New Roman"/>
          <w:sz w:val="24"/>
          <w:szCs w:val="24"/>
        </w:rPr>
        <w:t>ento do objeto abaixo.</w:t>
      </w:r>
    </w:p>
    <w:p w:rsidR="00967E25" w:rsidRDefault="00936B82" w:rsidP="00277921">
      <w:pPr>
        <w:spacing w:before="57" w:after="57" w:line="276" w:lineRule="auto"/>
        <w:ind w:left="593"/>
        <w:jc w:val="both"/>
        <w:rPr>
          <w:rFonts w:ascii="Times New Roman" w:eastAsia="Times New Roman" w:hAnsi="Times New Roman" w:cs="Times New Roman"/>
          <w:b/>
        </w:rPr>
      </w:pPr>
      <w:r>
        <w:rPr>
          <w:rFonts w:eastAsia="Times New Roman" w:cs="Times New Roman"/>
          <w:b/>
          <w:sz w:val="24"/>
          <w:szCs w:val="24"/>
        </w:rPr>
        <w:t xml:space="preserve"> </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 xml:space="preserve">2. </w:t>
      </w:r>
      <w:r>
        <w:rPr>
          <w:rFonts w:eastAsia="Times New Roman" w:cs="Times New Roman"/>
          <w:b/>
          <w:sz w:val="24"/>
          <w:szCs w:val="24"/>
        </w:rPr>
        <w:tab/>
        <w:t>DA JUSTIFICATIVA E OBJETIVO DA CONTRATAÇÃO</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2.1</w:t>
      </w:r>
      <w:r>
        <w:rPr>
          <w:rFonts w:eastAsia="Times New Roman" w:cs="Times New Roman"/>
          <w:sz w:val="24"/>
          <w:szCs w:val="24"/>
        </w:rPr>
        <w:tab/>
        <w:t>A contratação justifica-se em razão da necessidade de aquisições periódicas dos materiais, com vistas à sua renovação, substituição e reposição, uma vez que os mesmos apresentam demandas ao longo dos exercícios, sendo necessário manter estoque mínimo para atendimento e bom funcionamento da enfermaria. Os bens apresentam descritivos mínimos e padronizados, que estão adequados às especificações constantes do Sistema de Catalogação de Material (CATMAT) e respectivos códigos de identificação. Os quantitativos foram definidos conforme consumo baseado em relatórios de sistema e demais demandas apresentadas no corrente anos anteriores. São itens indispensáveis ao bom atendimento aos discentes que buscam atendimento na enfermaria do Campus.</w:t>
      </w:r>
    </w:p>
    <w:p w:rsidR="00967E25" w:rsidRDefault="00967E25" w:rsidP="00277921">
      <w:pPr>
        <w:spacing w:before="57" w:after="57" w:line="276" w:lineRule="auto"/>
        <w:ind w:left="593"/>
        <w:jc w:val="both"/>
        <w:rPr>
          <w:rFonts w:eastAsia="Times New Roman" w:cs="Times New Roman"/>
          <w:sz w:val="24"/>
          <w:szCs w:val="24"/>
          <w:highlight w:val="yellow"/>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lastRenderedPageBreak/>
        <w:t>2.2</w:t>
      </w:r>
      <w:r>
        <w:rPr>
          <w:rFonts w:eastAsia="Times New Roman" w:cs="Times New Roman"/>
          <w:sz w:val="24"/>
          <w:szCs w:val="24"/>
        </w:rPr>
        <w:tab/>
        <w:t>Com objetivo de renovação, substituição e reposição desses materiais descritos na tabela abaixo.</w:t>
      </w:r>
    </w:p>
    <w:p w:rsidR="00967E25" w:rsidRDefault="00967E25" w:rsidP="00277921">
      <w:pPr>
        <w:spacing w:before="57" w:after="57" w:line="276" w:lineRule="auto"/>
        <w:ind w:left="593"/>
        <w:jc w:val="both"/>
        <w:rPr>
          <w:rFonts w:eastAsia="Times New Roman" w:cs="Times New Roman"/>
          <w:sz w:val="24"/>
          <w:szCs w:val="24"/>
        </w:rPr>
      </w:pPr>
    </w:p>
    <w:p w:rsidR="00967E25" w:rsidRDefault="00936B82" w:rsidP="00277921">
      <w:pPr>
        <w:spacing w:before="57" w:after="57" w:line="276" w:lineRule="auto"/>
        <w:ind w:left="593"/>
        <w:jc w:val="both"/>
        <w:rPr>
          <w:rFonts w:ascii="Times New Roman" w:eastAsia="Times New Roman" w:hAnsi="Times New Roman" w:cs="Times New Roman"/>
          <w:b/>
        </w:rPr>
      </w:pPr>
      <w:r>
        <w:rPr>
          <w:rFonts w:eastAsia="Times New Roman" w:cs="Times New Roman"/>
          <w:b/>
          <w:sz w:val="24"/>
          <w:szCs w:val="24"/>
        </w:rPr>
        <w:t xml:space="preserve">3. </w:t>
      </w:r>
      <w:r>
        <w:rPr>
          <w:rFonts w:eastAsia="Times New Roman" w:cs="Times New Roman"/>
          <w:b/>
          <w:sz w:val="24"/>
          <w:szCs w:val="24"/>
        </w:rPr>
        <w:tab/>
        <w:t>DO DETALHAMENTO DO OBJETO</w:t>
      </w:r>
    </w:p>
    <w:p w:rsidR="00967E25" w:rsidRDefault="00936B82" w:rsidP="00277921">
      <w:pPr>
        <w:spacing w:before="57" w:after="57" w:line="276" w:lineRule="auto"/>
        <w:ind w:left="593"/>
        <w:jc w:val="both"/>
        <w:rPr>
          <w:rFonts w:ascii="Times New Roman" w:eastAsia="Times New Roman" w:hAnsi="Times New Roman" w:cs="Times New Roman"/>
          <w:b/>
          <w:color w:val="202124"/>
        </w:rPr>
      </w:pPr>
      <w:r>
        <w:rPr>
          <w:rFonts w:eastAsia="Times New Roman" w:cs="Times New Roman"/>
          <w:b/>
          <w:color w:val="202124"/>
          <w:sz w:val="24"/>
          <w:szCs w:val="24"/>
        </w:rPr>
        <w:t>OS ITENS NÃO ESTÃO COMPATÍVEIS COM A PESQUISA DE PREÇO</w:t>
      </w:r>
    </w:p>
    <w:tbl>
      <w:tblPr>
        <w:tblStyle w:val="TableNormal0"/>
        <w:tblW w:w="7841" w:type="dxa"/>
        <w:jc w:val="center"/>
        <w:tblBorders>
          <w:top w:val="single" w:sz="4" w:space="0" w:color="000000"/>
          <w:left w:val="single" w:sz="4" w:space="0" w:color="000000"/>
          <w:bottom w:val="single" w:sz="4" w:space="0" w:color="000000"/>
          <w:insideH w:val="single" w:sz="4" w:space="0" w:color="000000"/>
        </w:tblBorders>
        <w:tblCellMar>
          <w:left w:w="108" w:type="dxa"/>
          <w:right w:w="108" w:type="dxa"/>
        </w:tblCellMar>
        <w:tblLook w:val="0000" w:firstRow="0" w:lastRow="0" w:firstColumn="0" w:lastColumn="0" w:noHBand="0" w:noVBand="0"/>
      </w:tblPr>
      <w:tblGrid>
        <w:gridCol w:w="790"/>
        <w:gridCol w:w="3925"/>
        <w:gridCol w:w="1310"/>
        <w:gridCol w:w="1816"/>
      </w:tblGrid>
      <w:tr w:rsidR="00967E25" w:rsidTr="00277921">
        <w:trPr>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ITEM</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DESCRIÇÃO/ ESPECIFICAÇÃO</w:t>
            </w: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QUANTIDADE</w:t>
            </w:r>
          </w:p>
        </w:tc>
      </w:tr>
      <w:tr w:rsidR="00967E25" w:rsidTr="00277921">
        <w:trPr>
          <w:trHeight w:val="2850"/>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before="240"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1</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jc w:val="both"/>
              <w:rPr>
                <w:rFonts w:ascii="Times New Roman" w:eastAsia="Times New Roman" w:hAnsi="Times New Roman" w:cs="Times New Roman"/>
                <w:color w:val="202124"/>
              </w:rPr>
            </w:pPr>
            <w:r>
              <w:rPr>
                <w:rFonts w:eastAsia="Times New Roman" w:cs="Times New Roman"/>
                <w:b/>
                <w:color w:val="202124"/>
                <w:sz w:val="24"/>
                <w:szCs w:val="24"/>
              </w:rPr>
              <w:t>Bolsa térmica em gel termogel compressa reutilizável quente ou gelada, grande 15,8 X 23,5cm</w:t>
            </w:r>
            <w:r>
              <w:rPr>
                <w:rFonts w:eastAsia="Times New Roman" w:cs="Times New Roman"/>
                <w:color w:val="202124"/>
                <w:sz w:val="24"/>
                <w:szCs w:val="24"/>
              </w:rPr>
              <w:t>. Composição: Produto atóxico - gel a base de celulose vegetal Pode ser usada quente ou fria; Não congela,Flexível, leve e prática;Não vaza;Mantém a temperatura por mais tempo que a água;Não tóxica;Reutilizável.ANVISA: 80023590005.</w:t>
            </w:r>
          </w:p>
          <w:p w:rsidR="00967E25" w:rsidRDefault="00967E25" w:rsidP="00277921">
            <w:pPr>
              <w:spacing w:after="120" w:line="276" w:lineRule="auto"/>
              <w:jc w:val="both"/>
              <w:rPr>
                <w:rFonts w:eastAsia="Times New Roman" w:cs="Times New Roman"/>
                <w:color w:val="202124"/>
                <w:sz w:val="24"/>
                <w:szCs w:val="24"/>
              </w:rPr>
            </w:pP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02</w:t>
            </w:r>
          </w:p>
        </w:tc>
      </w:tr>
      <w:tr w:rsidR="00967E25" w:rsidTr="00277921">
        <w:trPr>
          <w:trHeight w:val="2745"/>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2</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Tira de Glicemia para teste de glicose on call plus II com chip. Caixa com 50 tiras.</w:t>
            </w:r>
            <w:r>
              <w:rPr>
                <w:rFonts w:eastAsia="Times New Roman" w:cs="Times New Roman"/>
                <w:color w:val="202124"/>
                <w:sz w:val="24"/>
                <w:szCs w:val="24"/>
                <w:highlight w:val="white"/>
              </w:rPr>
              <w:t xml:space="preserve">Tiras para medição de glicose - on call plus ii. Elas servem para medir a quantidade de açúcar no sangue sem precisar sair de casa. Utilizando-as corretamente pode facilitar a tarefa de controlar a doença e monitorar o nível de glicose constantemente. A embalagem das 50 Tiras em frasco aumenta a durabilidade do produto, dando maior comodidade para o transporte e reduzindo o risco de contaminação.As Tiras On Call Plus estão de acordo com todas as normas fabris e técnicas mundiais, além de estar dentro da faixa de precisão estabelecida para todos os fabricantes do mundo.Instruções completas de uso vide bula Registrado pela </w:t>
            </w:r>
            <w:r>
              <w:rPr>
                <w:rFonts w:eastAsia="Times New Roman" w:cs="Times New Roman"/>
                <w:color w:val="202124"/>
                <w:sz w:val="24"/>
                <w:szCs w:val="24"/>
                <w:highlight w:val="white"/>
              </w:rPr>
              <w:lastRenderedPageBreak/>
              <w:t>Anvisa - 80011990002.Val.:03 meses após aberto</w:t>
            </w:r>
          </w:p>
        </w:tc>
        <w:tc>
          <w:tcPr>
            <w:tcW w:w="1310" w:type="dxa"/>
            <w:tcBorders>
              <w:top w:val="single" w:sz="4" w:space="0" w:color="000000"/>
              <w:left w:val="single" w:sz="4" w:space="0" w:color="000000"/>
              <w:bottom w:val="single" w:sz="4" w:space="0" w:color="000000"/>
            </w:tcBorders>
            <w:shd w:val="clear" w:color="auto" w:fill="auto"/>
            <w:vAlign w:val="center"/>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lastRenderedPageBreak/>
              <w:t>Caixas</w:t>
            </w:r>
          </w:p>
        </w:tc>
        <w:tc>
          <w:tcPr>
            <w:tcW w:w="1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07</w:t>
            </w:r>
          </w:p>
        </w:tc>
      </w:tr>
      <w:tr w:rsidR="00967E25" w:rsidTr="00277921">
        <w:trPr>
          <w:trHeight w:val="2745"/>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3</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b/>
                <w:color w:val="202124"/>
                <w:sz w:val="24"/>
                <w:szCs w:val="24"/>
                <w:highlight w:val="white"/>
              </w:rPr>
              <w:t xml:space="preserve">Bolsa térmica em gel termogel compressa reutilizável quente ou gelada, pequena 13X18 cm </w:t>
            </w:r>
            <w:r>
              <w:rPr>
                <w:rFonts w:eastAsia="Times New Roman" w:cs="Times New Roman"/>
                <w:color w:val="202124"/>
                <w:sz w:val="24"/>
                <w:szCs w:val="24"/>
              </w:rPr>
              <w:t>Composição: Produto atóxico - gel a base de celulose vegetal Pode ser usada quente ou fria; Não congela,Flexível, leve e prática;Não vaza;Mantém a temperatura por mais tempo que a água;Não tóxica;Reutilizável.ANVISA: 80023590005.</w:t>
            </w:r>
          </w:p>
          <w:p w:rsidR="00967E25" w:rsidRDefault="00967E25" w:rsidP="00277921">
            <w:pPr>
              <w:spacing w:after="120" w:line="276" w:lineRule="auto"/>
              <w:jc w:val="both"/>
              <w:rPr>
                <w:rFonts w:eastAsia="Times New Roman" w:cs="Times New Roman"/>
                <w:color w:val="202124"/>
                <w:sz w:val="24"/>
                <w:szCs w:val="24"/>
              </w:rPr>
            </w:pPr>
          </w:p>
          <w:p w:rsidR="00967E25" w:rsidRDefault="00967E25" w:rsidP="00277921">
            <w:pPr>
              <w:spacing w:after="120" w:line="276" w:lineRule="auto"/>
              <w:jc w:val="both"/>
              <w:rPr>
                <w:rFonts w:eastAsia="Times New Roman" w:cs="Times New Roman"/>
                <w:b/>
                <w:color w:val="202124"/>
                <w:sz w:val="24"/>
                <w:szCs w:val="24"/>
                <w:highlight w:val="white"/>
              </w:rPr>
            </w:pP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02</w:t>
            </w:r>
          </w:p>
        </w:tc>
      </w:tr>
      <w:tr w:rsidR="00967E25" w:rsidTr="00277921">
        <w:trPr>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4</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tabs>
                <w:tab w:val="left" w:pos="372"/>
              </w:tabs>
              <w:spacing w:after="120"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Atadura de crepom 13 fios, 10 X 1,80m</w:t>
            </w:r>
            <w:r>
              <w:rPr>
                <w:rFonts w:eastAsia="Times New Roman" w:cs="Times New Roman"/>
                <w:color w:val="202124"/>
                <w:sz w:val="24"/>
                <w:szCs w:val="24"/>
                <w:highlight w:val="white"/>
              </w:rPr>
              <w:t xml:space="preserve">. Utilização em terapia compressiva. Aplicações ortopédicas como imobilizações e enfaixamentos. Fixação de curativos. Prevenção de contusões em atividades esportivas.As ataduras são confeccionadas em tecido de alta qualidade, conferindo ao produto grande elasticidade no sentido longitudinal.Características do produto:Sem desfiamento lateral;Compressão uniforme;Enfaixamento perfeito; Atadura com 1,80m em repouso e alcance de 4,50m esticada;Elasticidade adequada, </w:t>
            </w:r>
            <w:r>
              <w:rPr>
                <w:rFonts w:eastAsia="Times New Roman" w:cs="Times New Roman"/>
                <w:color w:val="202124"/>
                <w:sz w:val="24"/>
                <w:szCs w:val="24"/>
                <w:highlight w:val="white"/>
              </w:rPr>
              <w:lastRenderedPageBreak/>
              <w:t>macia e isenta de fio soltos. Recomendações:Produto não é estéril, pode ser esterilizado em autoclave, óxido de etileno ou irradiação gama. Recomenda-se uso por pessoas habilitadas na área de ortopedia e fisioterapia.Precauções:Conservar em local limpo, seco e ao abrigo da luz;Produto de uso único. Destruir após o uso. Proibido reprocessar. Válido por 05 anos a partir da data de fabricação, enquanto a embalagem não for aberta, danificada ou molhada.</w:t>
            </w:r>
          </w:p>
          <w:p w:rsidR="00967E25" w:rsidRDefault="00967E25" w:rsidP="00277921">
            <w:pPr>
              <w:tabs>
                <w:tab w:val="left" w:pos="372"/>
              </w:tabs>
              <w:spacing w:after="120" w:line="276" w:lineRule="auto"/>
              <w:jc w:val="both"/>
              <w:rPr>
                <w:rFonts w:eastAsia="Times New Roman" w:cs="Times New Roman"/>
                <w:color w:val="202124"/>
                <w:sz w:val="24"/>
                <w:szCs w:val="24"/>
                <w:highlight w:val="white"/>
              </w:rPr>
            </w:pPr>
          </w:p>
        </w:tc>
        <w:tc>
          <w:tcPr>
            <w:tcW w:w="1310" w:type="dxa"/>
            <w:tcBorders>
              <w:top w:val="single" w:sz="4" w:space="0" w:color="000000"/>
              <w:left w:val="single" w:sz="4" w:space="0" w:color="000000"/>
              <w:bottom w:val="single" w:sz="4" w:space="0" w:color="000000"/>
            </w:tcBorders>
            <w:shd w:val="clear" w:color="auto" w:fill="auto"/>
            <w:vAlign w:val="center"/>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lastRenderedPageBreak/>
              <w:t>Rolos</w:t>
            </w:r>
          </w:p>
        </w:tc>
        <w:tc>
          <w:tcPr>
            <w:tcW w:w="1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12</w:t>
            </w:r>
          </w:p>
        </w:tc>
      </w:tr>
      <w:tr w:rsidR="00967E25" w:rsidTr="00277921">
        <w:trPr>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5</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 xml:space="preserve">Atadura de crepom 13 fios, 15X 1,80 </w:t>
            </w:r>
            <w:r>
              <w:rPr>
                <w:rFonts w:eastAsia="Times New Roman" w:cs="Times New Roman"/>
                <w:color w:val="202124"/>
                <w:sz w:val="24"/>
                <w:szCs w:val="24"/>
                <w:highlight w:val="white"/>
              </w:rPr>
              <w:t xml:space="preserve">Utilização em terapia compressiva. Aplicações ortopédicas como imobilizações e enfaixamentos. Fixação de curativos. Prevenção de contusões em atividades esportivas.As ataduras são confeccionadas em tecido de alta qualidade, conferindo ao produto grande elasticidade no sentido longitudinal.Características do produto:Sem desfiamento lateral;Compressão uniforme;Enfaixamento perfeito; Atadura com 1,80m em repouso e alcance de 4,50m esticada;Elasticidade adequada, macia e isenta de fios soltos.Recomendações:Produto não é estéril, pode ser esterilizado em autoclave, óxido de etileno ou irradiação gama. Recomenda-se uso por pessoas habilitadas na área de ortopedia e </w:t>
            </w:r>
            <w:r>
              <w:rPr>
                <w:rFonts w:eastAsia="Times New Roman" w:cs="Times New Roman"/>
                <w:color w:val="202124"/>
                <w:sz w:val="24"/>
                <w:szCs w:val="24"/>
                <w:highlight w:val="white"/>
              </w:rPr>
              <w:lastRenderedPageBreak/>
              <w:t>fisioterapia.Precauções:Conservar em local limpo, seco e ao abrigo da luz;Produto de uso único. Destruir após o uso. Proibido reprocessar.Válido por 05 anos a partir da data de fabricação, enquanto a embalagem não for aberta, danificada ou molhada.</w:t>
            </w:r>
          </w:p>
          <w:p w:rsidR="00967E25" w:rsidRDefault="00967E25" w:rsidP="00277921">
            <w:pPr>
              <w:spacing w:after="120" w:line="276" w:lineRule="auto"/>
              <w:jc w:val="both"/>
              <w:rPr>
                <w:rFonts w:eastAsia="Times New Roman" w:cs="Times New Roman"/>
                <w:b/>
                <w:color w:val="202124"/>
                <w:sz w:val="24"/>
                <w:szCs w:val="24"/>
                <w:highlight w:val="white"/>
              </w:rPr>
            </w:pP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lastRenderedPageBreak/>
              <w:t>Rolos</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36</w:t>
            </w:r>
          </w:p>
        </w:tc>
      </w:tr>
      <w:tr w:rsidR="00967E25" w:rsidTr="00277921">
        <w:trPr>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6</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tabs>
                <w:tab w:val="left" w:pos="372"/>
              </w:tabs>
              <w:spacing w:after="120"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 xml:space="preserve">Atadura de crepom 13 fios, 20 X 1,80. </w:t>
            </w:r>
            <w:r>
              <w:rPr>
                <w:rFonts w:eastAsia="Times New Roman" w:cs="Times New Roman"/>
                <w:color w:val="202124"/>
                <w:sz w:val="24"/>
                <w:szCs w:val="24"/>
                <w:highlight w:val="white"/>
              </w:rPr>
              <w:t xml:space="preserve">Utilização em terapia compressiva. Aplicações ortopédicas como imobilizações e enfaixamentos. Fixação de curativos. Prevenção de contusões em atividades esportivas.As ataduras são confeccionadas em tecido de alta qualidade, conferindo ao produto grande elasticidade no sentido longitudinal.Características do produto:Sem desfiamento lateral;Compressão uniforme;Enfaixamento perfeito; Atadura com 1,80m em repouso e alcance de 4,50m esticada;Elasticidade adequada, macia e isenta de fios soltos.Recomendações:Produto não é estéril, pode ser esterilizado em autoclave, óxido de etileno ou irradiação gama. Recomenda-se uso por pessoas habilitadas na área de ortopedia e fisioterapia.Precauções:Conservar em local limpo, seco e ao abrigo da luz;Produto de uso único. Destruir após o uso. Proibido reprocessar.Válido por 05 anos a partir da data de fabricação, </w:t>
            </w:r>
            <w:r>
              <w:rPr>
                <w:rFonts w:eastAsia="Times New Roman" w:cs="Times New Roman"/>
                <w:color w:val="202124"/>
                <w:sz w:val="24"/>
                <w:szCs w:val="24"/>
                <w:highlight w:val="white"/>
              </w:rPr>
              <w:lastRenderedPageBreak/>
              <w:t>enquanto a embalagem não for aberta, danificada ou molhada.</w:t>
            </w:r>
          </w:p>
          <w:p w:rsidR="00967E25" w:rsidRDefault="00967E25" w:rsidP="00277921">
            <w:pPr>
              <w:spacing w:after="120" w:line="276" w:lineRule="auto"/>
              <w:jc w:val="both"/>
              <w:rPr>
                <w:rFonts w:eastAsia="Times New Roman" w:cs="Times New Roman"/>
                <w:b/>
                <w:color w:val="202124"/>
                <w:sz w:val="24"/>
                <w:szCs w:val="24"/>
              </w:rPr>
            </w:pP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lastRenderedPageBreak/>
              <w:t>Rolos</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24</w:t>
            </w:r>
          </w:p>
        </w:tc>
      </w:tr>
      <w:tr w:rsidR="00967E25" w:rsidTr="00277921">
        <w:trPr>
          <w:trHeight w:val="5925"/>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7</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b/>
                <w:color w:val="202124"/>
                <w:sz w:val="24"/>
                <w:szCs w:val="24"/>
              </w:rPr>
              <w:t>Compressa cirúrgica estéril campo operatório com 05 unidades.</w:t>
            </w:r>
            <w:r>
              <w:rPr>
                <w:rFonts w:eastAsia="Times New Roman" w:cs="Times New Roman"/>
                <w:color w:val="202124"/>
                <w:sz w:val="24"/>
                <w:szCs w:val="24"/>
              </w:rPr>
              <w:t xml:space="preserve"> A Compressa Cirúrgica (Campo Operatório) pré-lavada estéril são confeccionadas com fios 100% algodão, em tecido quádruplo sobreposto tipo tela, com placa radiopaca, contendo 55 a 60% de Sulfato de Bário ou com fio radiopaco. O tecido é fechado nas extremidades com costura para reforçar o mesmo e evitar o seu desfiamento. Tem em uma das extremidades, um cadarço duplo que forma uma alça de segurança. Produto descartável e de pronto uso. Registro Anvisa:10071150065.Indicações: São utilizadas em cirurgias em geral para absorção de líquidos, sangue e outras secreções, tanto em superfícies cruentas como em todas as cirurgias cavitárias, onde serve de anteparo para as vísceras e tecidos. Validade de 03 anos após a data de fabricação, com o produto inviolado.</w:t>
            </w:r>
          </w:p>
          <w:p w:rsidR="00967E25" w:rsidRDefault="00967E25" w:rsidP="00277921">
            <w:pPr>
              <w:spacing w:after="120" w:line="276" w:lineRule="auto"/>
              <w:jc w:val="both"/>
              <w:rPr>
                <w:rFonts w:eastAsia="Times New Roman" w:cs="Times New Roman"/>
                <w:b/>
                <w:color w:val="202124"/>
                <w:sz w:val="24"/>
                <w:szCs w:val="24"/>
              </w:rPr>
            </w:pP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Pacote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12</w:t>
            </w:r>
          </w:p>
        </w:tc>
      </w:tr>
      <w:tr w:rsidR="00967E25" w:rsidTr="00277921">
        <w:trPr>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8</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hd w:val="clear" w:color="auto" w:fill="FFFFFF"/>
              <w:spacing w:after="160" w:line="276" w:lineRule="auto"/>
              <w:jc w:val="both"/>
              <w:rPr>
                <w:rFonts w:ascii="Times New Roman" w:eastAsia="Times New Roman" w:hAnsi="Times New Roman" w:cs="Times New Roman"/>
                <w:color w:val="202124"/>
              </w:rPr>
            </w:pPr>
            <w:r>
              <w:rPr>
                <w:rFonts w:eastAsia="Times New Roman" w:cs="Times New Roman"/>
                <w:b/>
                <w:color w:val="202124"/>
                <w:sz w:val="24"/>
                <w:szCs w:val="24"/>
                <w:highlight w:val="white"/>
              </w:rPr>
              <w:t xml:space="preserve">Esparadrapo com cor 10cm X 4,5m </w:t>
            </w:r>
            <w:r>
              <w:rPr>
                <w:rFonts w:eastAsia="Times New Roman" w:cs="Times New Roman"/>
                <w:color w:val="202124"/>
                <w:sz w:val="24"/>
                <w:szCs w:val="24"/>
              </w:rPr>
              <w:t xml:space="preserve">Composto de tecido 100% algodão que recebe tratamento especial para proporcionar facilidade de rasgo sem desfiamento, resina acrílica impermeabilizante, massa adesiva à base de borracha natural, óxido de zinco e resinas. Apresentam </w:t>
            </w:r>
            <w:r>
              <w:rPr>
                <w:rFonts w:eastAsia="Times New Roman" w:cs="Times New Roman"/>
                <w:color w:val="202124"/>
                <w:sz w:val="24"/>
                <w:szCs w:val="24"/>
              </w:rPr>
              <w:lastRenderedPageBreak/>
              <w:t>bordas serrilhadas que favorecem o corte orientado em ambos os sentidos, sem a necessidade de instrumentos de corte, tornando o produto mais econômico.Enrolado em carretéis plásticos, com abas, protegidos também por capas , que mantém a integridade do produto.Não estéril. Tamanho: 10cm X 4,5m.  Validade: 24 meses.</w:t>
            </w:r>
          </w:p>
          <w:p w:rsidR="00967E25" w:rsidRDefault="00967E25" w:rsidP="00277921">
            <w:pPr>
              <w:spacing w:line="276" w:lineRule="auto"/>
              <w:jc w:val="both"/>
              <w:rPr>
                <w:rFonts w:eastAsia="Times New Roman" w:cs="Times New Roman"/>
                <w:b/>
                <w:color w:val="202124"/>
                <w:sz w:val="24"/>
                <w:szCs w:val="24"/>
              </w:rPr>
            </w:pP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lastRenderedPageBreak/>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06</w:t>
            </w:r>
          </w:p>
        </w:tc>
      </w:tr>
      <w:tr w:rsidR="00967E25" w:rsidTr="00277921">
        <w:trPr>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9</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 xml:space="preserve">Almotolia plástica âmbar bico reto 500ml </w:t>
            </w:r>
            <w:r>
              <w:rPr>
                <w:rFonts w:eastAsia="Times New Roman" w:cs="Times New Roman"/>
                <w:color w:val="202124"/>
                <w:sz w:val="24"/>
                <w:szCs w:val="24"/>
                <w:highlight w:val="white"/>
              </w:rPr>
              <w:t>A Almotolia Plástica 500 Ml é um recipiente utilizado na armazenagem e aplicação de produtos líquidos, em ambientes hospitalares e clínicas.Detalhes do produto:Fabricada em polietileno atóxico;Tampa com rosca de bico reto;Capacidade 500ml;Cor Ambar (Marrom);Recipiente para armazenamento de líquidos;Graduado em alto relevo;Bico reto;Capacidade: 500 ml, Validade indeterminada.</w:t>
            </w: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06</w:t>
            </w:r>
          </w:p>
        </w:tc>
      </w:tr>
      <w:tr w:rsidR="00967E25" w:rsidTr="00277921">
        <w:trPr>
          <w:trHeight w:val="4050"/>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10</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hd w:val="clear" w:color="auto" w:fill="FFFFFF"/>
              <w:spacing w:before="460" w:after="300" w:line="276" w:lineRule="auto"/>
              <w:jc w:val="both"/>
              <w:rPr>
                <w:rFonts w:ascii="Times New Roman" w:eastAsia="Times New Roman" w:hAnsi="Times New Roman" w:cs="Times New Roman"/>
                <w:color w:val="202124"/>
              </w:rPr>
            </w:pPr>
            <w:bookmarkStart w:id="2" w:name="_heading=h.5bydcw8236g01"/>
            <w:bookmarkEnd w:id="2"/>
            <w:r>
              <w:rPr>
                <w:rFonts w:eastAsia="Times New Roman" w:cs="Times New Roman"/>
                <w:b/>
                <w:color w:val="202124"/>
                <w:sz w:val="24"/>
                <w:szCs w:val="24"/>
                <w:highlight w:val="white"/>
              </w:rPr>
              <w:t>Soro fisiológico 0,9%  Cloreto de sódio 500ml</w:t>
            </w:r>
            <w:r>
              <w:rPr>
                <w:rFonts w:eastAsia="Times New Roman" w:cs="Times New Roman"/>
                <w:color w:val="202124"/>
                <w:sz w:val="24"/>
                <w:szCs w:val="24"/>
                <w:highlight w:val="white"/>
              </w:rPr>
              <w:t>.</w:t>
            </w:r>
            <w:r>
              <w:rPr>
                <w:rFonts w:eastAsia="Times New Roman" w:cs="Times New Roman"/>
                <w:color w:val="202124"/>
                <w:sz w:val="24"/>
                <w:szCs w:val="24"/>
              </w:rPr>
              <w:t>O Soro Fisiológico é indicado para inalação e  limpeza. Pode ser empregado de forma isolada ou associada a outros medicamentos, pode ser usado em nebulização, lavagem e irrigação de ferimentos, nos curativos,lentes de contato, lavagem nasal.</w:t>
            </w:r>
            <w:r>
              <w:rPr>
                <w:rFonts w:eastAsia="Times New Roman" w:cs="Times New Roman"/>
                <w:color w:val="202124"/>
                <w:sz w:val="24"/>
                <w:szCs w:val="24"/>
                <w:highlight w:val="white"/>
              </w:rPr>
              <w:t xml:space="preserve">Lacrado o produto tem a validade de 18 meses após a sua fabricação. Após aberto, o prazo para consumo passa a ser de apenas 15 dias (mantido sob as condições </w:t>
            </w:r>
            <w:r>
              <w:rPr>
                <w:rFonts w:eastAsia="Times New Roman" w:cs="Times New Roman"/>
                <w:color w:val="202124"/>
                <w:sz w:val="24"/>
                <w:szCs w:val="24"/>
                <w:highlight w:val="white"/>
              </w:rPr>
              <w:lastRenderedPageBreak/>
              <w:t>descritas), isto é, conservado em geladeira.</w:t>
            </w:r>
          </w:p>
          <w:p w:rsidR="00967E25" w:rsidRDefault="00967E25" w:rsidP="00277921">
            <w:pPr>
              <w:spacing w:line="276" w:lineRule="auto"/>
              <w:jc w:val="both"/>
              <w:rPr>
                <w:rFonts w:eastAsia="Times New Roman" w:cs="Times New Roman"/>
                <w:b/>
                <w:color w:val="202124"/>
                <w:sz w:val="24"/>
                <w:szCs w:val="24"/>
              </w:rPr>
            </w:pP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lastRenderedPageBreak/>
              <w:t>frasco</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15</w:t>
            </w:r>
          </w:p>
        </w:tc>
      </w:tr>
      <w:tr w:rsidR="00967E25" w:rsidTr="00277921">
        <w:trPr>
          <w:trHeight w:val="1500"/>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11</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 xml:space="preserve">Água oxigenada antisséptica 10 volumes 01 litro. </w:t>
            </w:r>
            <w:r>
              <w:rPr>
                <w:rFonts w:eastAsia="Times New Roman" w:cs="Times New Roman"/>
                <w:color w:val="202124"/>
                <w:sz w:val="24"/>
                <w:szCs w:val="24"/>
                <w:highlight w:val="white"/>
              </w:rPr>
              <w:t>Medicamento de Notificação simplificada RDC Anvisa nº 199/2006</w:t>
            </w:r>
          </w:p>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color w:val="202124"/>
                <w:sz w:val="24"/>
                <w:szCs w:val="24"/>
                <w:highlight w:val="white"/>
              </w:rPr>
              <w:t>Uso externo Uso adulto e pediátrico, Antissépticos. Validade: 36 meses de acordo com a data de fabricação.</w:t>
            </w: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01</w:t>
            </w:r>
          </w:p>
        </w:tc>
      </w:tr>
      <w:tr w:rsidR="00967E25" w:rsidTr="00277921">
        <w:trPr>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12</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rPr>
            </w:pPr>
            <w:r>
              <w:rPr>
                <w:rFonts w:eastAsia="Times New Roman" w:cs="Times New Roman"/>
                <w:b/>
                <w:color w:val="202124"/>
                <w:sz w:val="24"/>
                <w:szCs w:val="24"/>
                <w:highlight w:val="white"/>
              </w:rPr>
              <w:t xml:space="preserve">Sabão de Coco Barra 200g. </w:t>
            </w:r>
            <w:r>
              <w:rPr>
                <w:rFonts w:eastAsia="Times New Roman" w:cs="Times New Roman"/>
                <w:color w:val="202124"/>
                <w:sz w:val="24"/>
                <w:szCs w:val="24"/>
                <w:highlight w:val="white"/>
              </w:rPr>
              <w:t>Usado como antisséptico em lavagem de cortes e feridas. Validade de 24 meses.</w:t>
            </w: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06</w:t>
            </w:r>
          </w:p>
        </w:tc>
      </w:tr>
      <w:tr w:rsidR="00967E25" w:rsidTr="00277921">
        <w:trPr>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13</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Aparelho de pressão digital automático de braço</w:t>
            </w:r>
            <w:r>
              <w:rPr>
                <w:rFonts w:eastAsia="Times New Roman" w:cs="Times New Roman"/>
                <w:color w:val="202124"/>
                <w:sz w:val="24"/>
                <w:szCs w:val="24"/>
                <w:highlight w:val="white"/>
              </w:rPr>
              <w:t>.Medidor de pressão arterial de braço. Mede a pressão sistólica, pressão diastólica e frequência cardíaca.Inflagem automática. Funciona com pilha AAA.Circunferência mínima da braçadeira de 22cm e máxima de 36cm.Fácil de mover e manusear.Design prático para medições instantâneas. Validade indeterminada.</w:t>
            </w:r>
          </w:p>
          <w:p w:rsidR="00967E25" w:rsidRDefault="00967E25" w:rsidP="00277921">
            <w:pPr>
              <w:spacing w:line="276" w:lineRule="auto"/>
              <w:jc w:val="both"/>
              <w:rPr>
                <w:rFonts w:eastAsia="Times New Roman" w:cs="Times New Roman"/>
                <w:b/>
                <w:color w:val="202124"/>
                <w:sz w:val="24"/>
                <w:szCs w:val="24"/>
                <w:highlight w:val="white"/>
              </w:rPr>
            </w:pP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01</w:t>
            </w:r>
          </w:p>
        </w:tc>
      </w:tr>
      <w:tr w:rsidR="00967E25" w:rsidTr="00277921">
        <w:trPr>
          <w:trHeight w:val="3375"/>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lastRenderedPageBreak/>
              <w:t>14</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Digliconato de clorexidina 10mg/ml solução tópica spray</w:t>
            </w:r>
            <w:r>
              <w:rPr>
                <w:rFonts w:eastAsia="Times New Roman" w:cs="Times New Roman"/>
                <w:color w:val="202124"/>
                <w:sz w:val="24"/>
                <w:szCs w:val="24"/>
                <w:highlight w:val="white"/>
              </w:rPr>
              <w:t xml:space="preserve"> é um anti-séptico químico, com ação antifúngica e bactericida, capaz de eliminar tanto bactérias gram-positivas quanto gram-negativas.É indicado para a antissepsia da pele e de pequenos ferimentos. MEDICAMENTO DE NOTIFICAÇÃO SIMPLIFICADA RDC ANIVSA Nº 199/2006. AFE Nº:1.00.497-7.Fabricação e validade: vide embalagem.</w:t>
            </w:r>
          </w:p>
          <w:p w:rsidR="00967E25" w:rsidRDefault="00967E25" w:rsidP="00277921">
            <w:pPr>
              <w:spacing w:line="276" w:lineRule="auto"/>
              <w:jc w:val="both"/>
              <w:rPr>
                <w:rFonts w:eastAsia="Times New Roman" w:cs="Times New Roman"/>
                <w:b/>
                <w:color w:val="202124"/>
                <w:sz w:val="24"/>
                <w:szCs w:val="24"/>
                <w:highlight w:val="white"/>
              </w:rPr>
            </w:pP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06</w:t>
            </w:r>
          </w:p>
        </w:tc>
      </w:tr>
      <w:tr w:rsidR="00967E25" w:rsidTr="00277921">
        <w:trPr>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15</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 xml:space="preserve">Termômetro digital axilar. </w:t>
            </w:r>
            <w:r>
              <w:rPr>
                <w:rFonts w:eastAsia="Times New Roman" w:cs="Times New Roman"/>
                <w:color w:val="202124"/>
                <w:sz w:val="24"/>
                <w:szCs w:val="24"/>
                <w:highlight w:val="white"/>
              </w:rPr>
              <w:t>O termômetro digital axilar fornece o resultado da medição em até 30 segundos. Essa tecnologia traz facilidade para os que ficam incomodados com o uso do aparelho por tempo prolongado.O Termômetro digital conta com proteção à prova d’água e pode ser utilizado para medição oral, axilar e retal. Além disso, ele apresenta uma vida útil prolongada, devido à possibilidade de substituição da bateria (basta abrir o compartimento e efetuar a troca).Validade indeterminada.</w:t>
            </w:r>
          </w:p>
          <w:p w:rsidR="00967E25" w:rsidRDefault="00967E25" w:rsidP="00277921">
            <w:pPr>
              <w:spacing w:line="276" w:lineRule="auto"/>
              <w:jc w:val="both"/>
              <w:rPr>
                <w:rFonts w:eastAsia="Times New Roman" w:cs="Times New Roman"/>
                <w:b/>
                <w:color w:val="202124"/>
                <w:sz w:val="24"/>
                <w:szCs w:val="24"/>
                <w:highlight w:val="white"/>
              </w:rPr>
            </w:pP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02</w:t>
            </w:r>
          </w:p>
        </w:tc>
      </w:tr>
      <w:tr w:rsidR="00967E25" w:rsidTr="00277921">
        <w:trPr>
          <w:trHeight w:val="11055"/>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lastRenderedPageBreak/>
              <w:t>16</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Nebulizador/ Inalador portátil</w:t>
            </w:r>
            <w:r>
              <w:rPr>
                <w:rFonts w:eastAsia="Times New Roman" w:cs="Times New Roman"/>
                <w:color w:val="202124"/>
                <w:sz w:val="24"/>
                <w:szCs w:val="24"/>
                <w:highlight w:val="white"/>
              </w:rPr>
              <w:t xml:space="preserve"> .É um aparelho excelente e completo para tratar possíveis afecções respiratórias das vias aéreas inferiores (Brônquios, pulmões).Conhecido também como inalador, ele ajuda a descongestionar e facilitar a respiração em caso de congestão nasal, tosse, asma e gripe ou por alergia causadas pela poluição e mudanças climáticas. Compacto, leve e muito fácil de usar, com baixíssimo nível de ruído, muito menor que os nebulizadores a ar comprimido tradicionais, se adapta a diferentes idades.Em sua composição o tubo de ar projetado em polietileno, filtros em algodão, máscaras de nebulização em pvc, câmara de nebulização em poliestireno e polipropileno e o compressor em abs, super resistente e durável segue todos os padrões necessários para oferece segurança durante o uso.Conta com tecnologia Superflow Plus proporciona maior fluxo de névoa e maior quantidade de partículas que alcançam diretamente os pulmões, isso garante que o medicamento está sendo corretamente absorvido no organismo.Bivolt automático, seu consumo de 0,4A e a capacidade máxima da câmera de nebulização de 6ml, como o peso aproximado de 262g, poderá levar a qualquer lugar.O Nebulizador Inalador de Ar Comprimido será um aliado perfeito para aliviar os sintomas que impedem de respirar, </w:t>
            </w:r>
            <w:r>
              <w:rPr>
                <w:rFonts w:eastAsia="Times New Roman" w:cs="Times New Roman"/>
                <w:color w:val="202124"/>
                <w:sz w:val="24"/>
                <w:szCs w:val="24"/>
                <w:highlight w:val="white"/>
              </w:rPr>
              <w:lastRenderedPageBreak/>
              <w:t>acompanha ainda uma máscara tamanho adulto, uma máscara tamanho infantil, 5 filtros; um tubo de ar e manual de instruções.Validade Indeterminada.</w:t>
            </w: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lastRenderedPageBreak/>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01</w:t>
            </w:r>
          </w:p>
        </w:tc>
      </w:tr>
      <w:tr w:rsidR="00967E25" w:rsidTr="00277921">
        <w:trPr>
          <w:trHeight w:val="5550"/>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lastRenderedPageBreak/>
              <w:t>17</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Aparelho medidor de glicose.</w:t>
            </w:r>
            <w:r>
              <w:rPr>
                <w:rFonts w:eastAsia="Times New Roman" w:cs="Times New Roman"/>
                <w:color w:val="202124"/>
                <w:sz w:val="24"/>
                <w:szCs w:val="24"/>
                <w:highlight w:val="white"/>
              </w:rPr>
              <w:t>Prático, simples e seguro.Fácil manuseio, com apenas duas etapas se obtém o resultado.</w:t>
            </w:r>
          </w:p>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color w:val="202124"/>
                <w:sz w:val="24"/>
                <w:szCs w:val="24"/>
                <w:highlight w:val="white"/>
              </w:rPr>
              <w:t xml:space="preserve"> Amplo visor para facilitar a leitura.Precisão e conforto com uma pequena gota de sangue.</w:t>
            </w:r>
          </w:p>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color w:val="202124"/>
                <w:sz w:val="24"/>
                <w:szCs w:val="24"/>
                <w:highlight w:val="white"/>
              </w:rPr>
              <w:t>Monitor baseado em plataforma amperométrica (Blosensor) portátil, para uso hospitalar e domiciliar, com faixa de medição de valores entre 20 a 600 mg/dl; volume da amostra de 1 microlitro; oferecendo resultado da análise inferior a 10 segundos.Possui memória de 300 resultados com data e hora.</w:t>
            </w:r>
          </w:p>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color w:val="202124"/>
                <w:sz w:val="24"/>
                <w:szCs w:val="24"/>
                <w:highlight w:val="white"/>
              </w:rPr>
              <w:t>Possui porta serial para conectividade e transferência de dados.Possui sistema de codificação através de chip de fácil manuseio, vendido separadamente.Fornece um cálculo da média de 7, 14 e 30 dias. Validade indeterminada.</w:t>
            </w: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01</w:t>
            </w:r>
          </w:p>
        </w:tc>
      </w:tr>
      <w:tr w:rsidR="00967E25" w:rsidTr="00277921">
        <w:trPr>
          <w:trHeight w:val="2940"/>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18</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Fita Micropore branco 2,5cmX10m</w:t>
            </w:r>
            <w:r>
              <w:rPr>
                <w:rFonts w:eastAsia="Times New Roman" w:cs="Times New Roman"/>
                <w:color w:val="202124"/>
                <w:sz w:val="24"/>
                <w:szCs w:val="24"/>
                <w:highlight w:val="white"/>
              </w:rPr>
              <w:t xml:space="preserve"> Tem como  Benefícios ser mais delicada, é ideal para peles sensíveis, deixa a pele transpirar, é hipoalergênico, usado em quem apresenta reação alérgica aos esparadrapos comuns.Possui lacre de segurança que impede violação. Indicação de uso: Ideal para curativos em geral em regiões do corpo com mais sensibilidade, uso diário e prolongado. Validade de 24 meses após a fabricação.</w:t>
            </w: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04</w:t>
            </w:r>
          </w:p>
        </w:tc>
      </w:tr>
      <w:tr w:rsidR="00967E25" w:rsidTr="00277921">
        <w:trPr>
          <w:trHeight w:val="3585"/>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lastRenderedPageBreak/>
              <w:t>19</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Tesoura ponta romba primeiros socorros,</w:t>
            </w:r>
            <w:r>
              <w:rPr>
                <w:rFonts w:eastAsia="Times New Roman" w:cs="Times New Roman"/>
                <w:color w:val="202124"/>
                <w:sz w:val="24"/>
                <w:szCs w:val="24"/>
                <w:highlight w:val="white"/>
              </w:rPr>
              <w:t xml:space="preserve"> é uma tesoura usada no atendimento de primeiros socorros para todos os fins, pequena o suficiente para caber no bolso, possui ponta romba e borda serrilhada para cortar materiais mais resistentes, é utilizada na  enfermaria e também contará na maleta de primeiros socorros que ficará disponível  no Núcleo de educação ambiental onde são realizadas atividades externas com os alunos como visitas em ilhas, mangue, aulas na praia entre outros. Validade indeterminada.</w:t>
            </w: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03</w:t>
            </w:r>
          </w:p>
        </w:tc>
      </w:tr>
      <w:tr w:rsidR="00967E25" w:rsidTr="00277921">
        <w:trPr>
          <w:trHeight w:val="5550"/>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20</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 xml:space="preserve">Gel pós picada picada de insetos e mosquitos 20 ml, </w:t>
            </w:r>
            <w:r>
              <w:rPr>
                <w:rFonts w:eastAsia="Times New Roman" w:cs="Times New Roman"/>
                <w:color w:val="202124"/>
                <w:sz w:val="24"/>
                <w:szCs w:val="24"/>
                <w:highlight w:val="white"/>
              </w:rPr>
              <w:t xml:space="preserve">Usado na maleta de primeiros socorros, em aulas de ambiente externo ao campus, sendo um produto que proporciona alívio imediato da coceira, vermelhidão e desconforto causado pelas picadas de inseto (pernilongos, mosquitos, formigas, etc), é dermatologicamente testado e aprovado, indicado para toda família, inclusive para crianças, não contém amoníaco, o que diminui as chances do produto agredir a pele, é de fácil aplicação: basta apertar a bisnaga e passar o gel no local da picada sem a necessidade de utilizar os dedos.Composição do produto:AQUA, ALCOHOL, ALOE BARBADENSIS EXTRACT, PEG-40 HYDROGENATED CASTOR OIL, CHAMOMILLA RECUTITA EXTRACT, GLYCERIN, PHENOXIETHANOL, AMINOMETHYL PROPANOL, </w:t>
            </w:r>
            <w:r>
              <w:rPr>
                <w:rFonts w:eastAsia="Times New Roman" w:cs="Times New Roman"/>
                <w:color w:val="202124"/>
                <w:sz w:val="24"/>
                <w:szCs w:val="24"/>
                <w:highlight w:val="white"/>
              </w:rPr>
              <w:lastRenderedPageBreak/>
              <w:t>BISABOLOL, ACRYLATES / C10-30 ALKYL ACRYLATE CROSSPOLYMER, PARFUM, XANTHAN GUM, DISODIUM EDTA, ETHYLHEXYL GLYCERIN, MELALEUCA ALTERNIFOLIA LEAF OIL, MENTHOL, LIMONENE, CITRAL, LINALOOL, HEXYL CINNAMAL, BUTYLPHENYL METHYLPROPIONAL, GERANIOL.Não contém amoníaco, o que diminui as chances do produto agredir a pele.Embalagem portátil (20 ml): É possível levar para todo lugar, cabe em bolsas, mochilas, bolsos, necessaire. Produto não testado em animais.Validade: 02 anos após a data de fabricação.</w:t>
            </w:r>
          </w:p>
          <w:p w:rsidR="00967E25" w:rsidRDefault="00967E25" w:rsidP="00277921">
            <w:pPr>
              <w:spacing w:line="276" w:lineRule="auto"/>
              <w:jc w:val="both"/>
              <w:rPr>
                <w:rFonts w:eastAsia="Times New Roman" w:cs="Times New Roman"/>
                <w:color w:val="202124"/>
                <w:sz w:val="24"/>
                <w:szCs w:val="24"/>
                <w:highlight w:val="white"/>
              </w:rPr>
            </w:pP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lastRenderedPageBreak/>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05</w:t>
            </w:r>
          </w:p>
        </w:tc>
      </w:tr>
      <w:tr w:rsidR="00967E25" w:rsidTr="00277921">
        <w:trPr>
          <w:trHeight w:val="5550"/>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21</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Repelente de inseto com 200ml,</w:t>
            </w:r>
            <w:r>
              <w:rPr>
                <w:rFonts w:eastAsia="Times New Roman" w:cs="Times New Roman"/>
                <w:color w:val="202124"/>
                <w:sz w:val="24"/>
                <w:szCs w:val="24"/>
                <w:highlight w:val="white"/>
              </w:rPr>
              <w:t xml:space="preserve"> Os repelentes foram definidos como uma classe de substâncias que fazem com que o inseto, após ter identificado o seu hospedeiro, altere seu curso de voo de tal forma a passar longe do seu objetivo inicial. São geralmente substâncias aplicadas sobre a pele que desencorajam por sua composição a aproximação de insetos. Em realizações de atividades ao ar livre com os alunos seu uso é de suma importância pois os repelentes não somente reduzem o incômodo causado por insetos, mas, também, previnem doenças transmitidas pela picada de mosquitos e pernilongos como dengue e zika, além de evitar </w:t>
            </w:r>
            <w:r>
              <w:rPr>
                <w:rFonts w:eastAsia="Times New Roman" w:cs="Times New Roman"/>
                <w:color w:val="202124"/>
                <w:sz w:val="24"/>
                <w:szCs w:val="24"/>
                <w:highlight w:val="white"/>
              </w:rPr>
              <w:lastRenderedPageBreak/>
              <w:t>possíveis reações alérgicas. Validade:02 anos após a data de fabricação</w:t>
            </w: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lastRenderedPageBreak/>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10</w:t>
            </w:r>
          </w:p>
        </w:tc>
      </w:tr>
      <w:tr w:rsidR="00967E25" w:rsidTr="00277921">
        <w:trPr>
          <w:trHeight w:val="5550"/>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22</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Maleta de primeiros socorros com 02 bandejas</w:t>
            </w:r>
            <w:r>
              <w:rPr>
                <w:rFonts w:eastAsia="Times New Roman" w:cs="Times New Roman"/>
                <w:color w:val="202124"/>
                <w:sz w:val="24"/>
                <w:szCs w:val="24"/>
                <w:highlight w:val="white"/>
              </w:rPr>
              <w:t xml:space="preserve">. A aquisição desse material será de importância para todos os alunos, pois ela estará disponível tanto na enfermaria quanto no Núcleo de educação ambiental, onde poderá acompanhar os estudantes nas aulas realizadas em campo aberto. Estará equipada com materiais de atendimento de primeiros socorros facilitando a assistência em casos de acidentes nesses locais,  A maleta dispõe de duas bandejas com divisórias, e sistema de abertura retrátil. Ideal para o armazenamento de medicamentos e objetos para primeiros socorros.Composição: Plástico, possui duas bandejas com divisórias, conta com uma trava de segurança e uma Alça para transporte. Medida do produto: 33cm Comprimento, 20cm </w:t>
            </w:r>
            <w:r>
              <w:rPr>
                <w:rFonts w:eastAsia="Times New Roman" w:cs="Times New Roman"/>
                <w:color w:val="202124"/>
                <w:sz w:val="24"/>
                <w:szCs w:val="24"/>
                <w:highlight w:val="white"/>
              </w:rPr>
              <w:lastRenderedPageBreak/>
              <w:t>Largura,16cm Altura. Validade indeterminada.</w:t>
            </w: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lastRenderedPageBreak/>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02</w:t>
            </w:r>
          </w:p>
        </w:tc>
      </w:tr>
      <w:tr w:rsidR="00967E25" w:rsidTr="00277921">
        <w:trPr>
          <w:trHeight w:val="5550"/>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23</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 xml:space="preserve">Lâmina de bisturi descartável, aço carbono n °15. </w:t>
            </w:r>
            <w:r>
              <w:rPr>
                <w:rFonts w:eastAsia="Times New Roman" w:cs="Times New Roman"/>
                <w:color w:val="202124"/>
                <w:sz w:val="24"/>
                <w:szCs w:val="24"/>
                <w:highlight w:val="white"/>
              </w:rPr>
              <w:t xml:space="preserve">Usada na enfermaria quando há necessidade de retirada de suturas nos alunos. A Lâmina de Bisturi é fabricada em aço carbono, possui fio extremamente afiado, resistente a corrosão, garantindo incisões consistentes e estáveis. São projetadas para realizar o encaixe perfeito com os cabos de bisturi, proporcionando conforto em procedimentos. É indicada para ser utilizada unida à um cabo de bisturi em procedimentos médico cirúrgicos, retirada de pontos, curativos e demais procedimentos que necessitem de incisões no paciente.Características:Fabricada em aço carbono T10,estéril - Esterilizado por Radiação Gama,atóxico e apirogênico,fio extremamente afiado,resistente a corrosão,embaladas unitariamente </w:t>
            </w:r>
            <w:r>
              <w:rPr>
                <w:rFonts w:eastAsia="Times New Roman" w:cs="Times New Roman"/>
                <w:color w:val="202124"/>
                <w:sz w:val="24"/>
                <w:szCs w:val="24"/>
                <w:highlight w:val="white"/>
              </w:rPr>
              <w:lastRenderedPageBreak/>
              <w:t>em uma embalagem aluminizada,descartável e de uso único.Composição:Aço carbono ANVISA: 10330660276.Validade: 05 anos.</w:t>
            </w:r>
          </w:p>
          <w:p w:rsidR="00967E25" w:rsidRDefault="00967E25" w:rsidP="00277921">
            <w:pPr>
              <w:spacing w:line="276" w:lineRule="auto"/>
              <w:jc w:val="both"/>
              <w:rPr>
                <w:rFonts w:eastAsia="Times New Roman" w:cs="Times New Roman"/>
                <w:color w:val="202124"/>
                <w:sz w:val="24"/>
                <w:szCs w:val="24"/>
                <w:highlight w:val="white"/>
              </w:rPr>
            </w:pP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lastRenderedPageBreak/>
              <w:t>Caixa</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01</w:t>
            </w:r>
          </w:p>
        </w:tc>
      </w:tr>
      <w:tr w:rsidR="00967E25" w:rsidTr="00277921">
        <w:trPr>
          <w:trHeight w:val="5550"/>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24</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 xml:space="preserve">Pinça Cirúrgica Anatômica para uso geral,14cm dissecção com serrilha. </w:t>
            </w:r>
            <w:r>
              <w:rPr>
                <w:rFonts w:eastAsia="Times New Roman" w:cs="Times New Roman"/>
                <w:color w:val="202124"/>
                <w:sz w:val="24"/>
                <w:szCs w:val="24"/>
                <w:highlight w:val="white"/>
              </w:rPr>
              <w:t>As pinças de dissecção são usadas para segurar uma parte do tecido, facilitando a ação de outros instrumentos, como o bisturi ou a tesoura, usada principalmente como auxílio na retirada de pontos dos alunos que procuram esse atendimento na enfermaria.Produto Confeccionado em Aço Inoxidável AISI-420,com serrilha, tamanho: 14CM,embalagem: Plástica individual, constando os dados de identificação, procedência e rastreabilidade;Prazo de validade indeterminado</w:t>
            </w:r>
          </w:p>
          <w:p w:rsidR="00967E25" w:rsidRDefault="00967E25" w:rsidP="00277921">
            <w:pPr>
              <w:spacing w:line="276" w:lineRule="auto"/>
              <w:jc w:val="both"/>
              <w:rPr>
                <w:b/>
                <w:color w:val="202124"/>
                <w:sz w:val="24"/>
                <w:szCs w:val="24"/>
                <w:highlight w:val="white"/>
              </w:rPr>
            </w:pPr>
          </w:p>
          <w:p w:rsidR="00967E25" w:rsidRDefault="00967E25" w:rsidP="00277921">
            <w:pPr>
              <w:spacing w:line="276" w:lineRule="auto"/>
              <w:jc w:val="both"/>
              <w:rPr>
                <w:b/>
                <w:color w:val="202124"/>
                <w:sz w:val="24"/>
                <w:szCs w:val="24"/>
                <w:highlight w:val="white"/>
              </w:rPr>
            </w:pPr>
          </w:p>
          <w:p w:rsidR="00967E25" w:rsidRDefault="00967E25" w:rsidP="00277921">
            <w:pPr>
              <w:spacing w:line="276" w:lineRule="auto"/>
              <w:jc w:val="both"/>
              <w:rPr>
                <w:rFonts w:eastAsia="Times New Roman" w:cs="Times New Roman"/>
                <w:b/>
                <w:color w:val="202124"/>
                <w:sz w:val="24"/>
                <w:szCs w:val="24"/>
                <w:highlight w:val="white"/>
              </w:rPr>
            </w:pPr>
          </w:p>
          <w:p w:rsidR="00967E25" w:rsidRDefault="00967E25" w:rsidP="00277921">
            <w:pPr>
              <w:spacing w:line="276" w:lineRule="auto"/>
              <w:jc w:val="both"/>
              <w:rPr>
                <w:b/>
                <w:color w:val="202124"/>
                <w:sz w:val="24"/>
                <w:szCs w:val="24"/>
                <w:highlight w:val="white"/>
              </w:rPr>
            </w:pPr>
          </w:p>
          <w:p w:rsidR="00967E25" w:rsidRDefault="00936B82" w:rsidP="00277921">
            <w:pPr>
              <w:spacing w:line="276" w:lineRule="auto"/>
              <w:jc w:val="both"/>
              <w:rPr>
                <w:rFonts w:ascii="Times New Roman" w:eastAsia="Times New Roman" w:hAnsi="Times New Roman" w:cs="Times New Roman"/>
                <w:b/>
                <w:color w:val="202124"/>
                <w:highlight w:val="white"/>
              </w:rPr>
            </w:pPr>
            <w:r>
              <w:rPr>
                <w:rFonts w:eastAsia="Times New Roman" w:cs="Times New Roman"/>
                <w:b/>
                <w:color w:val="202124"/>
                <w:sz w:val="24"/>
                <w:szCs w:val="24"/>
                <w:highlight w:val="white"/>
              </w:rPr>
              <w:t xml:space="preserve"> </w:t>
            </w: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02</w:t>
            </w:r>
          </w:p>
        </w:tc>
      </w:tr>
      <w:tr w:rsidR="00967E25" w:rsidTr="00277921">
        <w:trPr>
          <w:trHeight w:val="5550"/>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lastRenderedPageBreak/>
              <w:t>25</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Times New Roman" w:eastAsia="Times New Roman" w:hAnsi="Times New Roman" w:cs="Times New Roman"/>
                <w:color w:val="202124"/>
                <w:highlight w:val="white"/>
              </w:rPr>
            </w:pPr>
            <w:r>
              <w:rPr>
                <w:rFonts w:eastAsia="Times New Roman" w:cs="Times New Roman"/>
                <w:b/>
                <w:color w:val="202124"/>
                <w:sz w:val="24"/>
                <w:szCs w:val="24"/>
                <w:highlight w:val="white"/>
              </w:rPr>
              <w:t>Detergente enzimático 5 enzimas esterilização 1 litro.</w:t>
            </w:r>
            <w:r>
              <w:rPr>
                <w:rFonts w:eastAsia="Times New Roman" w:cs="Times New Roman"/>
                <w:color w:val="202124"/>
                <w:sz w:val="24"/>
                <w:szCs w:val="24"/>
                <w:highlight w:val="white"/>
              </w:rPr>
              <w:t xml:space="preserve"> É um produto utilizado na limpeza e remoção de resíduos orgânicos de artigos e instrumentos odontológicos e cirúrgicos,como pinças e tesouras por exemplo usados em curativos, retirada de pontos. A finalidade deste processo de limpeza com o detergente enzimático é remover as sujeiras orgânicas e evitar a formação de compostos insolúveis na superfície desses dispositivos. Como a enfermaria não dispõe de autoclave e realiza procedimentos com esses instrumentos é importante que os mesmos possam de alguma forma ser livre de contaminação.O detergente enzimático tem a aprovação da Anvisa e segue todas as normas e padrões de qualidade de fabricação. Composição de 5 enzimas, sendo elas: </w:t>
            </w:r>
            <w:r>
              <w:rPr>
                <w:rFonts w:eastAsia="Times New Roman" w:cs="Times New Roman"/>
                <w:i/>
                <w:color w:val="202124"/>
                <w:sz w:val="24"/>
                <w:szCs w:val="24"/>
                <w:highlight w:val="white"/>
              </w:rPr>
              <w:t>Protease, Amilase, Lípase, Protease Subtilisin (Liquinase), Carbohidrase</w:t>
            </w:r>
            <w:r>
              <w:rPr>
                <w:rFonts w:eastAsia="Times New Roman" w:cs="Times New Roman"/>
                <w:color w:val="202124"/>
                <w:sz w:val="24"/>
                <w:szCs w:val="24"/>
                <w:highlight w:val="white"/>
              </w:rPr>
              <w:t xml:space="preserve">, é Possível utilizar manualmente ou através de lavadoras automáticas de limpeza, faixa de pH do produto puro 6,0 -8,0., embalagem: 1 Litro (frasco plástico), Forma Física: Líquido Translúcido Amarelo. Validade: 24 meses após a data de fabricação. </w:t>
            </w:r>
          </w:p>
          <w:p w:rsidR="00967E25" w:rsidRDefault="00967E25" w:rsidP="00277921">
            <w:pPr>
              <w:spacing w:line="276" w:lineRule="auto"/>
              <w:jc w:val="both"/>
              <w:rPr>
                <w:rFonts w:eastAsia="Times New Roman" w:cs="Times New Roman"/>
                <w:color w:val="202124"/>
                <w:sz w:val="24"/>
                <w:szCs w:val="24"/>
                <w:highlight w:val="white"/>
              </w:rPr>
            </w:pP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Litro</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02</w:t>
            </w:r>
          </w:p>
        </w:tc>
      </w:tr>
      <w:tr w:rsidR="00967E25" w:rsidTr="00277921">
        <w:trPr>
          <w:trHeight w:val="4425"/>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lastRenderedPageBreak/>
              <w:t>26</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Roboto" w:eastAsia="Roboto" w:hAnsi="Roboto" w:cs="Roboto"/>
                <w:b/>
                <w:color w:val="202124"/>
                <w:sz w:val="20"/>
                <w:szCs w:val="20"/>
                <w:highlight w:val="white"/>
              </w:rPr>
            </w:pPr>
            <w:r>
              <w:rPr>
                <w:b/>
                <w:color w:val="202124"/>
                <w:sz w:val="24"/>
                <w:szCs w:val="24"/>
                <w:highlight w:val="white"/>
              </w:rPr>
              <w:t>Álcool etílico hidratado de cereais ÁLCOOL ETÍLICO, ASPECTO FÍSICO:DE CEREAIS, HIDRATADO, LÍQUIDO LÍMPIDO, INCOLOR, TEOR ALCOÓLICO:MÍNIMO DE 96 ̈GL, FÓRMULA QUÍMICA:C2H5OH, PESO MOLECULAR:46,07 G/MOL, GRAU DE PUREZA:MÍNIMO DE 93 ̈INPM, NÚMERO DE REFERÊNCIA QUÍMICA:CAS 64-17-5, usada na preparação de tinturas  medicinais</w:t>
            </w:r>
            <w:r>
              <w:rPr>
                <w:rFonts w:eastAsia="Roboto" w:cs="Roboto"/>
                <w:b/>
                <w:color w:val="202124"/>
                <w:sz w:val="24"/>
                <w:szCs w:val="24"/>
                <w:highlight w:val="white"/>
              </w:rPr>
              <w:t xml:space="preserve"> permitindo que as ervas e suas propriedades sejam armazenadas durante longos períodos de tempo sem perderem suas propriedades. São usadas na enfermaria como forma de tratamento e cuidado das enfermidades .</w:t>
            </w: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Litro</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06</w:t>
            </w:r>
          </w:p>
        </w:tc>
      </w:tr>
      <w:tr w:rsidR="00967E25" w:rsidTr="00277921">
        <w:trPr>
          <w:trHeight w:val="3270"/>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t>27</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Roboto" w:eastAsia="Roboto" w:hAnsi="Roboto" w:cs="Roboto"/>
                <w:b/>
                <w:color w:val="202124"/>
                <w:sz w:val="20"/>
                <w:szCs w:val="20"/>
                <w:highlight w:val="white"/>
              </w:rPr>
            </w:pPr>
            <w:r>
              <w:rPr>
                <w:rFonts w:eastAsia="Roboto" w:cs="Roboto"/>
                <w:b/>
                <w:color w:val="202124"/>
                <w:sz w:val="24"/>
                <w:szCs w:val="24"/>
                <w:highlight w:val="white"/>
              </w:rPr>
              <w:t xml:space="preserve">EXTRATO MEDICINAL, COMPOSIÇÃO: CORDIA VERBENACEA DC., CONCENTRAÇÃO: 5 MG,ML, FORMA FARMACÊUTICA: AEROSSOL TÓPICO, medicamento fitoterápico indicado nas seguintes situações: tendinites, afecções músculo-esqueléticas associadas à dor e inflamação, como dor miofascial, dorsalgia, lombalgia, em quadros inflamatórios dolorosos associados a traumas de membros, entorses e contusões.oterápico </w:t>
            </w: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Unidade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08</w:t>
            </w:r>
          </w:p>
        </w:tc>
      </w:tr>
      <w:tr w:rsidR="00967E25" w:rsidTr="00277921">
        <w:trPr>
          <w:trHeight w:val="2025"/>
          <w:jc w:val="center"/>
        </w:trPr>
        <w:tc>
          <w:tcPr>
            <w:tcW w:w="79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b/>
                <w:color w:val="202124"/>
              </w:rPr>
            </w:pPr>
            <w:r>
              <w:rPr>
                <w:rFonts w:eastAsia="Times New Roman" w:cs="Times New Roman"/>
                <w:b/>
                <w:color w:val="202124"/>
                <w:sz w:val="24"/>
                <w:szCs w:val="24"/>
              </w:rPr>
              <w:lastRenderedPageBreak/>
              <w:t>28</w:t>
            </w:r>
          </w:p>
        </w:tc>
        <w:tc>
          <w:tcPr>
            <w:tcW w:w="3925" w:type="dxa"/>
            <w:tcBorders>
              <w:top w:val="single" w:sz="4" w:space="0" w:color="000000"/>
              <w:left w:val="single" w:sz="4" w:space="0" w:color="000000"/>
              <w:bottom w:val="single" w:sz="4" w:space="0" w:color="000000"/>
            </w:tcBorders>
            <w:shd w:val="clear" w:color="auto" w:fill="auto"/>
          </w:tcPr>
          <w:p w:rsidR="00967E25" w:rsidRDefault="00936B82" w:rsidP="00277921">
            <w:pPr>
              <w:spacing w:line="276" w:lineRule="auto"/>
              <w:jc w:val="both"/>
              <w:rPr>
                <w:rFonts w:ascii="Roboto" w:eastAsia="Roboto" w:hAnsi="Roboto" w:cs="Roboto"/>
                <w:b/>
                <w:color w:val="202124"/>
                <w:sz w:val="20"/>
                <w:szCs w:val="20"/>
                <w:highlight w:val="white"/>
              </w:rPr>
            </w:pPr>
            <w:r>
              <w:rPr>
                <w:rFonts w:eastAsia="Roboto" w:cs="Roboto"/>
                <w:b/>
                <w:color w:val="202124"/>
                <w:sz w:val="24"/>
                <w:szCs w:val="24"/>
                <w:highlight w:val="white"/>
              </w:rPr>
              <w:t>FRASCO LABORATÓRIO, TIPO:REAGENTE, MATERIAL:VIDRO ÂMBAR, CAPACIDADE:500 ML, GRADUAÇÃO:GRADUADO, TIPO TAMPA:TAMPA ROSQUEÁVEL COM VEDAÇÃO. Usado no preparo das tinturas medicinais.</w:t>
            </w:r>
          </w:p>
        </w:tc>
        <w:tc>
          <w:tcPr>
            <w:tcW w:w="1310" w:type="dxa"/>
            <w:tcBorders>
              <w:top w:val="single" w:sz="4" w:space="0" w:color="000000"/>
              <w:left w:val="single" w:sz="4" w:space="0" w:color="000000"/>
              <w:bottom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Frasco</w:t>
            </w: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rsidP="00277921">
            <w:pPr>
              <w:spacing w:after="120" w:line="276" w:lineRule="auto"/>
              <w:jc w:val="both"/>
              <w:rPr>
                <w:rFonts w:ascii="Times New Roman" w:eastAsia="Times New Roman" w:hAnsi="Times New Roman" w:cs="Times New Roman"/>
                <w:color w:val="202124"/>
              </w:rPr>
            </w:pPr>
            <w:r>
              <w:rPr>
                <w:rFonts w:eastAsia="Times New Roman" w:cs="Times New Roman"/>
                <w:color w:val="202124"/>
                <w:sz w:val="24"/>
                <w:szCs w:val="24"/>
              </w:rPr>
              <w:t>10</w:t>
            </w:r>
          </w:p>
        </w:tc>
      </w:tr>
    </w:tbl>
    <w:p w:rsidR="00967E25" w:rsidRDefault="00967E25" w:rsidP="00277921">
      <w:pPr>
        <w:tabs>
          <w:tab w:val="left" w:pos="6000"/>
        </w:tabs>
        <w:spacing w:before="57" w:after="57" w:line="276" w:lineRule="auto"/>
        <w:ind w:left="593"/>
        <w:jc w:val="both"/>
        <w:rPr>
          <w:rFonts w:eastAsia="Times New Roman" w:cs="Times New Roman"/>
          <w:b/>
          <w:color w:val="202124"/>
          <w:sz w:val="24"/>
          <w:szCs w:val="24"/>
        </w:rPr>
      </w:pPr>
    </w:p>
    <w:p w:rsidR="00967E25" w:rsidRDefault="00936B82" w:rsidP="00277921">
      <w:pPr>
        <w:spacing w:before="57" w:after="57" w:line="276" w:lineRule="auto"/>
        <w:ind w:left="593"/>
        <w:jc w:val="both"/>
        <w:rPr>
          <w:rFonts w:ascii="Times New Roman" w:eastAsia="Times New Roman" w:hAnsi="Times New Roman" w:cs="Times New Roman"/>
          <w:color w:val="202124"/>
        </w:rPr>
      </w:pPr>
      <w:r>
        <w:rPr>
          <w:rFonts w:eastAsia="Times New Roman" w:cs="Times New Roman"/>
          <w:b/>
          <w:color w:val="202124"/>
          <w:sz w:val="24"/>
          <w:szCs w:val="24"/>
        </w:rPr>
        <w:t>4.</w:t>
      </w:r>
      <w:r>
        <w:rPr>
          <w:rFonts w:eastAsia="Times New Roman" w:cs="Times New Roman"/>
          <w:b/>
          <w:color w:val="202124"/>
          <w:sz w:val="24"/>
          <w:szCs w:val="24"/>
        </w:rPr>
        <w:tab/>
        <w:t>DA CLASSIFICAÇÃO DO OBJETO</w:t>
      </w:r>
    </w:p>
    <w:p w:rsidR="00967E25" w:rsidRDefault="00936B82" w:rsidP="00277921">
      <w:pPr>
        <w:spacing w:before="57" w:after="57" w:line="276" w:lineRule="auto"/>
        <w:ind w:left="593"/>
        <w:jc w:val="both"/>
        <w:rPr>
          <w:rFonts w:ascii="Times New Roman" w:eastAsia="Times New Roman" w:hAnsi="Times New Roman" w:cs="Times New Roman"/>
          <w:b/>
        </w:rPr>
      </w:pPr>
      <w:r>
        <w:rPr>
          <w:rFonts w:eastAsia="Times New Roman" w:cs="Times New Roman"/>
          <w:sz w:val="24"/>
          <w:szCs w:val="24"/>
        </w:rPr>
        <w:t>4.1</w:t>
      </w:r>
      <w:r>
        <w:rPr>
          <w:rFonts w:eastAsia="Times New Roman" w:cs="Times New Roman"/>
          <w:sz w:val="24"/>
          <w:szCs w:val="24"/>
        </w:rPr>
        <w:tab/>
        <w:t>Os  objetos que se pretende contratar se enquadram na categoria d</w:t>
      </w:r>
      <w:r>
        <w:rPr>
          <w:rFonts w:eastAsia="Times New Roman" w:cs="Times New Roman"/>
          <w:sz w:val="24"/>
          <w:szCs w:val="24"/>
          <w:highlight w:val="white"/>
        </w:rPr>
        <w:t>e BEM COMUM</w:t>
      </w:r>
      <w:r>
        <w:rPr>
          <w:rFonts w:eastAsia="Times New Roman" w:cs="Times New Roman"/>
          <w:b/>
          <w:sz w:val="24"/>
          <w:szCs w:val="24"/>
        </w:rPr>
        <w:t>.</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 xml:space="preserve">5. </w:t>
      </w:r>
      <w:r>
        <w:rPr>
          <w:rFonts w:eastAsia="Times New Roman" w:cs="Times New Roman"/>
          <w:b/>
          <w:sz w:val="24"/>
          <w:szCs w:val="24"/>
        </w:rPr>
        <w:tab/>
        <w:t>DA ENTREGA E CRITÉRIOS DE ACEITAÇÃO DO OBJETO</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5.1</w:t>
      </w:r>
      <w:r>
        <w:rPr>
          <w:rFonts w:eastAsia="Times New Roman" w:cs="Times New Roman"/>
          <w:sz w:val="24"/>
          <w:szCs w:val="24"/>
        </w:rPr>
        <w:tab/>
        <w:t xml:space="preserve">O prazo de entrega dos bens é de </w:t>
      </w:r>
      <w:r>
        <w:rPr>
          <w:rFonts w:eastAsia="Times New Roman" w:cs="Times New Roman"/>
          <w:b/>
          <w:sz w:val="24"/>
          <w:szCs w:val="24"/>
        </w:rPr>
        <w:t>30 (trinta) dias</w:t>
      </w:r>
      <w:r>
        <w:rPr>
          <w:rFonts w:eastAsia="Times New Roman" w:cs="Times New Roman"/>
          <w:sz w:val="24"/>
          <w:szCs w:val="24"/>
        </w:rPr>
        <w:t xml:space="preserve"> para os produtos nacionais e </w:t>
      </w:r>
      <w:r>
        <w:rPr>
          <w:rFonts w:eastAsia="Times New Roman" w:cs="Times New Roman"/>
          <w:b/>
          <w:sz w:val="24"/>
          <w:szCs w:val="24"/>
        </w:rPr>
        <w:t>90 (noventa) dias</w:t>
      </w:r>
      <w:r>
        <w:rPr>
          <w:rFonts w:eastAsia="Times New Roman" w:cs="Times New Roman"/>
          <w:sz w:val="24"/>
          <w:szCs w:val="24"/>
        </w:rPr>
        <w:t xml:space="preserve"> para os produtos importados, contados do(a) do recebimento da Nota de Empenho, em remessa única, conforme a ordem de fornecimento emitida pela Administração, no respectivo endereço </w:t>
      </w:r>
      <w:r>
        <w:rPr>
          <w:rFonts w:eastAsia="Times New Roman" w:cs="Times New Roman"/>
          <w:sz w:val="24"/>
          <w:szCs w:val="24"/>
          <w:u w:val="single"/>
        </w:rPr>
        <w:t>eletrônico do órgão, informado na proposta durante o certame licitatório</w:t>
      </w:r>
      <w:r>
        <w:rPr>
          <w:rFonts w:eastAsia="Times New Roman" w:cs="Times New Roman"/>
          <w:sz w:val="24"/>
          <w:szCs w:val="24"/>
        </w:rPr>
        <w:t>:</w:t>
      </w:r>
    </w:p>
    <w:p w:rsidR="00967E25" w:rsidRDefault="00967E25" w:rsidP="00277921">
      <w:pPr>
        <w:spacing w:before="57" w:after="57" w:line="276" w:lineRule="auto"/>
        <w:ind w:left="593"/>
        <w:jc w:val="both"/>
        <w:rPr>
          <w:rFonts w:eastAsia="Times New Roman" w:cs="Times New Roman"/>
          <w:sz w:val="24"/>
          <w:szCs w:val="24"/>
        </w:rPr>
      </w:pPr>
    </w:p>
    <w:tbl>
      <w:tblPr>
        <w:tblStyle w:val="TableNormal0"/>
        <w:tblW w:w="9300" w:type="dxa"/>
        <w:tblInd w:w="580" w:type="dxa"/>
        <w:tblBorders>
          <w:top w:val="dotted" w:sz="4" w:space="0" w:color="000000"/>
          <w:left w:val="dotted" w:sz="4" w:space="0" w:color="000000"/>
          <w:bottom w:val="dotted" w:sz="4" w:space="0" w:color="000000"/>
          <w:insideH w:val="dotted" w:sz="4" w:space="0" w:color="000000"/>
        </w:tblBorders>
        <w:tblCellMar>
          <w:left w:w="70" w:type="dxa"/>
          <w:right w:w="70" w:type="dxa"/>
        </w:tblCellMar>
        <w:tblLook w:val="0000" w:firstRow="0" w:lastRow="0" w:firstColumn="0" w:lastColumn="0" w:noHBand="0" w:noVBand="0"/>
      </w:tblPr>
      <w:tblGrid>
        <w:gridCol w:w="2830"/>
        <w:gridCol w:w="910"/>
        <w:gridCol w:w="5560"/>
      </w:tblGrid>
      <w:tr w:rsidR="00967E25" w:rsidTr="00277921">
        <w:trPr>
          <w:trHeight w:val="521"/>
        </w:trPr>
        <w:tc>
          <w:tcPr>
            <w:tcW w:w="2830" w:type="dxa"/>
            <w:tcBorders>
              <w:top w:val="dotted" w:sz="4" w:space="0" w:color="000000"/>
              <w:left w:val="dotted" w:sz="4" w:space="0" w:color="000000"/>
              <w:bottom w:val="dotted" w:sz="4" w:space="0" w:color="000000"/>
            </w:tcBorders>
            <w:shd w:val="clear" w:color="auto" w:fill="D9D9D9"/>
            <w:vAlign w:val="center"/>
          </w:tcPr>
          <w:p w:rsidR="00967E25" w:rsidRDefault="00936B82" w:rsidP="00277921">
            <w:pPr>
              <w:jc w:val="both"/>
              <w:rPr>
                <w:rFonts w:ascii="Times New Roman" w:eastAsia="Times New Roman" w:hAnsi="Times New Roman" w:cs="Times New Roman"/>
                <w:b/>
              </w:rPr>
            </w:pPr>
            <w:r>
              <w:rPr>
                <w:rFonts w:eastAsia="Times New Roman" w:cs="Times New Roman"/>
                <w:b/>
                <w:sz w:val="24"/>
                <w:szCs w:val="24"/>
              </w:rPr>
              <w:t xml:space="preserve">ÓRGÃO </w:t>
            </w:r>
          </w:p>
        </w:tc>
        <w:tc>
          <w:tcPr>
            <w:tcW w:w="910" w:type="dxa"/>
            <w:tcBorders>
              <w:top w:val="dotted" w:sz="4" w:space="0" w:color="000000"/>
              <w:left w:val="dotted" w:sz="4" w:space="0" w:color="000000"/>
              <w:bottom w:val="dotted" w:sz="4" w:space="0" w:color="000000"/>
            </w:tcBorders>
            <w:shd w:val="clear" w:color="auto" w:fill="D9D9D9"/>
            <w:tcMar>
              <w:left w:w="10" w:type="dxa"/>
              <w:right w:w="10" w:type="dxa"/>
            </w:tcMar>
            <w:vAlign w:val="center"/>
          </w:tcPr>
          <w:p w:rsidR="00967E25" w:rsidRDefault="00936B82" w:rsidP="00277921">
            <w:pPr>
              <w:jc w:val="both"/>
              <w:rPr>
                <w:rFonts w:ascii="Times New Roman" w:eastAsia="Times New Roman" w:hAnsi="Times New Roman" w:cs="Times New Roman"/>
                <w:b/>
              </w:rPr>
            </w:pPr>
            <w:r>
              <w:rPr>
                <w:rFonts w:eastAsia="Times New Roman" w:cs="Times New Roman"/>
                <w:b/>
                <w:sz w:val="24"/>
                <w:szCs w:val="24"/>
              </w:rPr>
              <w:t>UASG</w:t>
            </w:r>
          </w:p>
        </w:tc>
        <w:tc>
          <w:tcPr>
            <w:tcW w:w="5560" w:type="dxa"/>
            <w:tcBorders>
              <w:top w:val="dotted" w:sz="4" w:space="0" w:color="000000"/>
              <w:left w:val="dotted" w:sz="4" w:space="0" w:color="000000"/>
              <w:bottom w:val="dotted" w:sz="4" w:space="0" w:color="000000"/>
              <w:right w:val="dotted" w:sz="4" w:space="0" w:color="000000"/>
            </w:tcBorders>
            <w:shd w:val="clear" w:color="auto" w:fill="D9D9D9"/>
            <w:tcMar>
              <w:left w:w="10" w:type="dxa"/>
              <w:right w:w="10" w:type="dxa"/>
            </w:tcMar>
            <w:vAlign w:val="center"/>
          </w:tcPr>
          <w:p w:rsidR="00967E25" w:rsidRDefault="00936B82" w:rsidP="00277921">
            <w:pPr>
              <w:jc w:val="both"/>
              <w:rPr>
                <w:rFonts w:ascii="Times New Roman" w:eastAsia="Times New Roman" w:hAnsi="Times New Roman" w:cs="Times New Roman"/>
                <w:b/>
              </w:rPr>
            </w:pPr>
            <w:r>
              <w:rPr>
                <w:rFonts w:eastAsia="Times New Roman" w:cs="Times New Roman"/>
                <w:b/>
                <w:sz w:val="24"/>
                <w:szCs w:val="24"/>
              </w:rPr>
              <w:t>ENDEREÇO/HORÁRIO DE ENTREGA</w:t>
            </w:r>
          </w:p>
        </w:tc>
      </w:tr>
      <w:tr w:rsidR="00967E25" w:rsidTr="00277921">
        <w:trPr>
          <w:trHeight w:val="410"/>
        </w:trPr>
        <w:tc>
          <w:tcPr>
            <w:tcW w:w="2830" w:type="dxa"/>
            <w:tcBorders>
              <w:top w:val="dotted" w:sz="4" w:space="0" w:color="000000"/>
              <w:left w:val="dotted" w:sz="4" w:space="0" w:color="000000"/>
              <w:bottom w:val="dotted" w:sz="4" w:space="0" w:color="000000"/>
            </w:tcBorders>
            <w:shd w:val="clear" w:color="auto" w:fill="FFFFFF"/>
            <w:vAlign w:val="center"/>
          </w:tcPr>
          <w:p w:rsidR="00967E25" w:rsidRDefault="00936B82" w:rsidP="00277921">
            <w:pPr>
              <w:jc w:val="both"/>
              <w:rPr>
                <w:rFonts w:ascii="Times New Roman" w:eastAsia="Times New Roman" w:hAnsi="Times New Roman" w:cs="Times New Roman"/>
              </w:rPr>
            </w:pPr>
            <w:r>
              <w:rPr>
                <w:rFonts w:eastAsia="Times New Roman" w:cs="Times New Roman"/>
                <w:sz w:val="24"/>
                <w:szCs w:val="24"/>
              </w:rPr>
              <w:t>Ifes – Campus Piúma</w:t>
            </w:r>
          </w:p>
        </w:tc>
        <w:tc>
          <w:tcPr>
            <w:tcW w:w="910" w:type="dxa"/>
            <w:tcBorders>
              <w:top w:val="dotted" w:sz="4" w:space="0" w:color="000000"/>
              <w:left w:val="dotted" w:sz="4" w:space="0" w:color="000000"/>
              <w:bottom w:val="dotted" w:sz="4" w:space="0" w:color="000000"/>
            </w:tcBorders>
            <w:shd w:val="clear" w:color="auto" w:fill="auto"/>
            <w:tcMar>
              <w:left w:w="10" w:type="dxa"/>
              <w:right w:w="10" w:type="dxa"/>
            </w:tcMar>
            <w:vAlign w:val="center"/>
          </w:tcPr>
          <w:p w:rsidR="00967E25" w:rsidRDefault="00936B82" w:rsidP="00277921">
            <w:pPr>
              <w:jc w:val="both"/>
              <w:rPr>
                <w:rFonts w:ascii="Times New Roman" w:eastAsia="Times New Roman" w:hAnsi="Times New Roman" w:cs="Times New Roman"/>
              </w:rPr>
            </w:pPr>
            <w:r>
              <w:rPr>
                <w:rFonts w:eastAsia="Times New Roman" w:cs="Times New Roman"/>
                <w:sz w:val="24"/>
                <w:szCs w:val="24"/>
              </w:rPr>
              <w:t>158892</w:t>
            </w:r>
          </w:p>
        </w:tc>
        <w:tc>
          <w:tcPr>
            <w:tcW w:w="5560" w:type="dxa"/>
            <w:tcBorders>
              <w:top w:val="dotted" w:sz="4" w:space="0" w:color="000000"/>
              <w:left w:val="dotted" w:sz="4" w:space="0" w:color="000000"/>
              <w:bottom w:val="dotted" w:sz="4" w:space="0" w:color="000000"/>
              <w:right w:val="dotted" w:sz="4" w:space="0" w:color="000000"/>
            </w:tcBorders>
            <w:shd w:val="clear" w:color="auto" w:fill="auto"/>
            <w:tcMar>
              <w:left w:w="10" w:type="dxa"/>
              <w:right w:w="10" w:type="dxa"/>
            </w:tcMar>
            <w:vAlign w:val="center"/>
          </w:tcPr>
          <w:p w:rsidR="00967E25" w:rsidRDefault="00936B82" w:rsidP="00277921">
            <w:pPr>
              <w:jc w:val="both"/>
              <w:rPr>
                <w:rFonts w:ascii="Times New Roman" w:eastAsia="Times New Roman" w:hAnsi="Times New Roman" w:cs="Times New Roman"/>
              </w:rPr>
            </w:pPr>
            <w:r>
              <w:rPr>
                <w:rFonts w:eastAsia="Times New Roman" w:cs="Times New Roman"/>
                <w:sz w:val="24"/>
                <w:szCs w:val="24"/>
              </w:rPr>
              <w:t>Ifes – Campus Piúma, Rua Augusto Costa de Oliveira,</w:t>
            </w:r>
          </w:p>
          <w:p w:rsidR="00967E25" w:rsidRDefault="00936B82" w:rsidP="00277921">
            <w:pPr>
              <w:jc w:val="both"/>
              <w:rPr>
                <w:rFonts w:ascii="Times New Roman" w:eastAsia="Times New Roman" w:hAnsi="Times New Roman" w:cs="Times New Roman"/>
              </w:rPr>
            </w:pPr>
            <w:r>
              <w:rPr>
                <w:rFonts w:eastAsia="Times New Roman" w:cs="Times New Roman"/>
                <w:sz w:val="24"/>
                <w:szCs w:val="24"/>
              </w:rPr>
              <w:t>660, Praia Doce, Piúma – ES. CEP.: 29.285-000, em horário de 08:00 às 11:00 ou de 13:00 às 16:00, previamente</w:t>
            </w:r>
          </w:p>
          <w:p w:rsidR="00967E25" w:rsidRDefault="00936B82" w:rsidP="00277921">
            <w:pPr>
              <w:jc w:val="both"/>
              <w:rPr>
                <w:rFonts w:ascii="Times New Roman" w:eastAsia="Times New Roman" w:hAnsi="Times New Roman" w:cs="Times New Roman"/>
              </w:rPr>
            </w:pPr>
            <w:r>
              <w:rPr>
                <w:rFonts w:eastAsia="Times New Roman" w:cs="Times New Roman"/>
                <w:sz w:val="24"/>
                <w:szCs w:val="24"/>
              </w:rPr>
              <w:t>agendado com a COORDENADORIA DE PATRIMÔNIO, MATERIAIS E SUPRIMENTOS do Ifes Campus Piúma pelo</w:t>
            </w:r>
          </w:p>
          <w:p w:rsidR="00967E25" w:rsidRDefault="00936B82" w:rsidP="00277921">
            <w:pPr>
              <w:jc w:val="both"/>
              <w:rPr>
                <w:rFonts w:ascii="Times New Roman" w:eastAsia="Times New Roman" w:hAnsi="Times New Roman" w:cs="Times New Roman"/>
              </w:rPr>
            </w:pPr>
            <w:r>
              <w:rPr>
                <w:rFonts w:eastAsia="Times New Roman" w:cs="Times New Roman"/>
                <w:sz w:val="24"/>
                <w:szCs w:val="24"/>
              </w:rPr>
              <w:t>e-mail: “cmp.pi@ifes.edu.br”.</w:t>
            </w:r>
          </w:p>
        </w:tc>
      </w:tr>
    </w:tbl>
    <w:p w:rsidR="00967E25" w:rsidRDefault="00967E25" w:rsidP="00277921">
      <w:pPr>
        <w:spacing w:before="57" w:after="57" w:line="276" w:lineRule="auto"/>
        <w:ind w:left="593"/>
        <w:jc w:val="both"/>
        <w:rPr>
          <w:rFonts w:eastAsia="Times New Roman" w:cs="Times New Roman"/>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5.2</w:t>
      </w:r>
      <w:r>
        <w:rPr>
          <w:rFonts w:eastAsia="Times New Roman" w:cs="Times New Roman"/>
          <w:sz w:val="24"/>
          <w:szCs w:val="24"/>
        </w:rPr>
        <w:tab/>
        <w:t>Os bens serão recebidos provisoriamente no prazo de 15 (quinze) dias, pelo(a) responsável pelo acompanhamento e fiscalização do contrato, para efeito de posterior verificação de sua conformidade com as especificações constantes neste Termo de Referência e na proposta.</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5.3</w:t>
      </w:r>
      <w:r>
        <w:rPr>
          <w:rFonts w:eastAsia="Times New Roman" w:cs="Times New Roman"/>
          <w:sz w:val="24"/>
          <w:szCs w:val="24"/>
        </w:rPr>
        <w:tab/>
        <w:t xml:space="preserve">Os bens poderão ser rejeitados, no todo ou em parte, quando em desacordo com as especificações constantes neste Termo de Referência e na proposta, devendo ser </w:t>
      </w:r>
      <w:r>
        <w:rPr>
          <w:rFonts w:eastAsia="Times New Roman" w:cs="Times New Roman"/>
          <w:sz w:val="24"/>
          <w:szCs w:val="24"/>
        </w:rPr>
        <w:lastRenderedPageBreak/>
        <w:t>substituídos no prazo de 10 (dez) dias, a contar da notificação da contratada, às suas custas, sem prejuízo da aplicação das penalidades.</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5.4</w:t>
      </w:r>
      <w:r>
        <w:rPr>
          <w:rFonts w:eastAsia="Times New Roman" w:cs="Times New Roman"/>
          <w:sz w:val="24"/>
          <w:szCs w:val="24"/>
        </w:rPr>
        <w:tab/>
        <w:t>Os bens serão recebidos definitivamente no prazo de 15 (quinze) dias, contados do recebimento provisório, após a verificação da qualidade e quantidade do material e consequente aceitação mediante termo circunstanciado.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5.4.1</w:t>
      </w:r>
      <w:r>
        <w:rPr>
          <w:rFonts w:eastAsia="Times New Roman" w:cs="Times New Roman"/>
          <w:sz w:val="24"/>
          <w:szCs w:val="24"/>
        </w:rPr>
        <w:tab/>
        <w:t>Na hipótese de a verificação a que se refere o subitem anterior não ser procedida dentro do prazo fixado, reputar-se-á como realizada, consumando-se o recebimento definitivo no dia do esgotamento do prazo.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5.5</w:t>
      </w:r>
      <w:r>
        <w:rPr>
          <w:rFonts w:eastAsia="Times New Roman" w:cs="Times New Roman"/>
          <w:sz w:val="24"/>
          <w:szCs w:val="24"/>
        </w:rPr>
        <w:tab/>
        <w:t>O recebimento provisório ou definitivo do objeto não exclui a responsabilidade da contratada pelos prejuízos resultantes da incorreta execução do contrato.</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6.  DAS OBRIGAÇÕES DA CONTRATANTE</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6.1</w:t>
      </w:r>
      <w:r>
        <w:rPr>
          <w:rFonts w:eastAsia="Times New Roman" w:cs="Times New Roman"/>
          <w:sz w:val="24"/>
          <w:szCs w:val="24"/>
        </w:rPr>
        <w:tab/>
        <w:t>São obrigações da Contratante:</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6.1.1</w:t>
      </w:r>
      <w:r>
        <w:rPr>
          <w:rFonts w:eastAsia="Times New Roman" w:cs="Times New Roman"/>
          <w:sz w:val="24"/>
          <w:szCs w:val="24"/>
        </w:rPr>
        <w:tab/>
        <w:t>receber o objeto no prazo e condições estabelecidas no Edital e seus anexos;</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6.1.2</w:t>
      </w:r>
      <w:r>
        <w:rPr>
          <w:rFonts w:eastAsia="Times New Roman" w:cs="Times New Roman"/>
          <w:sz w:val="24"/>
          <w:szCs w:val="24"/>
        </w:rPr>
        <w:tab/>
        <w:t>verificar minuciosamente, no prazo fixado, a conformidade dos bens recebidos provisoriamente com as especificações constantes do Edital e da proposta, para fins de aceitação e recebimento definitivo;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6.1.3</w:t>
      </w:r>
      <w:r>
        <w:rPr>
          <w:rFonts w:eastAsia="Times New Roman" w:cs="Times New Roman"/>
          <w:sz w:val="24"/>
          <w:szCs w:val="24"/>
        </w:rPr>
        <w:tab/>
        <w:t>comunicar à Contratada, por escrito, sobre imperfeições, falhas ou irregularidades verificadas no objeto fornecido, para que seja substituído, reparado ou corrigido;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6.1.4</w:t>
      </w:r>
      <w:r>
        <w:rPr>
          <w:rFonts w:eastAsia="Times New Roman" w:cs="Times New Roman"/>
          <w:sz w:val="24"/>
          <w:szCs w:val="24"/>
        </w:rPr>
        <w:tab/>
        <w:t>acompanhar e fiscalizar o cumprimento das obrigações da Contratada, através de comissão/servidor especialmente designado;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6.1.5</w:t>
      </w:r>
      <w:r>
        <w:rPr>
          <w:rFonts w:eastAsia="Times New Roman" w:cs="Times New Roman"/>
          <w:sz w:val="24"/>
          <w:szCs w:val="24"/>
        </w:rPr>
        <w:tab/>
        <w:t>efetuar o pagamento à Contratada no valor correspondente ao fornecimento do objeto, no prazo e forma estabelecidos no Edital e seus anexos;</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6.2</w:t>
      </w:r>
      <w:r>
        <w:rPr>
          <w:rFonts w:eastAsia="Times New Roman" w:cs="Times New Roman"/>
          <w:sz w:val="24"/>
          <w:szCs w:val="24"/>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967E25" w:rsidRDefault="00967E25" w:rsidP="00277921">
      <w:pPr>
        <w:spacing w:before="57" w:after="57" w:line="276" w:lineRule="auto"/>
        <w:ind w:left="593"/>
        <w:jc w:val="both"/>
        <w:rPr>
          <w:rFonts w:eastAsia="Times New Roman" w:cs="Times New Roman"/>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7.  DAS OBRIGAÇÕES DA CONTRATADA</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7</w:t>
      </w:r>
      <w:r>
        <w:rPr>
          <w:rFonts w:eastAsia="Times New Roman" w:cs="Times New Roman"/>
          <w:sz w:val="24"/>
          <w:szCs w:val="24"/>
        </w:rPr>
        <w:t>.1</w:t>
      </w:r>
      <w:r>
        <w:rPr>
          <w:rFonts w:eastAsia="Times New Roman" w:cs="Times New Roman"/>
          <w:sz w:val="24"/>
          <w:szCs w:val="24"/>
        </w:rPr>
        <w:tab/>
        <w:t>A Contratada deve cumprir todas as obrigações constantes no Edital, seus anexos e sua proposta, assumindo como exclusivamente seus os riscos e as despesas decorrentes da boa e perfeita execução do objeto e, ainda:</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7.1.1</w:t>
      </w:r>
      <w:r>
        <w:rPr>
          <w:rFonts w:eastAsia="Times New Roman" w:cs="Times New Roman"/>
          <w:sz w:val="24"/>
          <w:szCs w:val="24"/>
        </w:rPr>
        <w:tab/>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lastRenderedPageBreak/>
        <w:t>7.1.1.2</w:t>
      </w:r>
      <w:r>
        <w:rPr>
          <w:rFonts w:eastAsia="Times New Roman" w:cs="Times New Roman"/>
          <w:sz w:val="24"/>
          <w:szCs w:val="24"/>
        </w:rPr>
        <w:tab/>
        <w:t>O objeto deve estar acompanhado do manual do usuário, com uma versão em português e da relação da rede de assistência técnica autorizada;</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7.1.2</w:t>
      </w:r>
      <w:r>
        <w:rPr>
          <w:rFonts w:eastAsia="Times New Roman" w:cs="Times New Roman"/>
          <w:sz w:val="24"/>
          <w:szCs w:val="24"/>
        </w:rPr>
        <w:tab/>
        <w:t>responsabilizar-se pelos vícios e danos decorrentes do objeto, de acordo com os artigos 12, 13 e 17 a 27, do Código de Defesa do Consumidor (Lei nº 8.078, de 1990);</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7.1.3</w:t>
      </w:r>
      <w:r>
        <w:rPr>
          <w:rFonts w:eastAsia="Times New Roman" w:cs="Times New Roman"/>
          <w:sz w:val="24"/>
          <w:szCs w:val="24"/>
        </w:rPr>
        <w:tab/>
        <w:t>substituir, reparar ou corrigir, às suas expensas, no prazo fixado neste Termo de Referência, o objeto com avarias ou defeitos;</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7.1.4</w:t>
      </w:r>
      <w:r>
        <w:rPr>
          <w:rFonts w:eastAsia="Times New Roman" w:cs="Times New Roman"/>
          <w:sz w:val="24"/>
          <w:szCs w:val="24"/>
        </w:rPr>
        <w:tab/>
        <w:t>comunicar à Contratante, no prazo máximo de 24 (vinte e quatro) horas que antecede a data da entrega, os motivos que impossibilitem o cumprimento do prazo previsto, com a devida comprovação;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7.1.5</w:t>
      </w:r>
      <w:r>
        <w:rPr>
          <w:rFonts w:eastAsia="Times New Roman" w:cs="Times New Roman"/>
          <w:sz w:val="24"/>
          <w:szCs w:val="24"/>
        </w:rPr>
        <w:tab/>
        <w:t>manter, durante toda a execução do contrato, em compatibilidade com as obrigações assumidas, todas as condições de habilitação e qualificação exigidas na licitação;</w:t>
      </w:r>
    </w:p>
    <w:p w:rsidR="00967E25" w:rsidRDefault="00967E25" w:rsidP="00277921">
      <w:pPr>
        <w:spacing w:before="57" w:after="57" w:line="276" w:lineRule="auto"/>
        <w:ind w:left="593"/>
        <w:jc w:val="both"/>
        <w:rPr>
          <w:rFonts w:eastAsia="Times New Roman" w:cs="Times New Roman"/>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8.  DA SUBCONTRATAÇÃO</w:t>
      </w:r>
    </w:p>
    <w:p w:rsidR="00967E25" w:rsidRDefault="00967E25" w:rsidP="00277921">
      <w:pPr>
        <w:spacing w:before="57" w:after="57" w:line="276" w:lineRule="auto"/>
        <w:ind w:left="593"/>
        <w:jc w:val="both"/>
        <w:rPr>
          <w:rFonts w:eastAsia="Times New Roman" w:cs="Times New Roman"/>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8.1</w:t>
      </w:r>
      <w:r>
        <w:rPr>
          <w:rFonts w:eastAsia="Times New Roman" w:cs="Times New Roman"/>
          <w:sz w:val="24"/>
          <w:szCs w:val="24"/>
        </w:rPr>
        <w:tab/>
        <w:t>Não será admitida a subcontratação do objeto licitatório.</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9.  DA ALTERAÇÃO SUBJETIVA</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9.1</w:t>
      </w:r>
      <w:r>
        <w:rPr>
          <w:rFonts w:eastAsia="Times New Roman" w:cs="Times New Roman"/>
          <w:sz w:val="24"/>
          <w:szCs w:val="24"/>
        </w:rPr>
        <w:tab/>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967E25" w:rsidRDefault="00967E25" w:rsidP="00277921">
      <w:pPr>
        <w:spacing w:before="57" w:after="57" w:line="276" w:lineRule="auto"/>
        <w:ind w:left="593"/>
        <w:jc w:val="both"/>
        <w:rPr>
          <w:rFonts w:eastAsia="Times New Roman" w:cs="Times New Roman"/>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10.  DO CONTROLE E FISCALIZAÇÃO DA EXECUÇÃO</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10.</w:t>
      </w:r>
      <w:r>
        <w:rPr>
          <w:rFonts w:eastAsia="Times New Roman" w:cs="Times New Roman"/>
          <w:sz w:val="24"/>
          <w:szCs w:val="24"/>
        </w:rPr>
        <w:tab/>
        <w:t>Nos termos do art. 117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10.1</w:t>
      </w:r>
      <w:r>
        <w:rPr>
          <w:rFonts w:eastAsia="Times New Roman" w:cs="Times New Roman"/>
          <w:sz w:val="24"/>
          <w:szCs w:val="24"/>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10.3</w:t>
      </w:r>
      <w:r>
        <w:rPr>
          <w:rFonts w:eastAsia="Times New Roman" w:cs="Times New Roman"/>
          <w:sz w:val="24"/>
          <w:szCs w:val="24"/>
        </w:rPr>
        <w:tab/>
        <w:t xml:space="preserve">O representante da Administração anotará em registro próprio todas as ocorrências relacionadas com a execução do contrato, indicando dia, mês e ano, bem como o nome dos funcionários eventualmente envolvidos, determinando o que for </w:t>
      </w:r>
      <w:r>
        <w:rPr>
          <w:rFonts w:eastAsia="Times New Roman" w:cs="Times New Roman"/>
          <w:sz w:val="24"/>
          <w:szCs w:val="24"/>
        </w:rPr>
        <w:lastRenderedPageBreak/>
        <w:t>necessário à regularização das falhas ou defeitos observados e encaminhando os apontamentos à autoridade competente para as providências cabíveis.</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11.  DO PAGAMENTO (submeter ao financeiro)</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11.1</w:t>
      </w:r>
      <w:r>
        <w:rPr>
          <w:rFonts w:eastAsia="Times New Roman" w:cs="Times New Roman"/>
          <w:sz w:val="24"/>
          <w:szCs w:val="24"/>
        </w:rPr>
        <w:tab/>
        <w:t xml:space="preserve">O pagamento será realizado no prazo máximo de até </w:t>
      </w:r>
      <w:r>
        <w:rPr>
          <w:rFonts w:eastAsia="Times New Roman" w:cs="Times New Roman"/>
          <w:b/>
          <w:sz w:val="24"/>
          <w:szCs w:val="24"/>
        </w:rPr>
        <w:t>30 (trinta) dias</w:t>
      </w:r>
      <w:r>
        <w:rPr>
          <w:rFonts w:eastAsia="Times New Roman" w:cs="Times New Roman"/>
          <w:sz w:val="24"/>
          <w:szCs w:val="24"/>
        </w:rPr>
        <w:t>, contados a partir do recebimento definitivo dos itens constantes de Nota Fiscal ou Fatura, através de ordem bancária, para crédito em banco, agência e conta corrente indicados pelo contratado.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11.2</w:t>
      </w:r>
      <w:r>
        <w:rPr>
          <w:rFonts w:eastAsia="Times New Roman" w:cs="Times New Roman"/>
          <w:sz w:val="24"/>
          <w:szCs w:val="24"/>
        </w:rPr>
        <w:tab/>
        <w:t>Considera-se ocorrido o recebimento da nota fiscal ou fatura no momento em que o órgão contratante atestar a execução do objeto do contrato.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11.3</w:t>
      </w:r>
      <w:r>
        <w:rPr>
          <w:rFonts w:eastAsia="Times New Roman" w:cs="Times New Roman"/>
          <w:sz w:val="24"/>
          <w:szCs w:val="24"/>
        </w:rPr>
        <w:tab/>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nos incisos I aV do art. 68 da Lei nº 14.133, de 2021.</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11.4</w:t>
      </w:r>
      <w:r>
        <w:rPr>
          <w:rFonts w:eastAsia="Times New Roman" w:cs="Times New Roman"/>
          <w:sz w:val="24"/>
          <w:szCs w:val="24"/>
        </w:rPr>
        <w:tab/>
        <w:t>Constatando-se, junto ao SICAF, a situação de irregularidade do fornecedor contratado, deverão ser tomadas as providências previstas no do art. 31 da Instrução Normativa nº 3, de 26 de abril de 2018.</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11.5</w:t>
      </w:r>
      <w:r>
        <w:rPr>
          <w:rFonts w:eastAsia="Times New Roman" w:cs="Times New Roman"/>
          <w:sz w:val="24"/>
          <w:szCs w:val="24"/>
        </w:rPr>
        <w:tab/>
        <w:t>Nos casos de contratações que venha a se enquadrar nos termos do art. 20 da IN SEGES Nº 67, DE 08 DE JULHO DE 2021, será somente exigido das pessoas jurídicas a comprovação da regularidade fiscal federal, social e trabalhista e, das pessoas físicas, a quitação com a Fazenda Nacional.</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11.6</w:t>
      </w:r>
      <w:r>
        <w:rPr>
          <w:rFonts w:eastAsia="Times New Roman" w:cs="Times New Roman"/>
          <w:sz w:val="24"/>
          <w:szCs w:val="24"/>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11.7</w:t>
      </w:r>
      <w:r>
        <w:rPr>
          <w:rFonts w:eastAsia="Times New Roman" w:cs="Times New Roman"/>
          <w:sz w:val="24"/>
          <w:szCs w:val="24"/>
        </w:rPr>
        <w:tab/>
        <w:t>Será considerada data do pagamento o dia em que constar como emitida a ordem bancária para pagamento.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11.8</w:t>
      </w:r>
      <w:r>
        <w:rPr>
          <w:rFonts w:eastAsia="Times New Roman" w:cs="Times New Roman"/>
          <w:sz w:val="24"/>
          <w:szCs w:val="24"/>
        </w:rPr>
        <w:tab/>
        <w:t>Antes de cada pagamento à contratada, será realizada consulta ao SICAF para verificar a manutenção das condições de habilitação exigidas no instrumento convocatório.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11.9</w:t>
      </w:r>
      <w:r>
        <w:rPr>
          <w:rFonts w:eastAsia="Times New Roman" w:cs="Times New Roman"/>
          <w:sz w:val="24"/>
          <w:szCs w:val="24"/>
        </w:rPr>
        <w:tab/>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lastRenderedPageBreak/>
        <w:t>11.10</w:t>
      </w:r>
      <w:r>
        <w:rPr>
          <w:rFonts w:eastAsia="Times New Roman" w:cs="Times New Roman"/>
          <w:sz w:val="24"/>
          <w:szCs w:val="24"/>
        </w:rPr>
        <w:tab/>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11.11</w:t>
      </w:r>
      <w:r>
        <w:rPr>
          <w:rFonts w:eastAsia="Times New Roman" w:cs="Times New Roman"/>
          <w:sz w:val="24"/>
          <w:szCs w:val="24"/>
        </w:rPr>
        <w:tab/>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11.12</w:t>
      </w:r>
      <w:r>
        <w:rPr>
          <w:rFonts w:eastAsia="Times New Roman" w:cs="Times New Roman"/>
          <w:sz w:val="24"/>
          <w:szCs w:val="24"/>
        </w:rPr>
        <w:tab/>
        <w:t>Persistindo a irregularidade, a contratante deverá adotar as medidas necessárias à rescisão contratual nos autos do processo administrativo correspondente, assegurada à contratada a ampla defesa.</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11.13</w:t>
      </w:r>
      <w:r>
        <w:rPr>
          <w:rFonts w:eastAsia="Times New Roman" w:cs="Times New Roman"/>
          <w:sz w:val="24"/>
          <w:szCs w:val="24"/>
        </w:rPr>
        <w:tab/>
        <w:t>Havendo a efetiva execução do objeto, os pagamentos serão realizados normalmente, até que se decida pela rescisão do contrato, caso a contratada não regularize sua situação junto ao SICAF.</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11.14</w:t>
      </w:r>
      <w:r>
        <w:rPr>
          <w:rFonts w:eastAsia="Times New Roman" w:cs="Times New Roman"/>
          <w:sz w:val="24"/>
          <w:szCs w:val="24"/>
        </w:rPr>
        <w:tab/>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11.15</w:t>
      </w:r>
      <w:r>
        <w:rPr>
          <w:rFonts w:eastAsia="Times New Roman" w:cs="Times New Roman"/>
          <w:sz w:val="24"/>
          <w:szCs w:val="24"/>
        </w:rPr>
        <w:tab/>
        <w:t>Quando do pagamento, será efetuada a retenção tributária prevista na legislação aplicável.</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11.16</w:t>
      </w:r>
      <w:r>
        <w:rPr>
          <w:rFonts w:eastAsia="Times New Roman" w:cs="Times New Roman"/>
          <w:sz w:val="24"/>
          <w:szCs w:val="24"/>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11.17</w:t>
      </w:r>
      <w:r>
        <w:rPr>
          <w:rFonts w:eastAsia="Times New Roman" w:cs="Times New Roman"/>
          <w:sz w:val="24"/>
          <w:szCs w:val="24"/>
        </w:rPr>
        <w:tab/>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967E25" w:rsidRDefault="00936B82" w:rsidP="00277921">
      <w:pPr>
        <w:tabs>
          <w:tab w:val="left" w:pos="2126"/>
        </w:tabs>
        <w:spacing w:before="120" w:after="120" w:line="276" w:lineRule="auto"/>
        <w:ind w:left="1030"/>
        <w:jc w:val="both"/>
        <w:rPr>
          <w:rFonts w:ascii="Times New Roman" w:eastAsia="Times New Roman" w:hAnsi="Times New Roman" w:cs="Times New Roman"/>
        </w:rPr>
      </w:pPr>
      <w:r>
        <w:rPr>
          <w:rFonts w:eastAsia="Times New Roman" w:cs="Times New Roman"/>
          <w:sz w:val="24"/>
          <w:szCs w:val="24"/>
        </w:rPr>
        <w:t>EM = I x N x VP, sendo:</w:t>
      </w:r>
    </w:p>
    <w:p w:rsidR="00967E25" w:rsidRDefault="00936B82" w:rsidP="00277921">
      <w:pPr>
        <w:tabs>
          <w:tab w:val="left" w:pos="2126"/>
        </w:tabs>
        <w:spacing w:before="120" w:after="120" w:line="276" w:lineRule="auto"/>
        <w:ind w:left="1030"/>
        <w:jc w:val="both"/>
        <w:rPr>
          <w:rFonts w:ascii="Times New Roman" w:eastAsia="Times New Roman" w:hAnsi="Times New Roman" w:cs="Times New Roman"/>
        </w:rPr>
      </w:pPr>
      <w:r>
        <w:rPr>
          <w:rFonts w:eastAsia="Times New Roman" w:cs="Times New Roman"/>
          <w:sz w:val="24"/>
          <w:szCs w:val="24"/>
        </w:rPr>
        <w:t>EM = Encargos moratórios;</w:t>
      </w:r>
    </w:p>
    <w:p w:rsidR="00967E25" w:rsidRDefault="00936B82" w:rsidP="00277921">
      <w:pPr>
        <w:tabs>
          <w:tab w:val="left" w:pos="2126"/>
        </w:tabs>
        <w:spacing w:before="120" w:after="120" w:line="276" w:lineRule="auto"/>
        <w:ind w:left="1030"/>
        <w:jc w:val="both"/>
        <w:rPr>
          <w:rFonts w:ascii="Times New Roman" w:eastAsia="Times New Roman" w:hAnsi="Times New Roman" w:cs="Times New Roman"/>
        </w:rPr>
      </w:pPr>
      <w:r>
        <w:rPr>
          <w:rFonts w:eastAsia="Times New Roman" w:cs="Times New Roman"/>
          <w:sz w:val="24"/>
          <w:szCs w:val="24"/>
        </w:rPr>
        <w:t>N = Número de dias entre a data prevista para o pagamento e a do efetivo pagamento;</w:t>
      </w:r>
    </w:p>
    <w:p w:rsidR="00967E25" w:rsidRDefault="00936B82" w:rsidP="00277921">
      <w:pPr>
        <w:tabs>
          <w:tab w:val="left" w:pos="2126"/>
        </w:tabs>
        <w:spacing w:before="120" w:after="120" w:line="276" w:lineRule="auto"/>
        <w:ind w:left="1030"/>
        <w:jc w:val="both"/>
        <w:rPr>
          <w:rFonts w:ascii="Times New Roman" w:eastAsia="Times New Roman" w:hAnsi="Times New Roman" w:cs="Times New Roman"/>
        </w:rPr>
      </w:pPr>
      <w:r>
        <w:rPr>
          <w:rFonts w:eastAsia="Times New Roman" w:cs="Times New Roman"/>
          <w:sz w:val="24"/>
          <w:szCs w:val="24"/>
        </w:rPr>
        <w:t>VP = Valor da parcela a ser paga.</w:t>
      </w:r>
    </w:p>
    <w:p w:rsidR="00967E25" w:rsidRDefault="00936B82" w:rsidP="00277921">
      <w:pPr>
        <w:tabs>
          <w:tab w:val="left" w:pos="2126"/>
        </w:tabs>
        <w:spacing w:before="120" w:after="120" w:line="276" w:lineRule="auto"/>
        <w:ind w:left="1030"/>
        <w:jc w:val="both"/>
        <w:rPr>
          <w:rFonts w:ascii="Times New Roman" w:eastAsia="Times New Roman" w:hAnsi="Times New Roman" w:cs="Times New Roman"/>
        </w:rPr>
      </w:pPr>
      <w:r>
        <w:rPr>
          <w:rFonts w:eastAsia="Times New Roman" w:cs="Times New Roman"/>
          <w:sz w:val="24"/>
          <w:szCs w:val="24"/>
        </w:rPr>
        <w:t>I = Índice de compensação financeira = 0,00016438, assim apurado:</w:t>
      </w:r>
    </w:p>
    <w:tbl>
      <w:tblPr>
        <w:tblStyle w:val="TableNormal0"/>
        <w:tblW w:w="8862" w:type="dxa"/>
        <w:tblInd w:w="922" w:type="dxa"/>
        <w:tblCellMar>
          <w:left w:w="108" w:type="dxa"/>
          <w:right w:w="108" w:type="dxa"/>
        </w:tblCellMar>
        <w:tblLook w:val="0000" w:firstRow="0" w:lastRow="0" w:firstColumn="0" w:lastColumn="0" w:noHBand="0" w:noVBand="0"/>
      </w:tblPr>
      <w:tblGrid>
        <w:gridCol w:w="2213"/>
        <w:gridCol w:w="588"/>
        <w:gridCol w:w="1276"/>
        <w:gridCol w:w="4785"/>
      </w:tblGrid>
      <w:tr w:rsidR="00967E25" w:rsidTr="00277921">
        <w:tc>
          <w:tcPr>
            <w:tcW w:w="2213" w:type="dxa"/>
            <w:shd w:val="clear" w:color="auto" w:fill="auto"/>
            <w:vAlign w:val="center"/>
          </w:tcPr>
          <w:p w:rsidR="00967E25" w:rsidRDefault="00936B82" w:rsidP="00277921">
            <w:pPr>
              <w:tabs>
                <w:tab w:val="left" w:pos="1701"/>
              </w:tabs>
              <w:jc w:val="both"/>
              <w:rPr>
                <w:rFonts w:ascii="Times New Roman" w:eastAsia="Times New Roman" w:hAnsi="Times New Roman" w:cs="Times New Roman"/>
              </w:rPr>
            </w:pPr>
            <w:r>
              <w:rPr>
                <w:rFonts w:eastAsia="Times New Roman" w:cs="Times New Roman"/>
                <w:sz w:val="24"/>
                <w:szCs w:val="24"/>
              </w:rPr>
              <w:t>I = (TX)</w:t>
            </w:r>
          </w:p>
        </w:tc>
        <w:tc>
          <w:tcPr>
            <w:tcW w:w="588" w:type="dxa"/>
            <w:shd w:val="clear" w:color="auto" w:fill="auto"/>
            <w:vAlign w:val="center"/>
          </w:tcPr>
          <w:p w:rsidR="00967E25" w:rsidRDefault="00936B82" w:rsidP="00277921">
            <w:pPr>
              <w:tabs>
                <w:tab w:val="left" w:pos="1701"/>
              </w:tabs>
              <w:jc w:val="both"/>
              <w:rPr>
                <w:rFonts w:ascii="Times New Roman" w:eastAsia="Times New Roman" w:hAnsi="Times New Roman" w:cs="Times New Roman"/>
              </w:rPr>
            </w:pPr>
            <w:r>
              <w:rPr>
                <w:rFonts w:eastAsia="Times New Roman" w:cs="Times New Roman"/>
                <w:sz w:val="24"/>
                <w:szCs w:val="24"/>
              </w:rPr>
              <w:t>I =</w:t>
            </w:r>
          </w:p>
        </w:tc>
        <w:tc>
          <w:tcPr>
            <w:tcW w:w="1276" w:type="dxa"/>
            <w:tcBorders>
              <w:bottom w:val="single" w:sz="4" w:space="0" w:color="000000"/>
            </w:tcBorders>
            <w:shd w:val="clear" w:color="auto" w:fill="auto"/>
          </w:tcPr>
          <w:p w:rsidR="00967E25" w:rsidRDefault="00936B82" w:rsidP="00277921">
            <w:pPr>
              <w:tabs>
                <w:tab w:val="left" w:pos="1701"/>
              </w:tabs>
              <w:jc w:val="both"/>
              <w:rPr>
                <w:rFonts w:ascii="Times New Roman" w:eastAsia="Times New Roman" w:hAnsi="Times New Roman" w:cs="Times New Roman"/>
              </w:rPr>
            </w:pPr>
            <w:r>
              <w:rPr>
                <w:rFonts w:eastAsia="Times New Roman" w:cs="Times New Roman"/>
                <w:sz w:val="24"/>
                <w:szCs w:val="24"/>
              </w:rPr>
              <w:t>( 6 / 100 )</w:t>
            </w:r>
          </w:p>
        </w:tc>
        <w:tc>
          <w:tcPr>
            <w:tcW w:w="4785" w:type="dxa"/>
            <w:shd w:val="clear" w:color="auto" w:fill="auto"/>
            <w:vAlign w:val="center"/>
          </w:tcPr>
          <w:p w:rsidR="00967E25" w:rsidRDefault="00936B82" w:rsidP="00277921">
            <w:pPr>
              <w:tabs>
                <w:tab w:val="left" w:pos="2443"/>
              </w:tabs>
              <w:ind w:left="742"/>
              <w:jc w:val="both"/>
              <w:rPr>
                <w:rFonts w:ascii="Times New Roman" w:eastAsia="Times New Roman" w:hAnsi="Times New Roman" w:cs="Times New Roman"/>
              </w:rPr>
            </w:pPr>
            <w:r>
              <w:rPr>
                <w:rFonts w:eastAsia="Times New Roman" w:cs="Times New Roman"/>
                <w:sz w:val="24"/>
                <w:szCs w:val="24"/>
              </w:rPr>
              <w:t>I = 0,00016438</w:t>
            </w:r>
          </w:p>
          <w:p w:rsidR="00967E25" w:rsidRDefault="00936B82" w:rsidP="00277921">
            <w:pPr>
              <w:tabs>
                <w:tab w:val="left" w:pos="2443"/>
              </w:tabs>
              <w:ind w:left="742"/>
              <w:jc w:val="both"/>
              <w:rPr>
                <w:rFonts w:ascii="Times New Roman" w:eastAsia="Times New Roman" w:hAnsi="Times New Roman" w:cs="Times New Roman"/>
              </w:rPr>
            </w:pPr>
            <w:r>
              <w:rPr>
                <w:rFonts w:eastAsia="Times New Roman" w:cs="Times New Roman"/>
                <w:sz w:val="24"/>
                <w:szCs w:val="24"/>
              </w:rPr>
              <w:lastRenderedPageBreak/>
              <w:t>TX = Percentual da taxa anual = 6%</w:t>
            </w:r>
          </w:p>
        </w:tc>
      </w:tr>
    </w:tbl>
    <w:p w:rsidR="00967E25" w:rsidRDefault="00936B82" w:rsidP="00277921">
      <w:pPr>
        <w:ind w:left="605"/>
        <w:jc w:val="both"/>
        <w:rPr>
          <w:rFonts w:ascii="Times New Roman" w:eastAsia="Times New Roman" w:hAnsi="Times New Roman" w:cs="Times New Roman"/>
        </w:rPr>
      </w:pPr>
      <w:r>
        <w:rPr>
          <w:rFonts w:eastAsia="Times New Roman" w:cs="Times New Roman"/>
          <w:sz w:val="24"/>
          <w:szCs w:val="24"/>
        </w:rPr>
        <w:lastRenderedPageBreak/>
        <w:t xml:space="preserve">                                                            365</w:t>
      </w:r>
    </w:p>
    <w:p w:rsidR="00967E25" w:rsidRDefault="00967E25" w:rsidP="00277921">
      <w:pPr>
        <w:spacing w:before="57" w:after="57" w:line="276" w:lineRule="auto"/>
        <w:ind w:left="593"/>
        <w:jc w:val="both"/>
        <w:rPr>
          <w:rFonts w:eastAsia="Times New Roman" w:cs="Times New Roman"/>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12.  DO REAJUSTE</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12.1</w:t>
      </w:r>
      <w:r>
        <w:rPr>
          <w:rFonts w:eastAsia="Times New Roman" w:cs="Times New Roman"/>
          <w:sz w:val="24"/>
          <w:szCs w:val="24"/>
        </w:rPr>
        <w:tab/>
        <w:t>Os preços são fixos e irreajustáveis no prazo de um ano contado da data limite para a apresentação das propostas.</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13.  DA GARANTIA DA EXECUÇÃO DO OBJETO</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13.1</w:t>
      </w:r>
      <w:r>
        <w:rPr>
          <w:rFonts w:eastAsia="Times New Roman" w:cs="Times New Roman"/>
          <w:sz w:val="24"/>
          <w:szCs w:val="24"/>
        </w:rPr>
        <w:tab/>
        <w:t>Por se tratar de aquisição de produtos de pronta entrega, não se exigirá garantia contratual para a sua execução.</w:t>
      </w:r>
    </w:p>
    <w:p w:rsidR="00967E25" w:rsidRDefault="00967E25" w:rsidP="00277921">
      <w:pPr>
        <w:spacing w:before="57" w:after="57" w:line="276" w:lineRule="auto"/>
        <w:ind w:left="593"/>
        <w:jc w:val="both"/>
        <w:rPr>
          <w:rFonts w:eastAsia="Times New Roman" w:cs="Times New Roman"/>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14.  DA GARANTIA CONTRATUAL DOS BENS</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bookmarkStart w:id="3" w:name="_heading=h.gjdgxs"/>
      <w:bookmarkEnd w:id="3"/>
      <w:r>
        <w:rPr>
          <w:rFonts w:eastAsia="Times New Roman" w:cs="Times New Roman"/>
          <w:sz w:val="24"/>
          <w:szCs w:val="24"/>
        </w:rPr>
        <w:t>14.1</w:t>
      </w:r>
      <w:r>
        <w:rPr>
          <w:rFonts w:eastAsia="Times New Roman" w:cs="Times New Roman"/>
          <w:sz w:val="24"/>
          <w:szCs w:val="24"/>
        </w:rPr>
        <w:tab/>
        <w:t>O prazo de garantia contratual dos bens, ou de validade, quando previsto, será contado a partir do primeiro dia útil subsequente à data do recebimento definitivo do objeto.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14.2</w:t>
      </w:r>
      <w:r>
        <w:rPr>
          <w:rFonts w:eastAsia="Times New Roman" w:cs="Times New Roman"/>
          <w:sz w:val="24"/>
          <w:szCs w:val="24"/>
        </w:rPr>
        <w:tab/>
        <w:t>A garantia será prestada com vistas a manter os equipamentos fornecidos em perfeitas condições de uso, sem qualquer ônus ou custo adicional para o Contratante.</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14.3</w:t>
      </w:r>
      <w:r>
        <w:rPr>
          <w:rFonts w:eastAsia="Times New Roman" w:cs="Times New Roman"/>
          <w:sz w:val="24"/>
          <w:szCs w:val="24"/>
        </w:rPr>
        <w:tab/>
        <w:t>A garantia abrange a realização da manutenção corretiva dos bens pela própria Contratada, ou, se for o caso, por meio de assistência técnica autorizada, de acordo com as normas técnicas específicas.</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14.4</w:t>
      </w:r>
      <w:r>
        <w:rPr>
          <w:rFonts w:eastAsia="Times New Roman" w:cs="Times New Roman"/>
          <w:sz w:val="24"/>
          <w:szCs w:val="24"/>
        </w:rPr>
        <w:tab/>
        <w:t>Entende-se por manutenção corretiva aquela destinada a corrigir os defeitos apresentados pelos bens, compreendendo a substituição de peças, a realização de ajustes, reparos e correções necessárias.</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14.5</w:t>
      </w:r>
      <w:r>
        <w:rPr>
          <w:rFonts w:eastAsia="Times New Roman" w:cs="Times New Roman"/>
          <w:sz w:val="24"/>
          <w:szCs w:val="24"/>
        </w:rPr>
        <w:tab/>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14.6</w:t>
      </w:r>
      <w:r>
        <w:rPr>
          <w:rFonts w:eastAsia="Times New Roman" w:cs="Times New Roman"/>
          <w:sz w:val="24"/>
          <w:szCs w:val="24"/>
        </w:rPr>
        <w:tab/>
        <w:t>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14.7</w:t>
      </w:r>
      <w:r>
        <w:rPr>
          <w:rFonts w:eastAsia="Times New Roman" w:cs="Times New Roman"/>
          <w:sz w:val="24"/>
          <w:szCs w:val="24"/>
        </w:rPr>
        <w:tab/>
        <w:t>O custo referente ao transporte dos equipamentos cobertos pela garantia será de responsabilidade da Contratada.</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lastRenderedPageBreak/>
        <w:t>14.8</w:t>
      </w:r>
      <w:r>
        <w:rPr>
          <w:rFonts w:eastAsia="Times New Roman" w:cs="Times New Roman"/>
          <w:sz w:val="24"/>
          <w:szCs w:val="24"/>
        </w:rPr>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b/>
        </w:rPr>
      </w:pPr>
      <w:r>
        <w:rPr>
          <w:rFonts w:eastAsia="Times New Roman" w:cs="Times New Roman"/>
          <w:b/>
          <w:sz w:val="24"/>
          <w:szCs w:val="24"/>
        </w:rPr>
        <w:t>15. DOS CRITÉRIOS DE SUSTENTABILIDADE</w:t>
      </w:r>
    </w:p>
    <w:p w:rsidR="00967E25" w:rsidRDefault="00967E25" w:rsidP="00277921">
      <w:pPr>
        <w:spacing w:before="57" w:after="57" w:line="276" w:lineRule="auto"/>
        <w:ind w:left="605"/>
        <w:jc w:val="both"/>
        <w:rPr>
          <w:rFonts w:eastAsia="Times New Roman" w:cs="Times New Roman"/>
          <w:b/>
          <w:sz w:val="24"/>
          <w:szCs w:val="24"/>
        </w:rPr>
      </w:pPr>
    </w:p>
    <w:p w:rsidR="00967E25" w:rsidRDefault="00936B82" w:rsidP="00277921">
      <w:pPr>
        <w:spacing w:before="57" w:after="57" w:line="276" w:lineRule="auto"/>
        <w:ind w:left="605"/>
        <w:jc w:val="both"/>
        <w:rPr>
          <w:rFonts w:ascii="Times New Roman" w:eastAsia="Times New Roman" w:hAnsi="Times New Roman" w:cs="Times New Roman"/>
        </w:rPr>
      </w:pPr>
      <w:r>
        <w:rPr>
          <w:rFonts w:eastAsia="Times New Roman" w:cs="Times New Roman"/>
          <w:sz w:val="24"/>
          <w:szCs w:val="24"/>
        </w:rPr>
        <w:t>15.1</w:t>
      </w:r>
      <w:r>
        <w:rPr>
          <w:rFonts w:eastAsia="Times New Roman" w:cs="Times New Roman"/>
          <w:b/>
          <w:sz w:val="24"/>
          <w:szCs w:val="24"/>
        </w:rPr>
        <w:t xml:space="preserve"> </w:t>
      </w:r>
      <w:r>
        <w:rPr>
          <w:rFonts w:eastAsia="Times New Roman" w:cs="Times New Roman"/>
          <w:sz w:val="24"/>
          <w:szCs w:val="24"/>
        </w:rPr>
        <w:t>A licitante que tiver sua proposta selecionada deverá estar ciente da obrigatoriedade em atender aos critérios e políticas de sustentabilidade conforme estabelece o Guia Nacional de Licitações Sustentáveis, disponibilizado pela Consultoria-Geral da União, o Decreto 7746/12, conforme segue:</w:t>
      </w:r>
    </w:p>
    <w:p w:rsidR="00967E25" w:rsidRDefault="00936B82" w:rsidP="00277921">
      <w:pPr>
        <w:spacing w:after="57" w:line="276" w:lineRule="auto"/>
        <w:ind w:left="605" w:firstLine="720"/>
        <w:jc w:val="both"/>
        <w:rPr>
          <w:rFonts w:ascii="Times New Roman" w:eastAsia="Times New Roman" w:hAnsi="Times New Roman" w:cs="Times New Roman"/>
        </w:rPr>
      </w:pPr>
      <w:r>
        <w:rPr>
          <w:rFonts w:eastAsia="Times New Roman" w:cs="Times New Roman"/>
          <w:sz w:val="24"/>
          <w:szCs w:val="24"/>
        </w:rPr>
        <w:t>a) Os itens a serem entregues são constituídos, ao menos em parte, de material ou reciclado, ou atóxico, ou biodegradável, conforme ABNT 15448-1 e 15448-2;</w:t>
      </w:r>
    </w:p>
    <w:p w:rsidR="00967E25" w:rsidRDefault="00936B82" w:rsidP="00277921">
      <w:pPr>
        <w:spacing w:after="57" w:line="276" w:lineRule="auto"/>
        <w:ind w:left="605" w:firstLine="720"/>
        <w:jc w:val="both"/>
        <w:rPr>
          <w:rFonts w:ascii="Times New Roman" w:eastAsia="Times New Roman" w:hAnsi="Times New Roman" w:cs="Times New Roman"/>
        </w:rPr>
      </w:pPr>
      <w:r>
        <w:rPr>
          <w:rFonts w:eastAsia="Times New Roman" w:cs="Times New Roman"/>
          <w:sz w:val="24"/>
          <w:szCs w:val="24"/>
        </w:rPr>
        <w:t>b) Possui certificação do Instituto Nacional de Metrologia, Normalização e Qualidade Industrial – INMETRO classificando os produtos como sustentáveis ou de menor impacto ambiental em relação aos seus similares;</w:t>
      </w:r>
    </w:p>
    <w:p w:rsidR="00967E25" w:rsidRDefault="00936B82" w:rsidP="00277921">
      <w:pPr>
        <w:spacing w:after="57" w:line="276" w:lineRule="auto"/>
        <w:ind w:left="605" w:firstLine="734"/>
        <w:jc w:val="both"/>
        <w:rPr>
          <w:rFonts w:ascii="Times New Roman" w:eastAsia="Times New Roman" w:hAnsi="Times New Roman" w:cs="Times New Roman"/>
        </w:rPr>
      </w:pPr>
      <w:r>
        <w:rPr>
          <w:rFonts w:eastAsia="Times New Roman" w:cs="Times New Roman"/>
          <w:sz w:val="24"/>
          <w:szCs w:val="24"/>
        </w:rPr>
        <w:t>c) Utilizará embalagens individuais adequadas para acondicionar e transportar os itens adquiridos, utilizando materiais recicláveis, de forma a garantir a máxima proteção durante o transporte e armazenamento;</w:t>
      </w:r>
    </w:p>
    <w:p w:rsidR="00967E25" w:rsidRDefault="00936B82" w:rsidP="00277921">
      <w:pPr>
        <w:spacing w:after="57" w:line="276" w:lineRule="auto"/>
        <w:ind w:left="605" w:firstLine="734"/>
        <w:jc w:val="both"/>
        <w:rPr>
          <w:rFonts w:ascii="Times New Roman" w:eastAsia="Times New Roman" w:hAnsi="Times New Roman" w:cs="Times New Roman"/>
        </w:rPr>
      </w:pPr>
      <w:r>
        <w:rPr>
          <w:rFonts w:eastAsia="Times New Roman" w:cs="Times New Roman"/>
          <w:sz w:val="24"/>
          <w:szCs w:val="24"/>
        </w:rPr>
        <w:t>d)</w:t>
      </w:r>
      <w:r>
        <w:rPr>
          <w:rFonts w:eastAsia="Times New Roman" w:cs="Times New Roman"/>
          <w:sz w:val="24"/>
          <w:szCs w:val="24"/>
        </w:rPr>
        <w:tab/>
        <w:t>Os bens a serem entregues não contêm substâncias perigosas em concentração acima da recomendada na diretiva RoHS (Restriction of  Certain Hazardous Substances), tais como mercúrio (Hg), chumbo (Pb), cromo hexavalente (Cr(VI)), cádmio (Cd), bifenil-polibromados (PBBs), éteres difenil-polibromados (PBDEs).</w:t>
      </w:r>
    </w:p>
    <w:p w:rsidR="00967E25" w:rsidRDefault="00967E25" w:rsidP="00277921">
      <w:pPr>
        <w:spacing w:after="57" w:line="276" w:lineRule="auto"/>
        <w:ind w:left="605"/>
        <w:jc w:val="both"/>
        <w:rPr>
          <w:rFonts w:eastAsia="Times New Roman" w:cs="Times New Roman"/>
          <w:sz w:val="24"/>
          <w:szCs w:val="24"/>
        </w:rPr>
      </w:pPr>
    </w:p>
    <w:p w:rsidR="00967E25" w:rsidRDefault="00967E25" w:rsidP="00277921">
      <w:pPr>
        <w:spacing w:after="57" w:line="276" w:lineRule="auto"/>
        <w:ind w:left="605"/>
        <w:jc w:val="both"/>
        <w:rPr>
          <w:rFonts w:eastAsia="Times New Roman" w:cs="Times New Roman"/>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16.  DAS SANÇÕES ADMINISTRATIVAS</w:t>
      </w:r>
    </w:p>
    <w:p w:rsidR="00967E25" w:rsidRDefault="00967E25" w:rsidP="00277921">
      <w:pPr>
        <w:spacing w:before="57" w:after="57" w:line="276" w:lineRule="auto"/>
        <w:ind w:left="593"/>
        <w:jc w:val="both"/>
        <w:rPr>
          <w:rFonts w:eastAsia="Times New Roman" w:cs="Times New Roman"/>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16.1</w:t>
      </w:r>
      <w:r>
        <w:rPr>
          <w:rFonts w:eastAsia="Times New Roman" w:cs="Times New Roman"/>
          <w:sz w:val="24"/>
          <w:szCs w:val="24"/>
        </w:rPr>
        <w:tab/>
        <w:t>Comete infração administrativa nos termos da Lei nº 14.133, de 2021, a licitante ou contratada que:</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16.1.1</w:t>
      </w:r>
      <w:r>
        <w:rPr>
          <w:rFonts w:eastAsia="Times New Roman" w:cs="Times New Roman"/>
          <w:sz w:val="24"/>
          <w:szCs w:val="24"/>
        </w:rPr>
        <w:tab/>
        <w:t>dar causa à inexecução parcial do contrato;</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16.1.2</w:t>
      </w:r>
      <w:r>
        <w:rPr>
          <w:rFonts w:eastAsia="Times New Roman" w:cs="Times New Roman"/>
          <w:sz w:val="24"/>
          <w:szCs w:val="24"/>
        </w:rPr>
        <w:tab/>
        <w:t>dar causa à inexecução parcial do contrato que cause grave dano à Administração, ao funcionamento dos serviços públicos ou ao interesse coletivo;</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16.1.3</w:t>
      </w:r>
      <w:r>
        <w:rPr>
          <w:rFonts w:eastAsia="Times New Roman" w:cs="Times New Roman"/>
          <w:sz w:val="24"/>
          <w:szCs w:val="24"/>
        </w:rPr>
        <w:tab/>
        <w:t>dar causa à inexecução total do contrato;</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16.1.4</w:t>
      </w:r>
      <w:r>
        <w:rPr>
          <w:rFonts w:eastAsia="Times New Roman" w:cs="Times New Roman"/>
          <w:sz w:val="24"/>
          <w:szCs w:val="24"/>
        </w:rPr>
        <w:tab/>
        <w:t>deixar de entregar a documentação exigida para o certame;</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16.1.5</w:t>
      </w:r>
      <w:r>
        <w:rPr>
          <w:rFonts w:eastAsia="Times New Roman" w:cs="Times New Roman"/>
          <w:sz w:val="24"/>
          <w:szCs w:val="24"/>
        </w:rPr>
        <w:tab/>
        <w:t>não manter a proposta, salvo em decorrência de fato superveniente devidamente justificado;</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lastRenderedPageBreak/>
        <w:t>16.1.6</w:t>
      </w:r>
      <w:r>
        <w:rPr>
          <w:rFonts w:eastAsia="Times New Roman" w:cs="Times New Roman"/>
          <w:sz w:val="24"/>
          <w:szCs w:val="24"/>
        </w:rPr>
        <w:tab/>
        <w:t>não celebrar o contrato ou não entregar a documentação exigida para a contratação, quando convocado dentro do prazo de validade de sua proposta;</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16.1.7</w:t>
      </w:r>
      <w:r>
        <w:rPr>
          <w:rFonts w:eastAsia="Times New Roman" w:cs="Times New Roman"/>
          <w:sz w:val="24"/>
          <w:szCs w:val="24"/>
        </w:rPr>
        <w:tab/>
        <w:t>ensejar o retardamento da execução ou da entrega do objeto da licitação sem motivo justificado;</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16.1.8</w:t>
      </w:r>
      <w:r>
        <w:rPr>
          <w:rFonts w:eastAsia="Times New Roman" w:cs="Times New Roman"/>
          <w:sz w:val="24"/>
          <w:szCs w:val="24"/>
        </w:rPr>
        <w:tab/>
        <w:t>apresentar declaração ou documentação falsa exigida para o certame ou prestar declaração falsa durante a licitação ou a execução do contrato;</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16.1.9</w:t>
      </w:r>
      <w:r>
        <w:rPr>
          <w:rFonts w:eastAsia="Times New Roman" w:cs="Times New Roman"/>
          <w:sz w:val="24"/>
          <w:szCs w:val="24"/>
        </w:rPr>
        <w:tab/>
        <w:t>fraudar a licitação ou praticar ato fraudulento na execução do contrato;</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16.1.10</w:t>
      </w:r>
      <w:r>
        <w:rPr>
          <w:rFonts w:eastAsia="Times New Roman" w:cs="Times New Roman"/>
          <w:sz w:val="24"/>
          <w:szCs w:val="24"/>
        </w:rPr>
        <w:tab/>
        <w:t>comportar-se de modo inidôneo ou cometer fraude de qualquer natureza;</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16.1.10.1</w:t>
      </w:r>
      <w:r>
        <w:rPr>
          <w:rFonts w:eastAsia="Times New Roman" w:cs="Times New Roman"/>
          <w:sz w:val="24"/>
          <w:szCs w:val="24"/>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16.1.11</w:t>
      </w:r>
      <w:r>
        <w:rPr>
          <w:rFonts w:eastAsia="Times New Roman" w:cs="Times New Roman"/>
          <w:sz w:val="24"/>
          <w:szCs w:val="24"/>
        </w:rPr>
        <w:tab/>
        <w:t>praticar atos ilícitos com vistas a frustrar os objetivos da licitação;</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16.1.12</w:t>
      </w:r>
      <w:r>
        <w:rPr>
          <w:rFonts w:eastAsia="Times New Roman" w:cs="Times New Roman"/>
          <w:sz w:val="24"/>
          <w:szCs w:val="24"/>
        </w:rPr>
        <w:tab/>
        <w:t>praticar ato lesivo previsto no art. 5º da Lei nº 12.846, de 1º de agosto de 2013.</w:t>
      </w:r>
    </w:p>
    <w:p w:rsidR="00967E25" w:rsidRDefault="00967E25" w:rsidP="00277921">
      <w:pPr>
        <w:spacing w:before="120" w:after="120" w:line="276" w:lineRule="auto"/>
        <w:ind w:left="1739"/>
        <w:jc w:val="both"/>
        <w:rPr>
          <w:rFonts w:eastAsia="Times New Roman" w:cs="Times New Roman"/>
          <w:sz w:val="24"/>
          <w:szCs w:val="24"/>
        </w:rPr>
      </w:pP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16.2</w:t>
      </w:r>
      <w:r>
        <w:rPr>
          <w:rFonts w:eastAsia="Times New Roman" w:cs="Times New Roman"/>
          <w:sz w:val="24"/>
          <w:szCs w:val="24"/>
        </w:rPr>
        <w:tab/>
        <w:t>O licitante, o adjudicatário e fornecedor que durante o procedimento licitatório ou durante a execução do contrato, tenha praticado quaisquer dos atos previstos nos subitens anteriores ficará sujeito, sem prejuízo das responsabilidade civil e criminal, às seguintes sanções:</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16.2.1</w:t>
      </w:r>
      <w:r>
        <w:rPr>
          <w:rFonts w:eastAsia="Times New Roman" w:cs="Times New Roman"/>
          <w:sz w:val="24"/>
          <w:szCs w:val="24"/>
        </w:rPr>
        <w:tab/>
        <w:t>Advertência;</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16.2.1.1</w:t>
      </w:r>
      <w:r>
        <w:rPr>
          <w:rFonts w:eastAsia="Times New Roman" w:cs="Times New Roman"/>
          <w:sz w:val="24"/>
          <w:szCs w:val="24"/>
        </w:rPr>
        <w:tab/>
        <w:t>Nos casos de faltas leves, assim entendidas aquelas que não acarretem prejuízos significativos para a Contratante;</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16.2.2</w:t>
      </w:r>
      <w:r>
        <w:rPr>
          <w:rFonts w:eastAsia="Times New Roman" w:cs="Times New Roman"/>
          <w:sz w:val="24"/>
          <w:szCs w:val="24"/>
        </w:rPr>
        <w:tab/>
        <w:t>multa;</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16.2.2.1</w:t>
      </w:r>
      <w:r>
        <w:rPr>
          <w:rFonts w:eastAsia="Times New Roman" w:cs="Times New Roman"/>
          <w:sz w:val="24"/>
          <w:szCs w:val="24"/>
        </w:rPr>
        <w:tab/>
        <w:t xml:space="preserve"> moratória de </w:t>
      </w:r>
      <w:r>
        <w:rPr>
          <w:rFonts w:eastAsia="Times New Roman" w:cs="Times New Roman"/>
          <w:b/>
          <w:sz w:val="24"/>
          <w:szCs w:val="24"/>
        </w:rPr>
        <w:t>0,33%</w:t>
      </w:r>
      <w:r>
        <w:rPr>
          <w:rFonts w:eastAsia="Times New Roman" w:cs="Times New Roman"/>
          <w:sz w:val="24"/>
          <w:szCs w:val="24"/>
        </w:rPr>
        <w:t xml:space="preserve"> (zero ponto trinta e três) por cento por dia de atraso injustificado sobre o valor da parcela inadimplida, até o limite de 60 (sessenta) dias;</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16.2.2.2</w:t>
      </w:r>
      <w:r>
        <w:rPr>
          <w:rFonts w:eastAsia="Times New Roman" w:cs="Times New Roman"/>
          <w:sz w:val="24"/>
          <w:szCs w:val="24"/>
        </w:rPr>
        <w:tab/>
        <w:t xml:space="preserve">multa compensatória de </w:t>
      </w:r>
      <w:r>
        <w:rPr>
          <w:rFonts w:eastAsia="Times New Roman" w:cs="Times New Roman"/>
          <w:b/>
          <w:sz w:val="24"/>
          <w:szCs w:val="24"/>
        </w:rPr>
        <w:t>5,00%</w:t>
      </w:r>
      <w:r>
        <w:rPr>
          <w:rFonts w:eastAsia="Times New Roman" w:cs="Times New Roman"/>
          <w:sz w:val="24"/>
          <w:szCs w:val="24"/>
        </w:rPr>
        <w:t xml:space="preserve"> (cinco por cento) sobre o valor total do contrato, no caso de inexecução total do objeto. Em caso de inexecução parcial, a multa compensatória, no mesmo percentual do subitem acima, será aplicada de forma proporcional à obrigação inadimplida;</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16.2.3</w:t>
      </w:r>
      <w:r>
        <w:rPr>
          <w:rFonts w:eastAsia="Times New Roman" w:cs="Times New Roman"/>
          <w:sz w:val="24"/>
          <w:szCs w:val="24"/>
        </w:rPr>
        <w:tab/>
        <w:t>impedimento de licitar e contratar;</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lastRenderedPageBreak/>
        <w:t>16.2.4</w:t>
      </w:r>
      <w:r>
        <w:rPr>
          <w:rFonts w:eastAsia="Times New Roman" w:cs="Times New Roman"/>
          <w:sz w:val="24"/>
          <w:szCs w:val="24"/>
        </w:rPr>
        <w:tab/>
        <w:t>declaração de inidoneidade para licitar e contratar;</w:t>
      </w: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16.3</w:t>
      </w:r>
      <w:r>
        <w:rPr>
          <w:rFonts w:eastAsia="Times New Roman" w:cs="Times New Roman"/>
          <w:sz w:val="24"/>
          <w:szCs w:val="24"/>
        </w:rPr>
        <w:tab/>
        <w:t xml:space="preserve">A Sanção de </w:t>
      </w:r>
      <w:r>
        <w:rPr>
          <w:rFonts w:eastAsia="Times New Roman" w:cs="Times New Roman"/>
          <w:b/>
          <w:sz w:val="24"/>
          <w:szCs w:val="24"/>
        </w:rPr>
        <w:t>advertência</w:t>
      </w:r>
      <w:r>
        <w:rPr>
          <w:rFonts w:eastAsia="Times New Roman" w:cs="Times New Roman"/>
          <w:sz w:val="24"/>
          <w:szCs w:val="24"/>
        </w:rPr>
        <w:t xml:space="preserve"> será aplicada exclusivamente pela infração administrativa de </w:t>
      </w:r>
      <w:r>
        <w:rPr>
          <w:rFonts w:eastAsia="Times New Roman" w:cs="Times New Roman"/>
          <w:b/>
          <w:sz w:val="24"/>
          <w:szCs w:val="24"/>
        </w:rPr>
        <w:t>dar causa à inexecução parcial do contrato,</w:t>
      </w:r>
      <w:r>
        <w:rPr>
          <w:rFonts w:eastAsia="Times New Roman" w:cs="Times New Roman"/>
          <w:sz w:val="24"/>
          <w:szCs w:val="24"/>
        </w:rPr>
        <w:t xml:space="preserve"> quando não se justificar a imposição de penalidade mais grave.</w:t>
      </w: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16.4</w:t>
      </w:r>
      <w:r>
        <w:rPr>
          <w:rFonts w:eastAsia="Times New Roman" w:cs="Times New Roman"/>
          <w:sz w:val="24"/>
          <w:szCs w:val="24"/>
        </w:rPr>
        <w:tab/>
        <w:t xml:space="preserve">A sanção de </w:t>
      </w:r>
      <w:r>
        <w:rPr>
          <w:rFonts w:eastAsia="Times New Roman" w:cs="Times New Roman"/>
          <w:b/>
          <w:sz w:val="24"/>
          <w:szCs w:val="24"/>
        </w:rPr>
        <w:t>multa</w:t>
      </w:r>
      <w:r>
        <w:rPr>
          <w:rFonts w:eastAsia="Times New Roman" w:cs="Times New Roman"/>
          <w:sz w:val="24"/>
          <w:szCs w:val="24"/>
        </w:rPr>
        <w:t xml:space="preserve">, a ser calculada na forma previamente demonstrada, será aplicada por </w:t>
      </w:r>
      <w:r>
        <w:rPr>
          <w:rFonts w:eastAsia="Times New Roman" w:cs="Times New Roman"/>
          <w:b/>
          <w:sz w:val="24"/>
          <w:szCs w:val="24"/>
        </w:rPr>
        <w:t>quaisquer das infrações administrativas previstas no item 16.1</w:t>
      </w:r>
      <w:r>
        <w:rPr>
          <w:rFonts w:eastAsia="Times New Roman" w:cs="Times New Roman"/>
          <w:sz w:val="24"/>
          <w:szCs w:val="24"/>
        </w:rPr>
        <w:t xml:space="preserve"> deste Termo de Referência.</w:t>
      </w: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16.5</w:t>
      </w:r>
      <w:r>
        <w:rPr>
          <w:rFonts w:eastAsia="Times New Roman" w:cs="Times New Roman"/>
          <w:sz w:val="24"/>
          <w:szCs w:val="24"/>
        </w:rPr>
        <w:tab/>
        <w:t xml:space="preserve">A sanção de </w:t>
      </w:r>
      <w:r>
        <w:rPr>
          <w:rFonts w:eastAsia="Times New Roman" w:cs="Times New Roman"/>
          <w:b/>
          <w:sz w:val="24"/>
          <w:szCs w:val="24"/>
        </w:rPr>
        <w:t xml:space="preserve">impedimento de licitar e contratar </w:t>
      </w:r>
      <w:r>
        <w:rPr>
          <w:rFonts w:eastAsia="Times New Roman" w:cs="Times New Roman"/>
          <w:sz w:val="24"/>
          <w:szCs w:val="24"/>
        </w:rPr>
        <w:t xml:space="preserve">no âmbito da Administração Pública direta e indireta do ente federativo que tiver aplicado a sanção, pelo </w:t>
      </w:r>
      <w:r>
        <w:rPr>
          <w:rFonts w:eastAsia="Times New Roman" w:cs="Times New Roman"/>
          <w:b/>
          <w:sz w:val="24"/>
          <w:szCs w:val="24"/>
        </w:rPr>
        <w:t>prazo máximo de 03 (três) anos</w:t>
      </w:r>
      <w:r>
        <w:rPr>
          <w:rFonts w:eastAsia="Times New Roman" w:cs="Times New Roman"/>
          <w:sz w:val="24"/>
          <w:szCs w:val="24"/>
        </w:rPr>
        <w:t>, será aplicada quando ocorrer as seguintes infrações administrativas, salvo quando não se justificar a imposição de penalidade mais grave:</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16.5.1</w:t>
      </w:r>
      <w:r>
        <w:rPr>
          <w:rFonts w:eastAsia="Times New Roman" w:cs="Times New Roman"/>
          <w:sz w:val="24"/>
          <w:szCs w:val="24"/>
        </w:rPr>
        <w:tab/>
        <w:t>dar causa à inexecução parcial do contrato que cause grave dano à Administração, ao funcionamento dos serviços públicos ou ao interesse coletivo;</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16.5.2</w:t>
      </w:r>
      <w:r>
        <w:rPr>
          <w:rFonts w:eastAsia="Times New Roman" w:cs="Times New Roman"/>
          <w:sz w:val="24"/>
          <w:szCs w:val="24"/>
        </w:rPr>
        <w:tab/>
        <w:t>dar causa à inexecução total do contrato;</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16.5.3</w:t>
      </w:r>
      <w:r>
        <w:rPr>
          <w:rFonts w:eastAsia="Times New Roman" w:cs="Times New Roman"/>
          <w:sz w:val="24"/>
          <w:szCs w:val="24"/>
        </w:rPr>
        <w:tab/>
        <w:t>deixar de entregar a documentação exigida para o certame;</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16.5.4</w:t>
      </w:r>
      <w:r>
        <w:rPr>
          <w:rFonts w:eastAsia="Times New Roman" w:cs="Times New Roman"/>
          <w:sz w:val="24"/>
          <w:szCs w:val="24"/>
        </w:rPr>
        <w:tab/>
        <w:t>não manter a proposta, salvo em decorrência de fato superveniente devidamente justificado;</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16.5.5</w:t>
      </w:r>
      <w:r>
        <w:rPr>
          <w:rFonts w:eastAsia="Times New Roman" w:cs="Times New Roman"/>
          <w:sz w:val="24"/>
          <w:szCs w:val="24"/>
        </w:rPr>
        <w:tab/>
        <w:t>não celebrar o contrato ou não entregar a documentação exigida para a contratação, quando convocado dentro do prazo de validade de sua proposta;</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16.5.6</w:t>
      </w:r>
      <w:r>
        <w:rPr>
          <w:rFonts w:eastAsia="Times New Roman" w:cs="Times New Roman"/>
          <w:sz w:val="24"/>
          <w:szCs w:val="24"/>
        </w:rPr>
        <w:tab/>
        <w:t>ensejar o retardamento da execução ou da entrega do objeto da licitação sem motivo justificado;</w:t>
      </w: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16.6</w:t>
      </w:r>
      <w:r>
        <w:rPr>
          <w:rFonts w:eastAsia="Times New Roman" w:cs="Times New Roman"/>
          <w:sz w:val="24"/>
          <w:szCs w:val="24"/>
        </w:rPr>
        <w:tab/>
        <w:t xml:space="preserve">A sanção de </w:t>
      </w:r>
      <w:r>
        <w:rPr>
          <w:rFonts w:eastAsia="Times New Roman" w:cs="Times New Roman"/>
          <w:b/>
          <w:sz w:val="24"/>
          <w:szCs w:val="24"/>
        </w:rPr>
        <w:t xml:space="preserve">declaração de inidoneidade para licitar e contratar </w:t>
      </w:r>
      <w:r>
        <w:rPr>
          <w:rFonts w:eastAsia="Times New Roman" w:cs="Times New Roman"/>
          <w:sz w:val="24"/>
          <w:szCs w:val="24"/>
        </w:rPr>
        <w:t xml:space="preserve">no âmbito da Administração Pública direta e indireta do todos os entes federativos, pelo </w:t>
      </w:r>
      <w:r>
        <w:rPr>
          <w:rFonts w:eastAsia="Times New Roman" w:cs="Times New Roman"/>
          <w:b/>
          <w:sz w:val="24"/>
          <w:szCs w:val="24"/>
        </w:rPr>
        <w:t>prazo mínimo de 03 (três) anos e máximo de 06 (seis) anos</w:t>
      </w:r>
      <w:r>
        <w:rPr>
          <w:rFonts w:eastAsia="Times New Roman" w:cs="Times New Roman"/>
          <w:sz w:val="24"/>
          <w:szCs w:val="24"/>
        </w:rPr>
        <w:t>, será aplicada nos casos previstos no item 16.5.1 à 16.5.6, quando justificada a imposição da penalidade mais grave; e nas demais situações, quando ocorrer as seguintes infrações administrativas:</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 xml:space="preserve">16.6.1 </w:t>
      </w:r>
      <w:r>
        <w:rPr>
          <w:rFonts w:eastAsia="Times New Roman" w:cs="Times New Roman"/>
          <w:sz w:val="24"/>
          <w:szCs w:val="24"/>
        </w:rPr>
        <w:tab/>
        <w:t>apresentar declaração ou documentação falsa exigida para o certame ou prestar declaração falsa durante a licitação ou a execução do contrato;</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16.1.2</w:t>
      </w:r>
      <w:r>
        <w:rPr>
          <w:rFonts w:eastAsia="Times New Roman" w:cs="Times New Roman"/>
          <w:sz w:val="24"/>
          <w:szCs w:val="24"/>
        </w:rPr>
        <w:tab/>
        <w:t>fraudar a licitação ou praticar ato fraudulento na execução do contrato;</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16.1.3</w:t>
      </w:r>
      <w:r>
        <w:rPr>
          <w:rFonts w:eastAsia="Times New Roman" w:cs="Times New Roman"/>
          <w:sz w:val="24"/>
          <w:szCs w:val="24"/>
        </w:rPr>
        <w:tab/>
        <w:t>comportar-se de modo inidôneo ou cometer fraude de qualquer natureza;</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16.1.4</w:t>
      </w:r>
      <w:r>
        <w:rPr>
          <w:rFonts w:eastAsia="Times New Roman" w:cs="Times New Roman"/>
          <w:sz w:val="24"/>
          <w:szCs w:val="24"/>
        </w:rPr>
        <w:tab/>
        <w:t>praticar atos ilícitos com vistas a frustrar os objetivos da licitação;</w:t>
      </w:r>
    </w:p>
    <w:p w:rsidR="00967E25" w:rsidRDefault="00936B82" w:rsidP="00277921">
      <w:pPr>
        <w:numPr>
          <w:ilvl w:val="2"/>
          <w:numId w:val="8"/>
        </w:numPr>
        <w:spacing w:before="120" w:after="120" w:line="276" w:lineRule="auto"/>
        <w:ind w:left="2459"/>
        <w:jc w:val="both"/>
        <w:rPr>
          <w:rFonts w:ascii="Times New Roman" w:eastAsia="Times New Roman" w:hAnsi="Times New Roman" w:cs="Times New Roman"/>
        </w:rPr>
      </w:pPr>
      <w:r>
        <w:rPr>
          <w:rFonts w:eastAsia="Times New Roman" w:cs="Times New Roman"/>
          <w:sz w:val="24"/>
          <w:szCs w:val="24"/>
        </w:rPr>
        <w:lastRenderedPageBreak/>
        <w:tab/>
        <w:t>praticar ato lesivo previsto no art. 5º da Lei nº 12.846, de 1º de agosto de 2013.</w:t>
      </w: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16.7</w:t>
      </w:r>
      <w:r>
        <w:rPr>
          <w:rFonts w:eastAsia="Times New Roman" w:cs="Times New Roman"/>
          <w:sz w:val="24"/>
          <w:szCs w:val="24"/>
        </w:rPr>
        <w:tab/>
        <w:t>Na aplicação das sanções serão considerados:</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16.7.1</w:t>
      </w:r>
      <w:r>
        <w:rPr>
          <w:rFonts w:eastAsia="Times New Roman" w:cs="Times New Roman"/>
          <w:sz w:val="24"/>
          <w:szCs w:val="24"/>
        </w:rPr>
        <w:tab/>
        <w:t>a natureza e a gravidade da infração cometida;</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16.7.2</w:t>
      </w:r>
      <w:r>
        <w:rPr>
          <w:rFonts w:eastAsia="Times New Roman" w:cs="Times New Roman"/>
          <w:sz w:val="24"/>
          <w:szCs w:val="24"/>
        </w:rPr>
        <w:tab/>
        <w:t>as peculiaridades do caso concreto;</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16.7.3</w:t>
      </w:r>
      <w:r>
        <w:rPr>
          <w:rFonts w:eastAsia="Times New Roman" w:cs="Times New Roman"/>
          <w:sz w:val="24"/>
          <w:szCs w:val="24"/>
        </w:rPr>
        <w:tab/>
        <w:t>as circunstâncias agravantes ou atenuantes;</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16.7.4</w:t>
      </w:r>
      <w:r>
        <w:rPr>
          <w:rFonts w:eastAsia="Times New Roman" w:cs="Times New Roman"/>
          <w:sz w:val="24"/>
          <w:szCs w:val="24"/>
        </w:rPr>
        <w:tab/>
        <w:t>os danos que dela provierem para a Administração Pública;</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16.7.5</w:t>
      </w:r>
      <w:r>
        <w:rPr>
          <w:rFonts w:eastAsia="Times New Roman" w:cs="Times New Roman"/>
          <w:sz w:val="24"/>
          <w:szCs w:val="24"/>
        </w:rPr>
        <w:tab/>
        <w:t>a implantação ou o aperfeiçoamento de programa de integridade, conforme normas e orientações dos órgãos de controle;</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16.7.6</w:t>
      </w:r>
      <w:r>
        <w:rPr>
          <w:rFonts w:eastAsia="Times New Roman" w:cs="Times New Roman"/>
          <w:sz w:val="24"/>
          <w:szCs w:val="24"/>
        </w:rPr>
        <w:tab/>
        <w:t>o caráter educativo da pena;</w:t>
      </w:r>
    </w:p>
    <w:p w:rsidR="00967E25" w:rsidRDefault="00936B82" w:rsidP="00277921">
      <w:pPr>
        <w:spacing w:before="120" w:after="120" w:line="276" w:lineRule="auto"/>
        <w:ind w:left="1739"/>
        <w:jc w:val="both"/>
        <w:rPr>
          <w:rFonts w:ascii="Times New Roman" w:eastAsia="Times New Roman" w:hAnsi="Times New Roman" w:cs="Times New Roman"/>
        </w:rPr>
      </w:pPr>
      <w:r>
        <w:rPr>
          <w:rFonts w:eastAsia="Times New Roman" w:cs="Times New Roman"/>
          <w:sz w:val="24"/>
          <w:szCs w:val="24"/>
        </w:rPr>
        <w:t>16.7.7</w:t>
      </w:r>
      <w:r>
        <w:rPr>
          <w:rFonts w:eastAsia="Times New Roman" w:cs="Times New Roman"/>
          <w:sz w:val="24"/>
          <w:szCs w:val="24"/>
        </w:rPr>
        <w:tab/>
        <w:t>os princípios da proporcionalidade e razoabilidade.</w:t>
      </w:r>
    </w:p>
    <w:p w:rsidR="00967E25" w:rsidRDefault="00967E25" w:rsidP="00277921">
      <w:pPr>
        <w:spacing w:before="120" w:after="120" w:line="276" w:lineRule="auto"/>
        <w:ind w:left="1739"/>
        <w:jc w:val="both"/>
        <w:rPr>
          <w:rFonts w:eastAsia="Times New Roman" w:cs="Times New Roman"/>
          <w:sz w:val="24"/>
          <w:szCs w:val="24"/>
        </w:rPr>
      </w:pP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16.8 Se a multa aplicada e as indenizações cabíveis forem superiores ao valor de pagamento eventualmente devido pela Administração ao contratado, além da perda desse valor, a diferença será descontada da garantia prestada ou será cobrada judicialmente</w:t>
      </w: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16.9 A aplicação das sanções previstas neste instrumento, em hipótese alguma, exime a obrigação de reparação integral do dano causado à Administração Pública.</w:t>
      </w: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16.10</w:t>
      </w:r>
      <w:r>
        <w:rPr>
          <w:rFonts w:eastAsia="Times New Roman" w:cs="Times New Roman"/>
          <w:sz w:val="24"/>
          <w:szCs w:val="24"/>
        </w:rPr>
        <w:tab/>
        <w:t>As sanções previstas nos subitens acima poderão ser aplicadas juntamente com as de multa, descontando-a dos créditos de pagamentos a serem efetuados.</w:t>
      </w: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16.11</w:t>
      </w:r>
      <w:r>
        <w:rPr>
          <w:rFonts w:eastAsia="Times New Roman" w:cs="Times New Roman"/>
          <w:sz w:val="24"/>
          <w:szCs w:val="24"/>
        </w:rPr>
        <w:tab/>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16.12</w:t>
      </w:r>
      <w:r>
        <w:rPr>
          <w:rFonts w:eastAsia="Times New Roman" w:cs="Times New Roman"/>
          <w:sz w:val="24"/>
          <w:szCs w:val="24"/>
        </w:rPr>
        <w:tab/>
        <w:t>A autuação, instrução, apuração e o julgamento dos atos de infrações administrativas não consideradas como ato lesivo à Administração Pública nacional ou estrangeira nos termos da Lei nº 12.846, de 1º de agosto de 2013, seguirão o rito estabelecido pelo Ifes Campus Piúma.</w:t>
      </w: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16.13</w:t>
      </w:r>
      <w:r>
        <w:rPr>
          <w:rFonts w:eastAsia="Times New Roman" w:cs="Times New Roman"/>
          <w:sz w:val="24"/>
          <w:szCs w:val="24"/>
        </w:rPr>
        <w:tab/>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lastRenderedPageBreak/>
        <w:t>16.14</w:t>
      </w:r>
      <w:r>
        <w:rPr>
          <w:rFonts w:eastAsia="Times New Roman" w:cs="Times New Roman"/>
          <w:sz w:val="24"/>
          <w:szCs w:val="24"/>
        </w:rPr>
        <w:tab/>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16.15</w:t>
      </w:r>
      <w:r>
        <w:rPr>
          <w:rFonts w:eastAsia="Times New Roman" w:cs="Times New Roman"/>
          <w:sz w:val="24"/>
          <w:szCs w:val="24"/>
        </w:rPr>
        <w:tab/>
        <w:t>As multas devidas e/ou prejuízos causados à Contratante serão deduzidos dos valores a serem pagos, ou recolhidos em favor da União, ou deduzidos da garantia, ou ainda, quando for o caso, serão inscritos no Cadin, na Dívida Ativa da União, nos órgãos de proteção ao crédito (Serasa, SPC e afins) e cobrados judicialmente.</w:t>
      </w: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16.16</w:t>
      </w:r>
      <w:r>
        <w:rPr>
          <w:rFonts w:eastAsia="Times New Roman" w:cs="Times New Roman"/>
          <w:sz w:val="24"/>
          <w:szCs w:val="24"/>
        </w:rPr>
        <w:tab/>
        <w:t xml:space="preserve">Determinado o valor da multa, a mesma deverá ser recolhida no prazo máximo de </w:t>
      </w:r>
      <w:r>
        <w:rPr>
          <w:rFonts w:eastAsia="Times New Roman" w:cs="Times New Roman"/>
          <w:b/>
          <w:sz w:val="24"/>
          <w:szCs w:val="24"/>
        </w:rPr>
        <w:t>15 (quinze) dias</w:t>
      </w:r>
      <w:r>
        <w:rPr>
          <w:rFonts w:eastAsia="Times New Roman" w:cs="Times New Roman"/>
          <w:sz w:val="24"/>
          <w:szCs w:val="24"/>
        </w:rPr>
        <w:t xml:space="preserve"> corridos, a contar da data do recebimento da comunicação enviada pela autoridade competente.</w:t>
      </w: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16.17</w:t>
      </w:r>
      <w:r>
        <w:rPr>
          <w:rFonts w:eastAsia="Times New Roman" w:cs="Times New Roman"/>
          <w:sz w:val="24"/>
          <w:szCs w:val="24"/>
        </w:rPr>
        <w:tab/>
        <w:t>Caso o valor da multa não seja suficiente para cobrir os prejuízos causados pela conduta do licitante, a União ou Entidade poderá cobrar o valor remanescente judicialmente, conforme artigo 419 do Código Civil.</w:t>
      </w:r>
    </w:p>
    <w:p w:rsidR="00967E25" w:rsidRDefault="00936B82" w:rsidP="00277921">
      <w:pPr>
        <w:spacing w:before="120" w:after="120" w:line="276" w:lineRule="auto"/>
        <w:ind w:left="605"/>
        <w:jc w:val="both"/>
        <w:rPr>
          <w:rFonts w:ascii="Times New Roman" w:eastAsia="Times New Roman" w:hAnsi="Times New Roman" w:cs="Times New Roman"/>
        </w:rPr>
      </w:pPr>
      <w:r>
        <w:rPr>
          <w:rFonts w:eastAsia="Times New Roman" w:cs="Times New Roman"/>
          <w:sz w:val="24"/>
          <w:szCs w:val="24"/>
        </w:rPr>
        <w:t>16.18</w:t>
      </w:r>
      <w:r>
        <w:rPr>
          <w:rFonts w:eastAsia="Times New Roman" w:cs="Times New Roman"/>
          <w:sz w:val="24"/>
          <w:szCs w:val="24"/>
        </w:rPr>
        <w:tab/>
        <w:t>As penalidades serão obrigatoriamente registradas no SICAF.</w:t>
      </w:r>
    </w:p>
    <w:p w:rsidR="00967E25" w:rsidRDefault="00967E25" w:rsidP="00277921">
      <w:pPr>
        <w:spacing w:before="57" w:after="57" w:line="276" w:lineRule="auto"/>
        <w:ind w:left="593"/>
        <w:jc w:val="both"/>
        <w:rPr>
          <w:rFonts w:eastAsia="Times New Roman" w:cs="Times New Roman"/>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17.  DA ESTIMATIVA DE PREÇOS E PREÇOS REFERENCIADOS</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highlight w:val="white"/>
        </w:rPr>
      </w:pPr>
      <w:r>
        <w:rPr>
          <w:rFonts w:eastAsia="Times New Roman" w:cs="Times New Roman"/>
          <w:sz w:val="24"/>
          <w:szCs w:val="24"/>
          <w:highlight w:val="white"/>
        </w:rPr>
        <w:t>17.1</w:t>
      </w:r>
      <w:r>
        <w:rPr>
          <w:rFonts w:eastAsia="Times New Roman" w:cs="Times New Roman"/>
          <w:sz w:val="24"/>
          <w:szCs w:val="24"/>
          <w:highlight w:val="white"/>
        </w:rPr>
        <w:tab/>
        <w:t>O custo estimado da contratação é de R$ 2.642,01 conforme Termo de Referência.</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18.  DOS CRITÉRIOS DE HABILITAÇÃO</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18.1</w:t>
      </w:r>
      <w:r>
        <w:rPr>
          <w:rFonts w:eastAsia="Times New Roman" w:cs="Times New Roman"/>
          <w:sz w:val="24"/>
          <w:szCs w:val="24"/>
        </w:rPr>
        <w:tab/>
        <w:t>A habilitação jurídica será definida no instrumento convocatório.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18.2</w:t>
      </w:r>
      <w:r>
        <w:rPr>
          <w:rFonts w:eastAsia="Times New Roman" w:cs="Times New Roman"/>
          <w:sz w:val="24"/>
          <w:szCs w:val="24"/>
        </w:rPr>
        <w:tab/>
        <w:t>A qualificação econômico-financeira será definida no instrumento convocatório.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18.3</w:t>
      </w:r>
      <w:r>
        <w:rPr>
          <w:rFonts w:eastAsia="Times New Roman" w:cs="Times New Roman"/>
          <w:sz w:val="24"/>
          <w:szCs w:val="24"/>
        </w:rPr>
        <w:tab/>
        <w:t>A regularidade fiscal, social e trabalhista será definida no instrumento convocatório.</w:t>
      </w:r>
    </w:p>
    <w:p w:rsidR="00967E25" w:rsidRDefault="00936B82" w:rsidP="00277921">
      <w:pPr>
        <w:spacing w:before="57" w:after="57" w:line="276" w:lineRule="auto"/>
        <w:ind w:left="605"/>
        <w:jc w:val="both"/>
        <w:rPr>
          <w:rFonts w:ascii="Times New Roman" w:eastAsia="Times New Roman" w:hAnsi="Times New Roman" w:cs="Times New Roman"/>
          <w:highlight w:val="white"/>
        </w:rPr>
      </w:pPr>
      <w:r>
        <w:rPr>
          <w:rFonts w:eastAsia="Times New Roman" w:cs="Times New Roman"/>
          <w:sz w:val="24"/>
          <w:szCs w:val="24"/>
          <w:highlight w:val="white"/>
        </w:rPr>
        <w:t>18.4</w:t>
      </w:r>
      <w:r>
        <w:rPr>
          <w:rFonts w:eastAsia="Times New Roman" w:cs="Times New Roman"/>
          <w:sz w:val="24"/>
          <w:szCs w:val="24"/>
          <w:highlight w:val="white"/>
        </w:rPr>
        <w:tab/>
        <w:t>Não haverá exigência de qualificação técnica dada a natureza do objeto e consequentemente de sua dispensabilidade.</w:t>
      </w:r>
    </w:p>
    <w:p w:rsidR="00967E25" w:rsidRDefault="00936B82" w:rsidP="00277921">
      <w:pPr>
        <w:spacing w:before="57" w:after="57" w:line="276" w:lineRule="auto"/>
        <w:ind w:left="605"/>
        <w:jc w:val="both"/>
        <w:rPr>
          <w:rFonts w:ascii="Times New Roman" w:eastAsia="Times New Roman" w:hAnsi="Times New Roman" w:cs="Times New Roman"/>
        </w:rPr>
      </w:pPr>
      <w:r>
        <w:rPr>
          <w:rFonts w:eastAsia="Times New Roman" w:cs="Times New Roman"/>
          <w:sz w:val="24"/>
          <w:szCs w:val="24"/>
        </w:rPr>
        <w:t>18.5</w:t>
      </w:r>
      <w:r>
        <w:rPr>
          <w:rFonts w:eastAsia="Times New Roman" w:cs="Times New Roman"/>
          <w:sz w:val="24"/>
          <w:szCs w:val="24"/>
        </w:rPr>
        <w:tab/>
        <w:t>Para fins de atendimento ao disposto no art. 20 da IN SEGES/ME Nº 67, de 2021 e art. 70 da Lei Nº 14.133/2021, será suficiente, para fins de habilitação da licitante, a apresentação de comprovação de regularidade fiscal federal, social e trabalhista e, das pessoas físicas, a quitação com a Fazenda Federal, nos seguintes casos:</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a)</w:t>
      </w:r>
      <w:r>
        <w:rPr>
          <w:rFonts w:eastAsia="Times New Roman" w:cs="Times New Roman"/>
          <w:sz w:val="24"/>
          <w:szCs w:val="24"/>
        </w:rPr>
        <w:tab/>
        <w:t>Aquisições para entrega imediata, considerada aquela com prazo de entrega de até 30 (trinta) dias da ordem de fornecimento;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b)</w:t>
      </w:r>
      <w:r>
        <w:rPr>
          <w:rFonts w:eastAsia="Times New Roman" w:cs="Times New Roman"/>
          <w:sz w:val="24"/>
          <w:szCs w:val="24"/>
        </w:rPr>
        <w:tab/>
        <w:t>Contratações em valores inferiores a ¼ (um quarto) do limite para dispensa de licitação para compras em geral;</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lastRenderedPageBreak/>
        <w:t>c)</w:t>
      </w:r>
      <w:r>
        <w:rPr>
          <w:rFonts w:eastAsia="Times New Roman" w:cs="Times New Roman"/>
          <w:sz w:val="24"/>
          <w:szCs w:val="24"/>
        </w:rPr>
        <w:tab/>
        <w:t>Contratações de produtos para pesquisa e desenvolvimento, até o limite de R$ 300.000,00 (Trezentos mil reais)</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19. DA CELEBRAÇÃO DO CONTRATO</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highlight w:val="white"/>
        </w:rPr>
      </w:pPr>
      <w:r>
        <w:rPr>
          <w:rFonts w:eastAsia="Times New Roman" w:cs="Times New Roman"/>
          <w:sz w:val="24"/>
          <w:szCs w:val="24"/>
        </w:rPr>
        <w:t>19.1</w:t>
      </w:r>
      <w:r>
        <w:rPr>
          <w:rFonts w:eastAsia="Times New Roman" w:cs="Times New Roman"/>
          <w:sz w:val="24"/>
          <w:szCs w:val="24"/>
        </w:rPr>
        <w:tab/>
        <w:t>Após a homologação e adjudicação, caso se conclua pela contratação, a celebração do contrato se dará po</w:t>
      </w:r>
      <w:r>
        <w:rPr>
          <w:rFonts w:eastAsia="Times New Roman" w:cs="Times New Roman"/>
          <w:sz w:val="24"/>
          <w:szCs w:val="24"/>
          <w:highlight w:val="white"/>
        </w:rPr>
        <w:t>r meio de EMISSÃO DE NOTA DE EMPENHO.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19.2</w:t>
      </w:r>
      <w:r>
        <w:rPr>
          <w:rFonts w:eastAsia="Times New Roman" w:cs="Times New Roman"/>
          <w:sz w:val="24"/>
          <w:szCs w:val="24"/>
        </w:rPr>
        <w:tab/>
        <w:t>Em caso de celebração formal de contrato, o adjudicatário deverá providenciar seu cadastro de assinante externo para assinatura de documentos eletrônicos via SIPAC, e terá o prazo de 05 (cinco) dias úteis para providenciá-lo, a contar a partir da ordem da Administração, podendo ser prorrogado por igual período, por solicitação justificada do adjudicatário e aceita pela Administração.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19.3</w:t>
      </w:r>
      <w:r>
        <w:rPr>
          <w:rFonts w:eastAsia="Times New Roman" w:cs="Times New Roman"/>
          <w:sz w:val="24"/>
          <w:szCs w:val="24"/>
        </w:rPr>
        <w:tab/>
        <w:t>Tendo finalizado o cadastro de assinante externo, o adjudicatário, terá o prazo de 24 (vinte e quatro) horas, contados a partir da confirmação de seu cadastro, para assinar o Termo de Contrato ou instrumento equivalente, sob pena de decair do direito à contratação, sem prejuízo das sanções previstas no instrumento convocatório.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19.4</w:t>
      </w:r>
      <w:r>
        <w:rPr>
          <w:rFonts w:eastAsia="Times New Roman" w:cs="Times New Roman"/>
          <w:sz w:val="24"/>
          <w:szCs w:val="24"/>
        </w:rPr>
        <w:tab/>
        <w:t>Em caso de não celebração de contrato formal, a nota de empenho, o substituirá para todos os efeitos legais, vinculando-se os direitos e obrigações previstos no instrumento convocatório.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19.5</w:t>
      </w:r>
      <w:r>
        <w:rPr>
          <w:rFonts w:eastAsia="Times New Roman" w:cs="Times New Roman"/>
          <w:sz w:val="24"/>
          <w:szCs w:val="24"/>
        </w:rPr>
        <w:tab/>
        <w:t>A ORDEM DE FORNECIMENTO/SERVIÇO será comunicada ao adjudicatário, exclusivamente por meio do endereço eletrônico (e-mail) disponibilizado em sua proposta, ou mediante a assinatura do termo de contrato, em sendo esse o caso.</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19.6</w:t>
      </w:r>
      <w:r>
        <w:rPr>
          <w:rFonts w:eastAsia="Times New Roman" w:cs="Times New Roman"/>
          <w:sz w:val="24"/>
          <w:szCs w:val="24"/>
        </w:rPr>
        <w:tab/>
        <w:t>Para efeitos legais de contagem do prazo de execução do objeto, a comunicação da ORDEM DE FORNECIMENTO/SERVIÇO será tida por recebida decorrido 05 (cinco) dias úteis a partir da data de envio do e-mail, ou em prazo inferior caso haja a confirmação de leitura deste, não cabendo alegação de não conhecimento da ORDEM DE FORNECIMENTO/SERVIÇO por problemas técnicos de responsabilidade exclusiva do fornecedor.</w:t>
      </w:r>
    </w:p>
    <w:p w:rsidR="00967E25" w:rsidRDefault="00936B82" w:rsidP="00277921">
      <w:pPr>
        <w:spacing w:before="57" w:after="57" w:line="276" w:lineRule="auto"/>
        <w:ind w:left="593"/>
        <w:jc w:val="both"/>
      </w:pPr>
      <w:r>
        <w:rPr>
          <w:rFonts w:eastAsia="Times New Roman" w:cs="Times New Roman"/>
          <w:sz w:val="24"/>
          <w:szCs w:val="24"/>
        </w:rPr>
        <w:t>19.7</w:t>
      </w:r>
      <w:r>
        <w:rPr>
          <w:rFonts w:eastAsia="Times New Roman" w:cs="Times New Roman"/>
          <w:sz w:val="24"/>
          <w:szCs w:val="24"/>
        </w:rPr>
        <w:tab/>
        <w:t>A nota de empenho será encaminhada em anexo ao e-mail em que se realizará a comunicação da ORDEM DE FORNECIMENTO/SERVIÇO e igualmente poderá ser consultada no Portal de Transparência do Governo Federal no sítio </w:t>
      </w:r>
      <w:hyperlink r:id="rId20">
        <w:r>
          <w:rPr>
            <w:rStyle w:val="ListLabel33"/>
            <w:rFonts w:ascii="Arial" w:eastAsia="Arial" w:hAnsi="Arial"/>
            <w:sz w:val="24"/>
            <w:szCs w:val="24"/>
          </w:rPr>
          <w:t>http://www.portaltransparencia.gov.br/</w:t>
        </w:r>
      </w:hyperlink>
      <w:r>
        <w:rPr>
          <w:rFonts w:eastAsia="Times New Roman" w:cs="Times New Roman"/>
          <w:sz w:val="24"/>
          <w:szCs w:val="24"/>
        </w:rPr>
        <w:t>.</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19.8</w:t>
      </w:r>
      <w:r>
        <w:rPr>
          <w:rFonts w:eastAsia="Times New Roman" w:cs="Times New Roman"/>
          <w:sz w:val="24"/>
          <w:szCs w:val="24"/>
        </w:rPr>
        <w:tab/>
        <w:t>A contratada se vincula à sua proposta e às previsões contidas no instrumento convocatório e seus anexos.</w:t>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sz w:val="24"/>
          <w:szCs w:val="24"/>
        </w:rPr>
        <w:t>19.9</w:t>
      </w:r>
      <w:r>
        <w:rPr>
          <w:rFonts w:eastAsia="Times New Roman" w:cs="Times New Roman"/>
          <w:sz w:val="24"/>
          <w:szCs w:val="24"/>
        </w:rPr>
        <w:tab/>
        <w:t>A contratada reconhece que as hipóteses de rescisão são aquelas previstas nos artigos 137 e 138 da Lei nº 14.133/2021 e reconhece os direitos da Administração previstos nos artigos 137 e 139 da mesma Lei.</w:t>
      </w:r>
    </w:p>
    <w:p w:rsidR="00967E25" w:rsidRDefault="00967E25" w:rsidP="00277921">
      <w:pPr>
        <w:spacing w:before="57" w:after="57" w:line="276" w:lineRule="auto"/>
        <w:ind w:left="593"/>
        <w:jc w:val="both"/>
        <w:rPr>
          <w:rFonts w:eastAsia="Times New Roman" w:cs="Times New Roman"/>
          <w:sz w:val="24"/>
          <w:szCs w:val="24"/>
        </w:rPr>
      </w:pP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20. DOS RECURSOS ORÇAMENTÁRIOS</w:t>
      </w:r>
    </w:p>
    <w:p w:rsidR="00967E25" w:rsidRDefault="00967E25" w:rsidP="00277921">
      <w:pPr>
        <w:spacing w:before="57" w:after="57" w:line="276" w:lineRule="auto"/>
        <w:ind w:left="593"/>
        <w:jc w:val="both"/>
        <w:rPr>
          <w:rFonts w:eastAsia="Times New Roman" w:cs="Times New Roman"/>
          <w:b/>
          <w:sz w:val="24"/>
          <w:szCs w:val="24"/>
        </w:rPr>
      </w:pPr>
    </w:p>
    <w:p w:rsidR="00967E25" w:rsidRDefault="00936B82" w:rsidP="00277921">
      <w:pPr>
        <w:spacing w:before="57" w:after="57" w:line="276" w:lineRule="auto"/>
        <w:ind w:left="593"/>
        <w:jc w:val="both"/>
        <w:rPr>
          <w:rFonts w:ascii="Times New Roman" w:eastAsia="Times New Roman" w:hAnsi="Times New Roman" w:cs="Times New Roman"/>
          <w:highlight w:val="white"/>
        </w:rPr>
      </w:pPr>
      <w:r>
        <w:rPr>
          <w:rFonts w:eastAsia="Times New Roman" w:cs="Times New Roman"/>
          <w:sz w:val="24"/>
          <w:szCs w:val="24"/>
          <w:highlight w:val="white"/>
        </w:rPr>
        <w:t>20.1</w:t>
      </w:r>
      <w:r>
        <w:rPr>
          <w:rFonts w:eastAsia="Times New Roman" w:cs="Times New Roman"/>
          <w:sz w:val="24"/>
          <w:szCs w:val="24"/>
          <w:highlight w:val="white"/>
        </w:rPr>
        <w:tab/>
        <w:t xml:space="preserve">A indicação da dotação orçamentária ocorrerá posteriormente, em tempo oportuno, em caso de aprovação pelo seguimento do processo de contratação. </w:t>
      </w:r>
    </w:p>
    <w:p w:rsidR="00967E25" w:rsidRDefault="00967E25" w:rsidP="00277921">
      <w:pPr>
        <w:spacing w:before="57" w:after="57" w:line="276" w:lineRule="auto"/>
        <w:ind w:left="593"/>
        <w:jc w:val="both"/>
        <w:rPr>
          <w:rFonts w:eastAsia="Times New Roman" w:cs="Times New Roman"/>
          <w:sz w:val="24"/>
          <w:szCs w:val="24"/>
          <w:highlight w:val="white"/>
        </w:rPr>
      </w:pPr>
    </w:p>
    <w:p w:rsidR="00967E25" w:rsidRDefault="00967E25" w:rsidP="00277921">
      <w:pPr>
        <w:spacing w:before="57" w:after="57" w:line="276" w:lineRule="auto"/>
        <w:ind w:left="593"/>
        <w:jc w:val="both"/>
        <w:rPr>
          <w:rFonts w:eastAsia="Times New Roman" w:cs="Times New Roman"/>
          <w:sz w:val="24"/>
          <w:szCs w:val="24"/>
          <w:highlight w:val="white"/>
        </w:rPr>
      </w:pPr>
    </w:p>
    <w:p w:rsidR="00967E25" w:rsidRDefault="00967E25" w:rsidP="00277921">
      <w:pPr>
        <w:spacing w:before="57" w:after="57" w:line="276" w:lineRule="auto"/>
        <w:ind w:left="593"/>
        <w:jc w:val="both"/>
        <w:rPr>
          <w:rFonts w:eastAsia="Times New Roman" w:cs="Times New Roman"/>
          <w:sz w:val="24"/>
          <w:szCs w:val="24"/>
          <w:highlight w:val="white"/>
        </w:rPr>
      </w:pPr>
    </w:p>
    <w:p w:rsidR="00967E25" w:rsidRDefault="00967E25" w:rsidP="00277921">
      <w:pPr>
        <w:spacing w:before="57" w:after="57" w:line="276" w:lineRule="auto"/>
        <w:ind w:left="593"/>
        <w:jc w:val="both"/>
        <w:rPr>
          <w:rFonts w:eastAsia="Times New Roman" w:cs="Times New Roman"/>
          <w:sz w:val="24"/>
          <w:szCs w:val="24"/>
        </w:rPr>
      </w:pPr>
    </w:p>
    <w:p w:rsidR="00967E25" w:rsidRDefault="00936B82" w:rsidP="00277921">
      <w:pPr>
        <w:spacing w:before="57" w:after="57" w:line="276" w:lineRule="auto"/>
        <w:ind w:left="593"/>
        <w:jc w:val="both"/>
        <w:rPr>
          <w:rFonts w:ascii="Times New Roman" w:eastAsia="Times New Roman" w:hAnsi="Times New Roman" w:cs="Times New Roman"/>
          <w:b/>
        </w:rPr>
      </w:pPr>
      <w:r>
        <w:rPr>
          <w:rFonts w:eastAsia="Times New Roman" w:cs="Times New Roman"/>
          <w:sz w:val="24"/>
          <w:szCs w:val="24"/>
        </w:rPr>
        <w:tab/>
      </w:r>
    </w:p>
    <w:p w:rsidR="00967E25" w:rsidRDefault="00936B82" w:rsidP="00277921">
      <w:pPr>
        <w:spacing w:before="57" w:after="57" w:line="276" w:lineRule="auto"/>
        <w:ind w:left="593"/>
        <w:jc w:val="both"/>
        <w:rPr>
          <w:rFonts w:ascii="Times New Roman" w:eastAsia="Times New Roman" w:hAnsi="Times New Roman" w:cs="Times New Roman"/>
        </w:rPr>
      </w:pPr>
      <w:r>
        <w:rPr>
          <w:rFonts w:eastAsia="Times New Roman" w:cs="Times New Roman"/>
          <w:b/>
          <w:sz w:val="24"/>
          <w:szCs w:val="24"/>
        </w:rPr>
        <w:t>Piúma - ES, 27 de abril de 2022.</w:t>
      </w:r>
    </w:p>
    <w:p w:rsidR="00967E25" w:rsidRDefault="00967E25" w:rsidP="00277921">
      <w:pPr>
        <w:tabs>
          <w:tab w:val="left" w:pos="471"/>
        </w:tabs>
        <w:spacing w:before="57" w:after="57" w:line="276" w:lineRule="auto"/>
        <w:ind w:left="593"/>
        <w:jc w:val="both"/>
        <w:rPr>
          <w:rFonts w:eastAsia="Times New Roman" w:cs="Times New Roman"/>
          <w:b/>
          <w:sz w:val="24"/>
          <w:szCs w:val="24"/>
        </w:rPr>
      </w:pPr>
    </w:p>
    <w:p w:rsidR="00967E25" w:rsidRDefault="00936B82" w:rsidP="00277921">
      <w:pPr>
        <w:tabs>
          <w:tab w:val="left" w:pos="471"/>
        </w:tabs>
        <w:spacing w:before="57" w:after="57" w:line="276" w:lineRule="auto"/>
        <w:ind w:left="593"/>
        <w:jc w:val="both"/>
        <w:rPr>
          <w:rFonts w:ascii="Times New Roman" w:eastAsia="Times New Roman" w:hAnsi="Times New Roman" w:cs="Times New Roman"/>
          <w:b/>
        </w:rPr>
      </w:pPr>
      <w:r>
        <w:rPr>
          <w:rFonts w:eastAsia="Times New Roman" w:cs="Times New Roman"/>
          <w:b/>
          <w:sz w:val="24"/>
          <w:szCs w:val="24"/>
        </w:rPr>
        <w:t>________________________</w:t>
      </w:r>
    </w:p>
    <w:p w:rsidR="00967E25" w:rsidRDefault="00936B82" w:rsidP="00277921">
      <w:pPr>
        <w:tabs>
          <w:tab w:val="left" w:pos="471"/>
        </w:tabs>
        <w:spacing w:before="57" w:after="57" w:line="276" w:lineRule="auto"/>
        <w:ind w:left="593"/>
        <w:jc w:val="both"/>
        <w:rPr>
          <w:rFonts w:ascii="Times New Roman" w:eastAsia="Times New Roman" w:hAnsi="Times New Roman" w:cs="Times New Roman"/>
          <w:b/>
        </w:rPr>
      </w:pPr>
      <w:r>
        <w:rPr>
          <w:rFonts w:eastAsia="Times New Roman" w:cs="Times New Roman"/>
          <w:b/>
          <w:sz w:val="24"/>
          <w:szCs w:val="24"/>
        </w:rPr>
        <w:t>Sheila Faúla Muniz</w:t>
      </w:r>
    </w:p>
    <w:p w:rsidR="00967E25" w:rsidRDefault="00936B82" w:rsidP="00277921">
      <w:pPr>
        <w:tabs>
          <w:tab w:val="left" w:pos="471"/>
        </w:tabs>
        <w:spacing w:before="57" w:after="57" w:line="276" w:lineRule="auto"/>
        <w:ind w:left="593"/>
        <w:jc w:val="both"/>
        <w:rPr>
          <w:rFonts w:ascii="Times New Roman" w:eastAsia="Times New Roman" w:hAnsi="Times New Roman" w:cs="Times New Roman"/>
          <w:b/>
        </w:rPr>
      </w:pPr>
      <w:r>
        <w:rPr>
          <w:rFonts w:eastAsia="Times New Roman" w:cs="Times New Roman"/>
          <w:b/>
          <w:sz w:val="24"/>
          <w:szCs w:val="24"/>
        </w:rPr>
        <w:t>Coordenadoria de Assistência à Comunidade</w:t>
      </w:r>
    </w:p>
    <w:p w:rsidR="00967E25" w:rsidRDefault="00936B82" w:rsidP="00277921">
      <w:pPr>
        <w:tabs>
          <w:tab w:val="left" w:pos="471"/>
        </w:tabs>
        <w:spacing w:before="57" w:after="57" w:line="276" w:lineRule="auto"/>
        <w:ind w:left="593"/>
        <w:jc w:val="both"/>
        <w:rPr>
          <w:rFonts w:ascii="Times New Roman" w:eastAsia="Times New Roman" w:hAnsi="Times New Roman" w:cs="Times New Roman"/>
          <w:b/>
        </w:rPr>
      </w:pPr>
      <w:r>
        <w:rPr>
          <w:rFonts w:eastAsia="Times New Roman" w:cs="Times New Roman"/>
          <w:b/>
          <w:sz w:val="24"/>
          <w:szCs w:val="24"/>
        </w:rPr>
        <w:t>Unidade Supridora</w:t>
      </w:r>
    </w:p>
    <w:p w:rsidR="00967E25" w:rsidRDefault="00967E25" w:rsidP="00277921">
      <w:pPr>
        <w:tabs>
          <w:tab w:val="left" w:pos="471"/>
        </w:tabs>
        <w:spacing w:before="57" w:after="57" w:line="276" w:lineRule="auto"/>
        <w:ind w:left="593"/>
        <w:jc w:val="both"/>
        <w:rPr>
          <w:rFonts w:eastAsia="Times New Roman" w:cs="Times New Roman"/>
          <w:b/>
          <w:sz w:val="24"/>
          <w:szCs w:val="24"/>
          <w:highlight w:val="yellow"/>
        </w:rPr>
      </w:pPr>
    </w:p>
    <w:p w:rsidR="00967E25" w:rsidRDefault="00967E25" w:rsidP="00277921">
      <w:pPr>
        <w:tabs>
          <w:tab w:val="left" w:pos="483"/>
        </w:tabs>
        <w:spacing w:line="276" w:lineRule="auto"/>
        <w:ind w:left="605"/>
        <w:jc w:val="center"/>
        <w:rPr>
          <w:rFonts w:eastAsia="Times New Roman" w:cs="Times New Roman"/>
          <w:i/>
          <w:smallCaps/>
          <w:sz w:val="24"/>
          <w:szCs w:val="24"/>
        </w:rPr>
      </w:pPr>
    </w:p>
    <w:p w:rsidR="00967E25" w:rsidRDefault="00936B82" w:rsidP="00277921">
      <w:pPr>
        <w:spacing w:after="160" w:line="259" w:lineRule="auto"/>
        <w:ind w:left="605"/>
        <w:rPr>
          <w:rFonts w:ascii="Times New Roman" w:eastAsia="Times New Roman" w:hAnsi="Times New Roman" w:cs="Times New Roman"/>
        </w:rPr>
      </w:pPr>
      <w:r>
        <w:rPr>
          <w:rFonts w:eastAsia="Times New Roman" w:cs="Times New Roman"/>
          <w:sz w:val="24"/>
          <w:szCs w:val="24"/>
        </w:rPr>
        <w:t>Aprovo este Termo de Referência:</w:t>
      </w:r>
    </w:p>
    <w:p w:rsidR="00967E25" w:rsidRDefault="00936B82" w:rsidP="00277921">
      <w:pPr>
        <w:ind w:left="605"/>
        <w:rPr>
          <w:rFonts w:ascii="Times New Roman" w:eastAsia="Times New Roman" w:hAnsi="Times New Roman" w:cs="Times New Roman"/>
        </w:rPr>
      </w:pPr>
      <w:r>
        <w:rPr>
          <w:rFonts w:eastAsia="Times New Roman" w:cs="Times New Roman"/>
          <w:sz w:val="24"/>
          <w:szCs w:val="24"/>
        </w:rPr>
        <w:t>__________________________</w:t>
      </w:r>
    </w:p>
    <w:p w:rsidR="00967E25" w:rsidRDefault="00936B82" w:rsidP="00277921">
      <w:pPr>
        <w:ind w:left="605"/>
        <w:rPr>
          <w:rFonts w:ascii="Times New Roman" w:eastAsia="Times New Roman" w:hAnsi="Times New Roman" w:cs="Times New Roman"/>
          <w:b/>
        </w:rPr>
      </w:pPr>
      <w:r>
        <w:rPr>
          <w:rFonts w:eastAsia="Times New Roman" w:cs="Times New Roman"/>
          <w:b/>
          <w:sz w:val="24"/>
          <w:szCs w:val="24"/>
        </w:rPr>
        <w:t>MARCELO FANTTINI POLESE</w:t>
      </w:r>
    </w:p>
    <w:p w:rsidR="00967E25" w:rsidRDefault="00936B82" w:rsidP="00277921">
      <w:pPr>
        <w:ind w:left="605"/>
        <w:rPr>
          <w:color w:val="000000"/>
        </w:rPr>
        <w:sectPr w:rsidR="00967E25">
          <w:headerReference w:type="default" r:id="rId21"/>
          <w:footerReference w:type="default" r:id="rId22"/>
          <w:pgSz w:w="11906" w:h="16838"/>
          <w:pgMar w:top="2160" w:right="1260" w:bottom="1300" w:left="660" w:header="166" w:footer="1117" w:gutter="0"/>
          <w:cols w:space="720"/>
          <w:formProt w:val="0"/>
          <w:docGrid w:linePitch="100" w:charSpace="4096"/>
        </w:sectPr>
      </w:pPr>
      <w:r>
        <w:rPr>
          <w:rFonts w:eastAsia="Times New Roman" w:cs="Times New Roman"/>
          <w:sz w:val="24"/>
          <w:szCs w:val="24"/>
        </w:rPr>
        <w:t>Diretor-Geral</w:t>
      </w:r>
    </w:p>
    <w:p w:rsidR="00967E25" w:rsidRDefault="00936B82" w:rsidP="00443E35">
      <w:pPr>
        <w:pStyle w:val="Ttulo1"/>
        <w:spacing w:before="40" w:line="600" w:lineRule="auto"/>
        <w:ind w:left="4167" w:right="1315" w:hanging="718"/>
        <w:jc w:val="center"/>
      </w:pPr>
      <w:r>
        <w:lastRenderedPageBreak/>
        <w:t>ANEXO III – MODELO DE PROPOSTA COMERCIAL PROPOSTA DE PREÇOS</w:t>
      </w:r>
    </w:p>
    <w:p w:rsidR="00967E25" w:rsidRDefault="00967E25">
      <w:pPr>
        <w:widowControl w:val="0"/>
        <w:rPr>
          <w:b/>
          <w:color w:val="000000"/>
          <w:sz w:val="24"/>
          <w:szCs w:val="24"/>
        </w:rPr>
      </w:pPr>
    </w:p>
    <w:p w:rsidR="00967E25" w:rsidRDefault="00936B82">
      <w:pPr>
        <w:pStyle w:val="Ttulo2"/>
        <w:spacing w:before="176" w:line="499" w:lineRule="auto"/>
        <w:ind w:left="1042" w:right="2937"/>
        <w:jc w:val="left"/>
      </w:pPr>
      <w:r>
        <w:t>Ao Instituto Federal do Espírito Santo (IFES) – Campus Piúma Prezados Senhores,</w:t>
      </w:r>
    </w:p>
    <w:p w:rsidR="00967E25" w:rsidRDefault="00936B82">
      <w:pPr>
        <w:spacing w:line="254" w:lineRule="auto"/>
        <w:ind w:left="1042" w:firstLine="1132"/>
        <w:rPr>
          <w:sz w:val="24"/>
          <w:szCs w:val="24"/>
        </w:rPr>
      </w:pPr>
      <w:r>
        <w:rPr>
          <w:sz w:val="24"/>
          <w:szCs w:val="24"/>
        </w:rPr>
        <w:t>Apresentamos a V.Sª, nossa proposta de preços para o fornecimento dos produtos abaixo relacionados, nos termos do Termo de Referência e anexos.</w:t>
      </w:r>
    </w:p>
    <w:p w:rsidR="00967E25" w:rsidRDefault="00967E25">
      <w:pPr>
        <w:widowControl w:val="0"/>
        <w:rPr>
          <w:color w:val="000000"/>
          <w:sz w:val="24"/>
          <w:szCs w:val="24"/>
        </w:rPr>
      </w:pPr>
    </w:p>
    <w:p w:rsidR="00967E25" w:rsidRDefault="00967E25">
      <w:pPr>
        <w:widowControl w:val="0"/>
        <w:spacing w:before="2"/>
        <w:rPr>
          <w:color w:val="000000"/>
          <w:sz w:val="24"/>
          <w:szCs w:val="24"/>
        </w:rPr>
      </w:pPr>
    </w:p>
    <w:tbl>
      <w:tblPr>
        <w:tblStyle w:val="TableNormal0"/>
        <w:tblW w:w="7060" w:type="dxa"/>
        <w:tblInd w:w="17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
      <w:tblGrid>
        <w:gridCol w:w="857"/>
        <w:gridCol w:w="1723"/>
        <w:gridCol w:w="1202"/>
        <w:gridCol w:w="1376"/>
        <w:gridCol w:w="1442"/>
        <w:gridCol w:w="1123"/>
      </w:tblGrid>
      <w:tr w:rsidR="00967E25">
        <w:trPr>
          <w:trHeight w:val="527"/>
        </w:trPr>
        <w:tc>
          <w:tcPr>
            <w:tcW w:w="588"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58"/>
              <w:ind w:left="67" w:right="-15"/>
              <w:rPr>
                <w:b/>
                <w:color w:val="000000"/>
                <w:sz w:val="24"/>
                <w:szCs w:val="24"/>
              </w:rPr>
            </w:pPr>
            <w:r>
              <w:rPr>
                <w:b/>
                <w:color w:val="000000"/>
                <w:sz w:val="24"/>
                <w:szCs w:val="24"/>
              </w:rPr>
              <w:t>ITEM</w:t>
            </w: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58"/>
              <w:ind w:left="66"/>
              <w:rPr>
                <w:b/>
                <w:color w:val="000000"/>
                <w:sz w:val="24"/>
                <w:szCs w:val="24"/>
              </w:rPr>
            </w:pPr>
            <w:r>
              <w:rPr>
                <w:b/>
                <w:color w:val="000000"/>
                <w:sz w:val="24"/>
                <w:szCs w:val="24"/>
              </w:rPr>
              <w:t>DESCRIÇÃO</w:t>
            </w:r>
          </w:p>
        </w:tc>
        <w:tc>
          <w:tcPr>
            <w:tcW w:w="88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58"/>
              <w:ind w:left="66" w:right="-15"/>
              <w:rPr>
                <w:b/>
                <w:color w:val="000000"/>
                <w:sz w:val="24"/>
                <w:szCs w:val="24"/>
              </w:rPr>
            </w:pPr>
            <w:r>
              <w:rPr>
                <w:b/>
                <w:color w:val="000000"/>
                <w:sz w:val="24"/>
                <w:szCs w:val="24"/>
              </w:rPr>
              <w:t>QUANT.</w:t>
            </w:r>
          </w:p>
        </w:tc>
        <w:tc>
          <w:tcPr>
            <w:tcW w:w="101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58"/>
              <w:ind w:left="66" w:right="-15"/>
              <w:rPr>
                <w:b/>
                <w:color w:val="000000"/>
                <w:sz w:val="24"/>
                <w:szCs w:val="24"/>
              </w:rPr>
            </w:pPr>
            <w:r>
              <w:rPr>
                <w:b/>
                <w:color w:val="000000"/>
                <w:sz w:val="24"/>
                <w:szCs w:val="24"/>
              </w:rPr>
              <w:t>UNIDADE</w:t>
            </w: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58"/>
              <w:ind w:left="66"/>
              <w:rPr>
                <w:b/>
                <w:color w:val="000000"/>
                <w:sz w:val="24"/>
                <w:szCs w:val="24"/>
              </w:rPr>
            </w:pPr>
            <w:r>
              <w:rPr>
                <w:b/>
                <w:color w:val="000000"/>
                <w:sz w:val="24"/>
                <w:szCs w:val="24"/>
              </w:rPr>
              <w:t>VALOR UNITÁRIO</w:t>
            </w:r>
          </w:p>
        </w:tc>
        <w:tc>
          <w:tcPr>
            <w:tcW w:w="152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spacing w:before="58"/>
              <w:ind w:left="66"/>
              <w:rPr>
                <w:b/>
                <w:color w:val="000000"/>
                <w:sz w:val="24"/>
                <w:szCs w:val="24"/>
              </w:rPr>
            </w:pPr>
            <w:r>
              <w:rPr>
                <w:b/>
                <w:color w:val="000000"/>
                <w:sz w:val="24"/>
                <w:szCs w:val="24"/>
              </w:rPr>
              <w:t>VALOR TOTAL</w:t>
            </w:r>
          </w:p>
        </w:tc>
      </w:tr>
      <w:tr w:rsidR="00967E25">
        <w:trPr>
          <w:trHeight w:val="470"/>
        </w:trPr>
        <w:tc>
          <w:tcPr>
            <w:tcW w:w="588"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36B82">
            <w:pPr>
              <w:widowControl w:val="0"/>
              <w:ind w:left="57"/>
              <w:rPr>
                <w:color w:val="000000"/>
                <w:sz w:val="24"/>
                <w:szCs w:val="24"/>
              </w:rPr>
            </w:pPr>
            <w:r>
              <w:rPr>
                <w:color w:val="000000"/>
                <w:sz w:val="24"/>
                <w:szCs w:val="24"/>
              </w:rPr>
              <w:t>1.</w:t>
            </w: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67E25">
            <w:pPr>
              <w:widowControl w:val="0"/>
              <w:rPr>
                <w:rFonts w:eastAsia="Times New Roman" w:cs="Times New Roman"/>
                <w:color w:val="000000"/>
                <w:sz w:val="24"/>
                <w:szCs w:val="24"/>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67E25">
            <w:pPr>
              <w:widowControl w:val="0"/>
              <w:rPr>
                <w:rFonts w:eastAsia="Times New Roman" w:cs="Times New Roman"/>
                <w:color w:val="000000"/>
                <w:sz w:val="24"/>
                <w:szCs w:val="24"/>
              </w:rPr>
            </w:pPr>
          </w:p>
        </w:tc>
        <w:tc>
          <w:tcPr>
            <w:tcW w:w="1019"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67E25">
            <w:pPr>
              <w:widowControl w:val="0"/>
              <w:rPr>
                <w:rFonts w:eastAsia="Times New Roman" w:cs="Times New Roman"/>
                <w:color w:val="000000"/>
                <w:sz w:val="24"/>
                <w:szCs w:val="24"/>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67E25">
            <w:pPr>
              <w:widowControl w:val="0"/>
              <w:rPr>
                <w:rFonts w:eastAsia="Times New Roman" w:cs="Times New Roman"/>
                <w:color w:val="000000"/>
                <w:sz w:val="24"/>
                <w:szCs w:val="24"/>
              </w:rPr>
            </w:pPr>
          </w:p>
        </w:tc>
        <w:tc>
          <w:tcPr>
            <w:tcW w:w="1524" w:type="dxa"/>
            <w:tcBorders>
              <w:top w:val="single" w:sz="4" w:space="0" w:color="000000"/>
              <w:left w:val="single" w:sz="4" w:space="0" w:color="000000"/>
              <w:bottom w:val="single" w:sz="4" w:space="0" w:color="000000"/>
              <w:right w:val="single" w:sz="4" w:space="0" w:color="000000"/>
            </w:tcBorders>
            <w:shd w:val="clear" w:color="auto" w:fill="auto"/>
          </w:tcPr>
          <w:p w:rsidR="00967E25" w:rsidRDefault="00967E25">
            <w:pPr>
              <w:widowControl w:val="0"/>
              <w:rPr>
                <w:rFonts w:eastAsia="Times New Roman" w:cs="Times New Roman"/>
                <w:color w:val="000000"/>
                <w:sz w:val="24"/>
                <w:szCs w:val="24"/>
              </w:rPr>
            </w:pPr>
          </w:p>
        </w:tc>
      </w:tr>
    </w:tbl>
    <w:p w:rsidR="00967E25" w:rsidRDefault="00967E25">
      <w:pPr>
        <w:widowControl w:val="0"/>
        <w:spacing w:before="7"/>
        <w:rPr>
          <w:color w:val="000000"/>
          <w:sz w:val="24"/>
          <w:szCs w:val="24"/>
        </w:rPr>
      </w:pPr>
    </w:p>
    <w:p w:rsidR="00967E25" w:rsidRDefault="00936B82">
      <w:pPr>
        <w:spacing w:before="56" w:line="252" w:lineRule="auto"/>
        <w:ind w:left="1042" w:right="420"/>
        <w:rPr>
          <w:sz w:val="24"/>
          <w:szCs w:val="24"/>
        </w:rPr>
      </w:pPr>
      <w:r>
        <w:rPr>
          <w:sz w:val="24"/>
          <w:szCs w:val="24"/>
        </w:rPr>
        <w:t>O prazo de entrega e de garantia dos itens será de acordo com o estipulado no Termo de Referência.</w:t>
      </w:r>
    </w:p>
    <w:p w:rsidR="00967E25" w:rsidRDefault="00967E25">
      <w:pPr>
        <w:widowControl w:val="0"/>
        <w:spacing w:before="2"/>
        <w:rPr>
          <w:color w:val="000000"/>
          <w:sz w:val="24"/>
          <w:szCs w:val="24"/>
        </w:rPr>
      </w:pPr>
    </w:p>
    <w:p w:rsidR="00967E25" w:rsidRDefault="00936B82">
      <w:pPr>
        <w:spacing w:line="252" w:lineRule="auto"/>
        <w:ind w:left="1042" w:right="1137"/>
        <w:rPr>
          <w:sz w:val="24"/>
          <w:szCs w:val="24"/>
        </w:rPr>
      </w:pPr>
      <w:r>
        <w:rPr>
          <w:sz w:val="24"/>
          <w:szCs w:val="24"/>
        </w:rPr>
        <w:t>Declaramos que estamos de pleno acordo com todas as condições, obrigações e responsabilidades especificadas no Termo de Referência.</w:t>
      </w:r>
    </w:p>
    <w:p w:rsidR="00967E25" w:rsidRDefault="00967E25">
      <w:pPr>
        <w:widowControl w:val="0"/>
        <w:spacing w:before="8"/>
        <w:rPr>
          <w:color w:val="000000"/>
          <w:sz w:val="24"/>
          <w:szCs w:val="24"/>
        </w:rPr>
      </w:pPr>
    </w:p>
    <w:p w:rsidR="00967E25" w:rsidRDefault="00936B82">
      <w:pPr>
        <w:spacing w:line="252" w:lineRule="auto"/>
        <w:ind w:left="1042"/>
        <w:rPr>
          <w:sz w:val="24"/>
          <w:szCs w:val="24"/>
        </w:rPr>
      </w:pPr>
      <w:r>
        <w:rPr>
          <w:sz w:val="24"/>
          <w:szCs w:val="24"/>
        </w:rPr>
        <w:t>Declaramos que os produtos a serem entregues estarão em perfeitas condições, serão novos e nunca antes utilizados.</w:t>
      </w:r>
    </w:p>
    <w:p w:rsidR="00967E25" w:rsidRDefault="00967E25">
      <w:pPr>
        <w:widowControl w:val="0"/>
        <w:rPr>
          <w:color w:val="000000"/>
          <w:sz w:val="24"/>
          <w:szCs w:val="24"/>
        </w:rPr>
      </w:pPr>
    </w:p>
    <w:p w:rsidR="00967E25" w:rsidRDefault="00936B82">
      <w:pPr>
        <w:spacing w:line="252" w:lineRule="auto"/>
        <w:ind w:left="1042" w:right="420"/>
        <w:rPr>
          <w:sz w:val="24"/>
          <w:szCs w:val="24"/>
        </w:rPr>
      </w:pPr>
      <w:r>
        <w:rPr>
          <w:sz w:val="24"/>
          <w:szCs w:val="24"/>
        </w:rPr>
        <w:t>Declaramos que responderemos, mesmo após o recebimento definitivo, pela detecção ou descobrimento de defeitos ocultos promovendo a sua substituição.</w:t>
      </w:r>
    </w:p>
    <w:p w:rsidR="00967E25" w:rsidRDefault="00967E25">
      <w:pPr>
        <w:widowControl w:val="0"/>
        <w:spacing w:before="8"/>
        <w:rPr>
          <w:color w:val="000000"/>
          <w:sz w:val="24"/>
          <w:szCs w:val="24"/>
        </w:rPr>
      </w:pPr>
    </w:p>
    <w:p w:rsidR="00967E25" w:rsidRDefault="00936B82">
      <w:pPr>
        <w:spacing w:line="252" w:lineRule="auto"/>
        <w:ind w:left="1042" w:right="420"/>
        <w:rPr>
          <w:sz w:val="24"/>
          <w:szCs w:val="24"/>
        </w:rPr>
      </w:pPr>
      <w:r>
        <w:rPr>
          <w:sz w:val="24"/>
          <w:szCs w:val="24"/>
        </w:rPr>
        <w:t>Declaramos que nos preços cotados estão incluídas todas as despesas que, direta ou indiretamente, fazem parte do presente objeto, tais como gastos da empresa com suporte técnico, administrativo, frete, impostos, seguros, taxas ou quaisquer outros que possam incidir sobre gastos da empresa, sem quaisquer acréscimos em virtude de expectativa inflacionária e deduzidos os descontos eventualmente concedidos.</w:t>
      </w:r>
    </w:p>
    <w:p w:rsidR="00967E25" w:rsidRDefault="00967E25">
      <w:pPr>
        <w:widowControl w:val="0"/>
        <w:spacing w:before="6"/>
        <w:rPr>
          <w:color w:val="000000"/>
          <w:sz w:val="24"/>
          <w:szCs w:val="24"/>
        </w:rPr>
      </w:pPr>
    </w:p>
    <w:p w:rsidR="00967E25" w:rsidRDefault="00936B82">
      <w:pPr>
        <w:spacing w:before="1" w:line="252" w:lineRule="auto"/>
        <w:ind w:left="1042" w:right="420"/>
        <w:rPr>
          <w:sz w:val="24"/>
          <w:szCs w:val="24"/>
        </w:rPr>
      </w:pPr>
      <w:r>
        <w:rPr>
          <w:sz w:val="24"/>
          <w:szCs w:val="24"/>
        </w:rPr>
        <w:t>Caso nos seja adjudicado o objeto da licitação, comprometemo-nos a entregá-lo no prazo determinado no documento de convocação, assim, após cumpridas nossas obrigações, e para fins de posterior pagamento, fornecemos os seguintes dados:</w:t>
      </w:r>
    </w:p>
    <w:p w:rsidR="00967E25" w:rsidRDefault="00936B82">
      <w:pPr>
        <w:spacing w:before="119" w:line="372" w:lineRule="auto"/>
        <w:ind w:left="1042" w:right="5866"/>
        <w:rPr>
          <w:sz w:val="24"/>
          <w:szCs w:val="24"/>
        </w:rPr>
      </w:pPr>
      <w:r>
        <w:rPr>
          <w:noProof/>
          <w:lang w:val="pt-BR" w:eastAsia="pt-BR"/>
        </w:rPr>
        <mc:AlternateContent>
          <mc:Choice Requires="wps">
            <w:drawing>
              <wp:anchor distT="0" distB="0" distL="114300" distR="114300" simplePos="0" relativeHeight="10" behindDoc="0" locked="0" layoutInCell="1" allowOverlap="1">
                <wp:simplePos x="0" y="0"/>
                <wp:positionH relativeFrom="column">
                  <wp:posOffset>774700</wp:posOffset>
                </wp:positionH>
                <wp:positionV relativeFrom="paragraph">
                  <wp:posOffset>596900</wp:posOffset>
                </wp:positionV>
                <wp:extent cx="9525" cy="13335"/>
                <wp:effectExtent l="0" t="0" r="0" b="0"/>
                <wp:wrapNone/>
                <wp:docPr id="12" name="Figura7"/>
                <wp:cNvGraphicFramePr/>
                <a:graphic xmlns:a="http://schemas.openxmlformats.org/drawingml/2006/main">
                  <a:graphicData uri="http://schemas.microsoft.com/office/word/2010/wordprocessingShape">
                    <wps:wsp>
                      <wps:cNvSpPr/>
                      <wps:spPr>
                        <a:xfrm>
                          <a:off x="0" y="0"/>
                          <a:ext cx="9000" cy="12600"/>
                        </a:xfrm>
                        <a:prstGeom prst="rect">
                          <a:avLst/>
                        </a:prstGeom>
                        <a:solidFill>
                          <a:srgbClr val="000000"/>
                        </a:solidFill>
                        <a:ln>
                          <a:noFill/>
                        </a:ln>
                      </wps:spPr>
                      <wps:style>
                        <a:lnRef idx="0">
                          <a:scrgbClr r="0" g="0" b="0"/>
                        </a:lnRef>
                        <a:fillRef idx="0">
                          <a:scrgbClr r="0" g="0" b="0"/>
                        </a:fillRef>
                        <a:effectRef idx="0">
                          <a:scrgbClr r="0" g="0" b="0"/>
                        </a:effectRef>
                        <a:fontRef idx="minor"/>
                      </wps:style>
                      <wps:txbx>
                        <w:txbxContent>
                          <w:p w:rsidR="00967E25" w:rsidRDefault="00967E25">
                            <w:pPr>
                              <w:pStyle w:val="Contedodoquadro"/>
                              <w:spacing w:line="240" w:lineRule="exact"/>
                            </w:pPr>
                          </w:p>
                        </w:txbxContent>
                      </wps:txbx>
                      <wps:bodyPr tIns="91440" bIns="91440" anchor="ctr">
                        <a:noAutofit/>
                      </wps:bodyPr>
                    </wps:wsp>
                  </a:graphicData>
                </a:graphic>
              </wp:anchor>
            </w:drawing>
          </mc:Choice>
          <mc:Fallback>
            <w:pict>
              <v:rect id="Figura7" o:spid="_x0000_s1026" style="position:absolute;left:0;text-align:left;margin-left:61pt;margin-top:47pt;width:.75pt;height:1.05pt;z-index:1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KwK5QEAADYEAAAOAAAAZHJzL2Uyb0RvYy54bWysU8Fu2zAMvQ/YPwi6L3aColuNOEWxIsOA&#10;YSvW7QMUWYoFSKJAKbHz96NkN023U4f6IJMS+aj3SK1vR2fZUWE04Fu+XNScKS+hM37f8t+/th8+&#10;cRaT8J2w4FXLTyry2837d+shNGoFPdhOISMQH5shtLxPKTRVFWWvnIgLCMrToQZ0IpGL+6pDMRC6&#10;s9Wqrq+rAbALCFLFSLv30yHfFHytlUw/tI4qMdtyulsqK5Z1l9dqsxbNHkXojZyvIf7jFk4YT0XP&#10;UPciCXZA8w+UMxIhgk4LCa4CrY1UhQOxWdZ/sXnsRVCFC4kTw1mm+Haw8vvxAZnpqHcrzrxw1KOt&#10;2R9QfMzaDCE2FPIYHnD2IpmZ6KjR5T9RYGPR83TWU42JSdq8qWvSXNLBcnVNJkFUz5kBY/qiwLFs&#10;tBypV0VCcfwW0xT6FJILRbCm2xpri4P73WeL7ChyX8s3o78Isz4He8hpE2LeqTKriUex0smqHGf9&#10;T6VJi0KnVJFzmWlgaKKJztPYEJOSkAM14b8yd07J2arM6Svzz0mlPvh0znfGAxY1LthlM427ce7i&#10;DroT9T199TRLN8urq0zs0hFe9kC0ZcLSFA93hwTalMZksAlhFpOGs7R2fkh5+i/9EvX83Dd/AAAA&#10;//8DAFBLAwQUAAYACAAAACEAWHEx1N4AAAAJAQAADwAAAGRycy9kb3ducmV2LnhtbEyPQU/DMAyF&#10;70j8h8hI3Fjask1Qmk6ANAlxYwMhbl4b2rLEqRqv6/493glO1rOfnr9XrCbv1GiH2AUykM4SUJaq&#10;UHfUGHjfrm/uQEVGqtEFsgZONsKqvLwoMK/Dkd7suOFGSQjFHA20zH2udaxa6zHOQm9Jbt9h8Mgi&#10;h0bXAx4l3DudJclSe+xIPrTY2+fWVvvNwRtY81PKC/eJXymN2z2e5h8/ry/GXF9Njw+g2E78Z4Yz&#10;vqBDKUy7cKA6Kic6y6QLG7ifyzwbstsFqJ0slinostD/G5S/AAAA//8DAFBLAQItABQABgAIAAAA&#10;IQC2gziS/gAAAOEBAAATAAAAAAAAAAAAAAAAAAAAAABbQ29udGVudF9UeXBlc10ueG1sUEsBAi0A&#10;FAAGAAgAAAAhADj9If/WAAAAlAEAAAsAAAAAAAAAAAAAAAAALwEAAF9yZWxzLy5yZWxzUEsBAi0A&#10;FAAGAAgAAAAhAB6ErArlAQAANgQAAA4AAAAAAAAAAAAAAAAALgIAAGRycy9lMm9Eb2MueG1sUEsB&#10;Ai0AFAAGAAgAAAAhAFhxMdTeAAAACQEAAA8AAAAAAAAAAAAAAAAAPwQAAGRycy9kb3ducmV2Lnht&#10;bFBLBQYAAAAABAAEAPMAAABKBQAAAAA=&#10;" fillcolor="black" stroked="f">
                <v:textbox inset=",7.2pt,,7.2pt">
                  <w:txbxContent>
                    <w:p w:rsidR="00967E25" w:rsidRDefault="00967E25">
                      <w:pPr>
                        <w:pStyle w:val="Contedodoquadro"/>
                        <w:spacing w:line="240" w:lineRule="exact"/>
                      </w:pPr>
                    </w:p>
                  </w:txbxContent>
                </v:textbox>
              </v:rect>
            </w:pict>
          </mc:Fallback>
        </mc:AlternateContent>
      </w:r>
      <w:r>
        <w:rPr>
          <w:noProof/>
          <w:lang w:val="pt-BR" w:eastAsia="pt-BR"/>
        </w:rPr>
        <mc:AlternateContent>
          <mc:Choice Requires="wps">
            <w:drawing>
              <wp:anchor distT="0" distB="0" distL="114300" distR="114300" simplePos="0" relativeHeight="11" behindDoc="1" locked="0" layoutInCell="1" allowOverlap="1">
                <wp:simplePos x="0" y="0"/>
                <wp:positionH relativeFrom="column">
                  <wp:posOffset>774700</wp:posOffset>
                </wp:positionH>
                <wp:positionV relativeFrom="paragraph">
                  <wp:posOffset>330200</wp:posOffset>
                </wp:positionV>
                <wp:extent cx="9525" cy="13335"/>
                <wp:effectExtent l="0" t="0" r="0" b="0"/>
                <wp:wrapNone/>
                <wp:docPr id="14" name="Figura6"/>
                <wp:cNvGraphicFramePr/>
                <a:graphic xmlns:a="http://schemas.openxmlformats.org/drawingml/2006/main">
                  <a:graphicData uri="http://schemas.microsoft.com/office/word/2010/wordprocessingShape">
                    <wps:wsp>
                      <wps:cNvSpPr/>
                      <wps:spPr>
                        <a:xfrm>
                          <a:off x="0" y="0"/>
                          <a:ext cx="9000" cy="12600"/>
                        </a:xfrm>
                        <a:prstGeom prst="rect">
                          <a:avLst/>
                        </a:prstGeom>
                        <a:solidFill>
                          <a:srgbClr val="000000"/>
                        </a:solidFill>
                        <a:ln>
                          <a:noFill/>
                        </a:ln>
                      </wps:spPr>
                      <wps:style>
                        <a:lnRef idx="0">
                          <a:scrgbClr r="0" g="0" b="0"/>
                        </a:lnRef>
                        <a:fillRef idx="0">
                          <a:scrgbClr r="0" g="0" b="0"/>
                        </a:fillRef>
                        <a:effectRef idx="0">
                          <a:scrgbClr r="0" g="0" b="0"/>
                        </a:effectRef>
                        <a:fontRef idx="minor"/>
                      </wps:style>
                      <wps:txbx>
                        <w:txbxContent>
                          <w:p w:rsidR="00967E25" w:rsidRDefault="00967E25">
                            <w:pPr>
                              <w:pStyle w:val="Contedodoquadro"/>
                              <w:spacing w:line="240" w:lineRule="exact"/>
                            </w:pPr>
                          </w:p>
                        </w:txbxContent>
                      </wps:txbx>
                      <wps:bodyPr tIns="91440" bIns="91440" anchor="ctr">
                        <a:noAutofit/>
                      </wps:bodyPr>
                    </wps:wsp>
                  </a:graphicData>
                </a:graphic>
              </wp:anchor>
            </w:drawing>
          </mc:Choice>
          <mc:Fallback>
            <w:pict>
              <v:rect id="Figura6" o:spid="_x0000_s1027" style="position:absolute;left:0;text-align:left;margin-left:61pt;margin-top:26pt;width:.75pt;height:1.05pt;z-index:-50331646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Egp5gEAAD0EAAAOAAAAZHJzL2Uyb0RvYy54bWysU8GO2yAQvVfqPyDujZ0oirpRnNVqV6kq&#10;Ve2q234AwRAjAYMGkjh/3wF7nbQ9bVUf8AzMvOG9GTb3vbPspDAa8A2fz2rOlJfQGn9o+M8fuw8f&#10;OYtJ+FZY8KrhFxX5/fb9u805rNUCOrCtQkYgPq7PoeFdSmFdVVF2yok4g6A8HWpAJxK5eKhaFGdC&#10;d7Za1PWqOgO2AUGqGGn3aTjk24KvtZLpm9ZRJWYbTndLZcWy7vNabTdifUAROiPHa4h/uIUTxlPR&#10;CepJJMGOaP6CckYiRNBpJsFVoLWRqnAgNvP6DzYvnQiqcCFxYphkiv8PVn49PSMzLfVuyZkXjnq0&#10;M4cjilXW5hzimkJewjOOXiQzE+01uvwnCqwvel4mPVWfmKTNu7omzSUdzBcrMgmiumYGjOmTAsey&#10;0XCkXhUJxelLTEPoa0guFMGadmesLQ4e9o8W2UnkvpZvRP8tzPoc7CGnDYh5p8qsBh7FShercpz1&#10;35UmLQqdUkWOZYaBoYkmOq9jQ0xKQg7UhP/G3DElZ6syp2/Mn5JKffBpynfGAxY1bthlM/X7fmh1&#10;Ps07e2gv1P702dNI3c2Xy8zv1hFedkDsZcLSGw8PxwTalP5cEUZNaUZLh8f3lB/BrV+irq9++wsA&#10;AP//AwBQSwMEFAAGAAgAAAAhAARz53HdAAAACQEAAA8AAABkcnMvZG93bnJldi54bWxMj0FPwzAM&#10;he+T+A+RkbhtacuKUGk6AdIkxI0NhLh5TWjLEqdqvK7796QnOFnPfnr+XrmZnBWjGULnSUG6SkAY&#10;qr3uqFHwvt8u70EERtJoPRkFFxNgU10tSiy0P9ObGXfciBhCoUAFLXNfSBnq1jgMK98birdvPzjk&#10;KIdG6gHPMdxZmSXJnXTYUfzQYm+eW1MfdyenYMtPKef2E79SGvdHvKw/fl5flLq5nh4fQLCZ+M8M&#10;M35EhyoyHfyJdBA26iyLXVhBPs/ZkN3mIA5xsU5BVqX836D6BQAA//8DAFBLAQItABQABgAIAAAA&#10;IQC2gziS/gAAAOEBAAATAAAAAAAAAAAAAAAAAAAAAABbQ29udGVudF9UeXBlc10ueG1sUEsBAi0A&#10;FAAGAAgAAAAhADj9If/WAAAAlAEAAAsAAAAAAAAAAAAAAAAALwEAAF9yZWxzLy5yZWxzUEsBAi0A&#10;FAAGAAgAAAAhACUoSCnmAQAAPQQAAA4AAAAAAAAAAAAAAAAALgIAAGRycy9lMm9Eb2MueG1sUEsB&#10;Ai0AFAAGAAgAAAAhAARz53HdAAAACQEAAA8AAAAAAAAAAAAAAAAAQAQAAGRycy9kb3ducmV2Lnht&#10;bFBLBQYAAAAABAAEAPMAAABKBQAAAAA=&#10;" fillcolor="black" stroked="f">
                <v:textbox inset=",7.2pt,,7.2pt">
                  <w:txbxContent>
                    <w:p w:rsidR="00967E25" w:rsidRDefault="00967E25">
                      <w:pPr>
                        <w:pStyle w:val="Contedodoquadro"/>
                        <w:spacing w:line="240" w:lineRule="exact"/>
                      </w:pPr>
                    </w:p>
                  </w:txbxContent>
                </v:textbox>
              </v:rect>
            </w:pict>
          </mc:Fallback>
        </mc:AlternateContent>
      </w:r>
      <w:r>
        <w:rPr>
          <w:sz w:val="24"/>
          <w:szCs w:val="24"/>
        </w:rPr>
        <w:t>Razão Social da Empresa: CNPJ: Endereço:</w:t>
      </w:r>
    </w:p>
    <w:p w:rsidR="00967E25" w:rsidRDefault="00936B82">
      <w:pPr>
        <w:spacing w:line="273" w:lineRule="auto"/>
        <w:ind w:left="1042"/>
        <w:rPr>
          <w:sz w:val="24"/>
          <w:szCs w:val="24"/>
        </w:rPr>
      </w:pPr>
      <w:r>
        <w:rPr>
          <w:sz w:val="24"/>
          <w:szCs w:val="24"/>
        </w:rPr>
        <w:t>Cidade/UF: CEP:</w:t>
      </w:r>
    </w:p>
    <w:p w:rsidR="00967E25" w:rsidRDefault="00936B82">
      <w:pPr>
        <w:spacing w:before="151" w:line="372" w:lineRule="auto"/>
        <w:ind w:left="1042" w:right="4485"/>
        <w:rPr>
          <w:sz w:val="24"/>
          <w:szCs w:val="24"/>
        </w:rPr>
        <w:sectPr w:rsidR="00967E25">
          <w:headerReference w:type="default" r:id="rId23"/>
          <w:footerReference w:type="default" r:id="rId24"/>
          <w:pgSz w:w="11906" w:h="16838"/>
          <w:pgMar w:top="1480" w:right="1260" w:bottom="280" w:left="660" w:header="0" w:footer="0" w:gutter="0"/>
          <w:cols w:space="720"/>
          <w:formProt w:val="0"/>
          <w:docGrid w:linePitch="100" w:charSpace="4096"/>
        </w:sectPr>
      </w:pPr>
      <w:r>
        <w:rPr>
          <w:noProof/>
          <w:lang w:val="pt-BR" w:eastAsia="pt-BR"/>
        </w:rPr>
        <mc:AlternateContent>
          <mc:Choice Requires="wps">
            <w:drawing>
              <wp:anchor distT="0" distB="0" distL="114300" distR="114300" simplePos="0" relativeHeight="7" behindDoc="0" locked="0" layoutInCell="1" allowOverlap="1">
                <wp:simplePos x="0" y="0"/>
                <wp:positionH relativeFrom="column">
                  <wp:posOffset>762000</wp:posOffset>
                </wp:positionH>
                <wp:positionV relativeFrom="paragraph">
                  <wp:posOffset>622300</wp:posOffset>
                </wp:positionV>
                <wp:extent cx="9525" cy="13335"/>
                <wp:effectExtent l="0" t="0" r="0" b="0"/>
                <wp:wrapNone/>
                <wp:docPr id="16" name="Figura10"/>
                <wp:cNvGraphicFramePr/>
                <a:graphic xmlns:a="http://schemas.openxmlformats.org/drawingml/2006/main">
                  <a:graphicData uri="http://schemas.microsoft.com/office/word/2010/wordprocessingShape">
                    <wps:wsp>
                      <wps:cNvSpPr/>
                      <wps:spPr>
                        <a:xfrm>
                          <a:off x="0" y="0"/>
                          <a:ext cx="9000" cy="12600"/>
                        </a:xfrm>
                        <a:prstGeom prst="rect">
                          <a:avLst/>
                        </a:prstGeom>
                        <a:solidFill>
                          <a:srgbClr val="000000"/>
                        </a:solidFill>
                        <a:ln>
                          <a:noFill/>
                        </a:ln>
                      </wps:spPr>
                      <wps:style>
                        <a:lnRef idx="0">
                          <a:scrgbClr r="0" g="0" b="0"/>
                        </a:lnRef>
                        <a:fillRef idx="0">
                          <a:scrgbClr r="0" g="0" b="0"/>
                        </a:fillRef>
                        <a:effectRef idx="0">
                          <a:scrgbClr r="0" g="0" b="0"/>
                        </a:effectRef>
                        <a:fontRef idx="minor"/>
                      </wps:style>
                      <wps:txbx>
                        <w:txbxContent>
                          <w:p w:rsidR="00967E25" w:rsidRDefault="00967E25">
                            <w:pPr>
                              <w:pStyle w:val="Contedodoquadro"/>
                              <w:spacing w:line="240" w:lineRule="exact"/>
                            </w:pPr>
                          </w:p>
                        </w:txbxContent>
                      </wps:txbx>
                      <wps:bodyPr tIns="91440" bIns="91440" anchor="ctr">
                        <a:noAutofit/>
                      </wps:bodyPr>
                    </wps:wsp>
                  </a:graphicData>
                </a:graphic>
              </wp:anchor>
            </w:drawing>
          </mc:Choice>
          <mc:Fallback>
            <w:pict>
              <v:rect id="Figura10" o:spid="_x0000_s1028" style="position:absolute;left:0;text-align:left;margin-left:60pt;margin-top:49pt;width:.75pt;height:1.05pt;z-index: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pl5wEAAD4EAAAOAAAAZHJzL2Uyb0RvYy54bWysU8GO0zAQvSPxD5bvNGm1qtio6QqxKkJC&#10;sGLhA1zHbizZHst2m/TvGU+zaYHTInJwZuyZN35vxpuH0Vl2UjEZ8C1fLmrOlJfQGX9o+c8fu3fv&#10;OUtZ+E5Y8KrlZ5X4w/btm80QGrWCHmynIkMQn5ohtLzPOTRVlWSvnEgLCMrjoYboREY3HqouigHR&#10;na1Wdb2uBohdiCBVSrj7eDnkW8LXWsn8TeukMrMtx7tlWiOt+7JW241oDlGE3sjpGuIfbuGE8Vh0&#10;hnoUWbBjNH9BOSMjJNB5IcFVoLWRijggm2X9B5vnXgRFXFCcFGaZ0v+DlV9PT5GZDnu35swLhz3a&#10;mcMxiiWJM4TUYMxzeIooVfESmoXpqKMrf+TARhL0PAuqxswkbt7XNYou8WC5WqOJENU1M8SUPylw&#10;rBgtj9gs0lCcvqR8CX0JKYUSWNPtjLXkxMP+o43sJEpj6ZvQfwuzvgR7KGkXxLJTXXmQlc9WlTjr&#10;vyuNYhAdqiKnMpeJwZFGOi9zg0wooQRqxH9l7pRSshUN6ivz5ySqDz7P+c54iKTGDbti5nE/Uq9X&#10;5bTs7KE7Y//zZ48zdb+8uyv8bh3hZQ/IXuZIvfHw4ZhBG+rPFWHSFIeUOjw9qPIKbn2Kuj777S8A&#10;AAD//wMAUEsDBBQABgAIAAAAIQBeAI1V3QAAAAoBAAAPAAAAZHJzL2Rvd25yZXYueG1sTI9BT8Mw&#10;DIXvSPyHyEjcWJKJoVGaToA0CXFjAyFuXhPassSpmqzr/j3eCU7203t6/lyupuDF6IbURTKgZwqE&#10;ozrajhoD79v1zRJEykgWfSRn4OQSrKrLixILG4/05sZNbgSXUCrQQJtzX0iZ6tYFTLPYO2LvOw4B&#10;M8uhkXbAI5cHL+dK3cmAHfGFFnv33Lp6vzkEA+v8pPPCf+KXpnG7x9Ptx8/rizHXV9PjA4jspvwX&#10;hjM+o0PFTLt4IJuEZ831HDVwv+R5Dsz1AsSOF6U0yKqU/1+ofgEAAP//AwBQSwECLQAUAAYACAAA&#10;ACEAtoM4kv4AAADhAQAAEwAAAAAAAAAAAAAAAAAAAAAAW0NvbnRlbnRfVHlwZXNdLnhtbFBLAQIt&#10;ABQABgAIAAAAIQA4/SH/1gAAAJQBAAALAAAAAAAAAAAAAAAAAC8BAABfcmVscy8ucmVsc1BLAQIt&#10;ABQABgAIAAAAIQCRTApl5wEAAD4EAAAOAAAAAAAAAAAAAAAAAC4CAABkcnMvZTJvRG9jLnhtbFBL&#10;AQItABQABgAIAAAAIQBeAI1V3QAAAAoBAAAPAAAAAAAAAAAAAAAAAEEEAABkcnMvZG93bnJldi54&#10;bWxQSwUGAAAAAAQABADzAAAASwUAAAAA&#10;" fillcolor="black" stroked="f">
                <v:textbox inset=",7.2pt,,7.2pt">
                  <w:txbxContent>
                    <w:p w:rsidR="00967E25" w:rsidRDefault="00967E25">
                      <w:pPr>
                        <w:pStyle w:val="Contedodoquadro"/>
                        <w:spacing w:line="240" w:lineRule="exact"/>
                      </w:pPr>
                    </w:p>
                  </w:txbxContent>
                </v:textbox>
              </v:rect>
            </w:pict>
          </mc:Fallback>
        </mc:AlternateContent>
      </w:r>
      <w:r>
        <w:rPr>
          <w:noProof/>
          <w:lang w:val="pt-BR" w:eastAsia="pt-BR"/>
        </w:rPr>
        <mc:AlternateContent>
          <mc:Choice Requires="wps">
            <w:drawing>
              <wp:anchor distT="0" distB="0" distL="114300" distR="114300" simplePos="0" relativeHeight="8" behindDoc="0" locked="0" layoutInCell="1" allowOverlap="1">
                <wp:simplePos x="0" y="0"/>
                <wp:positionH relativeFrom="column">
                  <wp:posOffset>774700</wp:posOffset>
                </wp:positionH>
                <wp:positionV relativeFrom="paragraph">
                  <wp:posOffset>76200</wp:posOffset>
                </wp:positionV>
                <wp:extent cx="9525" cy="13335"/>
                <wp:effectExtent l="0" t="0" r="0" b="0"/>
                <wp:wrapNone/>
                <wp:docPr id="18" name="Figura9"/>
                <wp:cNvGraphicFramePr/>
                <a:graphic xmlns:a="http://schemas.openxmlformats.org/drawingml/2006/main">
                  <a:graphicData uri="http://schemas.microsoft.com/office/word/2010/wordprocessingShape">
                    <wps:wsp>
                      <wps:cNvSpPr/>
                      <wps:spPr>
                        <a:xfrm>
                          <a:off x="0" y="0"/>
                          <a:ext cx="9000" cy="12600"/>
                        </a:xfrm>
                        <a:prstGeom prst="rect">
                          <a:avLst/>
                        </a:prstGeom>
                        <a:solidFill>
                          <a:srgbClr val="000000"/>
                        </a:solidFill>
                        <a:ln>
                          <a:noFill/>
                        </a:ln>
                      </wps:spPr>
                      <wps:style>
                        <a:lnRef idx="0">
                          <a:scrgbClr r="0" g="0" b="0"/>
                        </a:lnRef>
                        <a:fillRef idx="0">
                          <a:scrgbClr r="0" g="0" b="0"/>
                        </a:fillRef>
                        <a:effectRef idx="0">
                          <a:scrgbClr r="0" g="0" b="0"/>
                        </a:effectRef>
                        <a:fontRef idx="minor"/>
                      </wps:style>
                      <wps:txbx>
                        <w:txbxContent>
                          <w:p w:rsidR="00967E25" w:rsidRDefault="00967E25">
                            <w:pPr>
                              <w:pStyle w:val="Contedodoquadro"/>
                              <w:spacing w:line="240" w:lineRule="exact"/>
                            </w:pPr>
                          </w:p>
                        </w:txbxContent>
                      </wps:txbx>
                      <wps:bodyPr tIns="91440" bIns="91440" anchor="ctr">
                        <a:noAutofit/>
                      </wps:bodyPr>
                    </wps:wsp>
                  </a:graphicData>
                </a:graphic>
              </wp:anchor>
            </w:drawing>
          </mc:Choice>
          <mc:Fallback>
            <w:pict>
              <v:rect id="Figura9" o:spid="_x0000_s1029" style="position:absolute;left:0;text-align:left;margin-left:61pt;margin-top:6pt;width:.75pt;height:1.05pt;z-index: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R2O5wEAAD0EAAAOAAAAZHJzL2Uyb0RvYy54bWysU8Fu2zAMvQ/YPwi+L3ayoliCOEWxIsOA&#10;YSvW7QMUWYoFSKJAKYnz96MYN0m3U4f6IJMS+aj3SC3vBu/EXmOyENpqOmkqoYOCzoZtW/3+tf7w&#10;qRIpy9BJB0G31VGn6m71/t3yEBd6Bj24TqMgkJAWh9hWfc5xUddJ9drLNIGoAx0aQC8zubitO5QH&#10;QveunjXNbX0A7CKC0inR7sPpsFoxvjFa5R/GJJ2Fayu6W+YVed2UtV4t5WKLMvZWjdeQ/3ELL22g&#10;omeoB5ml2KH9B8pbhZDA5IkCX4MxVmnmQGymzV9snnoZNXMhcVI8y5TeDlZ93z+isB31jjoVpKce&#10;re12h3JetDnEtKCQp/iIo5fILEQHg778iYIYWM/jWU89ZKFoc940pLmig+nslkyCqC+ZEVP+osGL&#10;YrQVUq9YQrn/lvIp9DmkFErgbLe2zrGD281nh2IvS1/5G9FfhLlQggOUtBNi2akLqxMPtvLR6RLn&#10;wk9tSAumw1XUWOY0MDTRROd5bIgJJ5RAQ/ivzB1TSrbmOX1l/jmJ60PI53xvAyCrccWumHnYDNzq&#10;j+W07GygO1L789dAIzWf3twUfteODKoHYq8ycm8C3O8yGMv9uSCMmtKMcofH91QewbXPUZdXv/oD&#10;AAD//wMAUEsDBBQABgAIAAAAIQD0iq442wAAAAkBAAAPAAAAZHJzL2Rvd25yZXYueG1sTE/RSsNA&#10;EHwX/IdjBd/sJbEVibkUFQrim60ivm1zZxKb2wu5bZr+vZsnfdoZZpidKdaT79TohtgGMpAuElCO&#10;qmBbqg287zY396AiI1nsAjkDZxdhXV5eFJjbcKI3N265VhJCMUcDDXOfax2rxnmMi9A7Eu07DB5Z&#10;6FBrO+BJwn2nsyS50x5bkg8N9u65cdVhe/QGNvyU8qr7xK+Uxt0Bz8uPn9cXY66vpscHUOwm/jPD&#10;XF+qQymd9uFINqpOeJbJFp6B3NmQ3a5A7QUsU9Blof8vKH8BAAD//wMAUEsBAi0AFAAGAAgAAAAh&#10;ALaDOJL+AAAA4QEAABMAAAAAAAAAAAAAAAAAAAAAAFtDb250ZW50X1R5cGVzXS54bWxQSwECLQAU&#10;AAYACAAAACEAOP0h/9YAAACUAQAACwAAAAAAAAAAAAAAAAAvAQAAX3JlbHMvLnJlbHNQSwECLQAU&#10;AAYACAAAACEANGUdjucBAAA9BAAADgAAAAAAAAAAAAAAAAAuAgAAZHJzL2Uyb0RvYy54bWxQSwEC&#10;LQAUAAYACAAAACEA9IquONsAAAAJAQAADwAAAAAAAAAAAAAAAABBBAAAZHJzL2Rvd25yZXYueG1s&#10;UEsFBgAAAAAEAAQA8wAAAEkFAAAAAA==&#10;" fillcolor="black" stroked="f">
                <v:textbox inset=",7.2pt,,7.2pt">
                  <w:txbxContent>
                    <w:p w:rsidR="00967E25" w:rsidRDefault="00967E25">
                      <w:pPr>
                        <w:pStyle w:val="Contedodoquadro"/>
                        <w:spacing w:line="240" w:lineRule="exact"/>
                      </w:pPr>
                    </w:p>
                  </w:txbxContent>
                </v:textbox>
              </v:rect>
            </w:pict>
          </mc:Fallback>
        </mc:AlternateContent>
      </w:r>
      <w:r>
        <w:rPr>
          <w:noProof/>
          <w:lang w:val="pt-BR" w:eastAsia="pt-BR"/>
        </w:rPr>
        <mc:AlternateContent>
          <mc:Choice Requires="wps">
            <w:drawing>
              <wp:anchor distT="0" distB="0" distL="114300" distR="114300" simplePos="0" relativeHeight="9" behindDoc="1" locked="0" layoutInCell="1" allowOverlap="1">
                <wp:simplePos x="0" y="0"/>
                <wp:positionH relativeFrom="column">
                  <wp:posOffset>774700</wp:posOffset>
                </wp:positionH>
                <wp:positionV relativeFrom="paragraph">
                  <wp:posOffset>342900</wp:posOffset>
                </wp:positionV>
                <wp:extent cx="9525" cy="13335"/>
                <wp:effectExtent l="0" t="0" r="0" b="0"/>
                <wp:wrapNone/>
                <wp:docPr id="20" name="Figura8"/>
                <wp:cNvGraphicFramePr/>
                <a:graphic xmlns:a="http://schemas.openxmlformats.org/drawingml/2006/main">
                  <a:graphicData uri="http://schemas.microsoft.com/office/word/2010/wordprocessingShape">
                    <wps:wsp>
                      <wps:cNvSpPr/>
                      <wps:spPr>
                        <a:xfrm>
                          <a:off x="0" y="0"/>
                          <a:ext cx="9000" cy="12600"/>
                        </a:xfrm>
                        <a:prstGeom prst="rect">
                          <a:avLst/>
                        </a:prstGeom>
                        <a:solidFill>
                          <a:srgbClr val="000000"/>
                        </a:solidFill>
                        <a:ln>
                          <a:noFill/>
                        </a:ln>
                      </wps:spPr>
                      <wps:style>
                        <a:lnRef idx="0">
                          <a:scrgbClr r="0" g="0" b="0"/>
                        </a:lnRef>
                        <a:fillRef idx="0">
                          <a:scrgbClr r="0" g="0" b="0"/>
                        </a:fillRef>
                        <a:effectRef idx="0">
                          <a:scrgbClr r="0" g="0" b="0"/>
                        </a:effectRef>
                        <a:fontRef idx="minor"/>
                      </wps:style>
                      <wps:txbx>
                        <w:txbxContent>
                          <w:p w:rsidR="00967E25" w:rsidRDefault="00967E25">
                            <w:pPr>
                              <w:pStyle w:val="Contedodoquadro"/>
                              <w:spacing w:line="240" w:lineRule="exact"/>
                            </w:pPr>
                          </w:p>
                        </w:txbxContent>
                      </wps:txbx>
                      <wps:bodyPr tIns="91440" bIns="91440" anchor="ctr">
                        <a:noAutofit/>
                      </wps:bodyPr>
                    </wps:wsp>
                  </a:graphicData>
                </a:graphic>
              </wp:anchor>
            </w:drawing>
          </mc:Choice>
          <mc:Fallback>
            <w:pict>
              <v:rect id="Figura8" o:spid="_x0000_s1030" style="position:absolute;left:0;text-align:left;margin-left:61pt;margin-top:27pt;width:.75pt;height:1.05pt;z-index:-50331647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sfI5wEAAD0EAAAOAAAAZHJzL2Uyb0RvYy54bWysU8Fu2zAMvQ/YPwi6L3aCoGiNOEWxIsOA&#10;YSvW7gMUWYoFSKIgKbHz96MYN8m2U4f6IJMS+aj3SK3uR2fZQcVkwLd8Pqs5U15CZ/yu5b9eNp9u&#10;OUtZ+E5Y8KrlR5X4/frjh9UQGrWAHmynIkMQn5ohtLzPOTRVlWSvnEgzCMrjoYboREY37qouigHR&#10;na0WdX1TDRC7EEGqlHD38XTI14SvtZL5h9ZJZWZbjnfLtEZat2Wt1ivR7KIIvZHTNcR/3MIJ47Ho&#10;GepRZMH20fwD5YyMkEDnmQRXgdZGKuKAbOb1X2yeexEUcUFxUjjLlN4PVn4/PEVmupYvUB4vHPZo&#10;Y3b7KG6LNkNIDYY8h6c4eQnNQnTU0ZU/UmAj6Xk866nGzCRu3tU1gko8mC9u0ESI6pIZYspfFDhW&#10;jJZH7BVJKA7fUj6FvoaUQgms6TbGWnLibvvZRnYQpa/0Teh/hFlfgj2UtBNi2akKqxMPsvLRqhJn&#10;/U+lUQuiQ1XkVOY0MDjRSOd1bJAJJZRAjfhvzJ1SSraiOX1j/jmJ6oPP53xnPERS44pdMfO4HanV&#10;y3JadrbQHbH9+avHkbqbL5eF37UjvOwB2cscqTceHvYZtKH+XBAmTXFGqcPTeyqP4NqnqMurX/8G&#10;AAD//wMAUEsDBBQABgAIAAAAIQBIe+sP3gAAAAkBAAAPAAAAZHJzL2Rvd25yZXYueG1sTI9BT8Mw&#10;DIXvSPyHyEjcWNqyTqhrOgHSJMSNDYR285rQliVO1WRd9+/xTuxkPfvp+XvlanJWjGYInScF6SwB&#10;Yaj2uqNGwed2/fAEIkQkjdaTUXA2AVbV7U2JhfYn+jDjJjaCQygUqKCNsS+kDHVrHIaZ7w3x7ccP&#10;DiPLoZF6wBOHOyuzJFlIhx3xhxZ789qa+rA5OgXr+JLG3H7jLqVxe8Dz/Ov3/U2p+7vpeQkimin+&#10;m+GCz+hQMdPeH0kHYVlnGXeJCvI5z4she8xB7HmxSEFWpbxuUP0BAAD//wMAUEsBAi0AFAAGAAgA&#10;AAAhALaDOJL+AAAA4QEAABMAAAAAAAAAAAAAAAAAAAAAAFtDb250ZW50X1R5cGVzXS54bWxQSwEC&#10;LQAUAAYACAAAACEAOP0h/9YAAACUAQAACwAAAAAAAAAAAAAAAAAvAQAAX3JlbHMvLnJlbHNQSwEC&#10;LQAUAAYACAAAACEA4ULHyOcBAAA9BAAADgAAAAAAAAAAAAAAAAAuAgAAZHJzL2Uyb0RvYy54bWxQ&#10;SwECLQAUAAYACAAAACEASHvrD94AAAAJAQAADwAAAAAAAAAAAAAAAABBBAAAZHJzL2Rvd25yZXYu&#10;eG1sUEsFBgAAAAAEAAQA8wAAAEwFAAAAAA==&#10;" fillcolor="black" stroked="f">
                <v:textbox inset=",7.2pt,,7.2pt">
                  <w:txbxContent>
                    <w:p w:rsidR="00967E25" w:rsidRDefault="00967E25">
                      <w:pPr>
                        <w:pStyle w:val="Contedodoquadro"/>
                        <w:spacing w:line="240" w:lineRule="exact"/>
                      </w:pPr>
                    </w:p>
                  </w:txbxContent>
                </v:textbox>
              </v:rect>
            </w:pict>
          </mc:Fallback>
        </mc:AlternateContent>
      </w:r>
      <w:r>
        <w:rPr>
          <w:sz w:val="24"/>
          <w:szCs w:val="24"/>
        </w:rPr>
        <w:t>Telefone: Optante pelo simples: ( )SIM ( )NÃO Banco: Agência: Conta:</w:t>
      </w:r>
    </w:p>
    <w:p w:rsidR="00967E25" w:rsidRDefault="00936B82">
      <w:pPr>
        <w:spacing w:before="38"/>
        <w:ind w:left="1042"/>
        <w:rPr>
          <w:sz w:val="24"/>
          <w:szCs w:val="24"/>
        </w:rPr>
      </w:pPr>
      <w:r>
        <w:rPr>
          <w:sz w:val="24"/>
          <w:szCs w:val="24"/>
        </w:rPr>
        <w:lastRenderedPageBreak/>
        <w:t>Responsável: CPF:</w:t>
      </w:r>
    </w:p>
    <w:p w:rsidR="00967E25" w:rsidRDefault="00936B82">
      <w:pPr>
        <w:spacing w:before="151"/>
        <w:ind w:left="1042"/>
        <w:rPr>
          <w:sz w:val="24"/>
          <w:szCs w:val="24"/>
        </w:rPr>
      </w:pPr>
      <w:r>
        <w:rPr>
          <w:noProof/>
          <w:lang w:val="pt-BR" w:eastAsia="pt-BR"/>
        </w:rPr>
        <mc:AlternateContent>
          <mc:Choice Requires="wps">
            <w:drawing>
              <wp:anchor distT="0" distB="0" distL="114300" distR="114300" simplePos="0" relativeHeight="6" behindDoc="0" locked="0" layoutInCell="1" allowOverlap="1">
                <wp:simplePos x="0" y="0"/>
                <wp:positionH relativeFrom="column">
                  <wp:posOffset>774700</wp:posOffset>
                </wp:positionH>
                <wp:positionV relativeFrom="paragraph">
                  <wp:posOffset>76200</wp:posOffset>
                </wp:positionV>
                <wp:extent cx="9525" cy="13335"/>
                <wp:effectExtent l="0" t="0" r="0" b="0"/>
                <wp:wrapNone/>
                <wp:docPr id="22" name="Figura11"/>
                <wp:cNvGraphicFramePr/>
                <a:graphic xmlns:a="http://schemas.openxmlformats.org/drawingml/2006/main">
                  <a:graphicData uri="http://schemas.microsoft.com/office/word/2010/wordprocessingShape">
                    <wps:wsp>
                      <wps:cNvSpPr/>
                      <wps:spPr>
                        <a:xfrm>
                          <a:off x="0" y="0"/>
                          <a:ext cx="9000" cy="12600"/>
                        </a:xfrm>
                        <a:prstGeom prst="rect">
                          <a:avLst/>
                        </a:prstGeom>
                        <a:solidFill>
                          <a:srgbClr val="000000"/>
                        </a:solidFill>
                        <a:ln>
                          <a:noFill/>
                        </a:ln>
                      </wps:spPr>
                      <wps:style>
                        <a:lnRef idx="0">
                          <a:scrgbClr r="0" g="0" b="0"/>
                        </a:lnRef>
                        <a:fillRef idx="0">
                          <a:scrgbClr r="0" g="0" b="0"/>
                        </a:fillRef>
                        <a:effectRef idx="0">
                          <a:scrgbClr r="0" g="0" b="0"/>
                        </a:effectRef>
                        <a:fontRef idx="minor"/>
                      </wps:style>
                      <wps:txbx>
                        <w:txbxContent>
                          <w:p w:rsidR="00967E25" w:rsidRDefault="00967E25">
                            <w:pPr>
                              <w:pStyle w:val="Contedodoquadro"/>
                              <w:spacing w:line="240" w:lineRule="exact"/>
                            </w:pPr>
                          </w:p>
                        </w:txbxContent>
                      </wps:txbx>
                      <wps:bodyPr tIns="91440" bIns="91440" anchor="ctr">
                        <a:noAutofit/>
                      </wps:bodyPr>
                    </wps:wsp>
                  </a:graphicData>
                </a:graphic>
              </wp:anchor>
            </w:drawing>
          </mc:Choice>
          <mc:Fallback>
            <w:pict>
              <v:rect id="Figura11" o:spid="_x0000_s1031" style="position:absolute;left:0;text-align:left;margin-left:61pt;margin-top:6pt;width:.75pt;height:1.05pt;z-index: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LmE6QEAAD4EAAAOAAAAZHJzL2Uyb0RvYy54bWysU9tuGyEQfa/Uf0C813tRGjWW11HVyFWl&#10;qo2a9gMwC7tIwCDA9vrvO4w3ttM+peo+sDMwc4ZzZljdT86yvYrJgO94s6g5U15Cb/zQ8V8/N+8+&#10;cJay8L2w4FXHjyrx+/XbN6tDWKoWRrC9igxBfFoeQsfHnMOyqpIclRNpAUF5PNQQncjoxqHqozgg&#10;urNVW9e31QFiHyJIlRLuPpwO+ZrwtVYyf9c6qcxsx/FumdZI67as1XollkMUYTRyvob4h1s4YTwW&#10;PUM9iCzYLpq/oJyRERLovJDgKtDaSEUckE1T/8HmaRRBERcUJ4WzTOn/wcpv+8fITN/xtuXMC4c9&#10;2phhF0XTFHEOIS0x5ik8xtlLaBamk46u/JEDm0jQ41lQNWUmcfOurlF0iQdNe4smQlSXzBBT/qzA&#10;sWJ0PGKzSEOx/5ryKfQ5pBRKYE2/MdaSE4ftJxvZXpTG0jejvwizvgR7KGknxLJTFVYnHmTlo1Ul&#10;zvofSqMYRIeqyLnMaWJwpJHO89wgE0oogRrxX5k7p5RsRYP6yvxzEtUHn8/5zniIpMYVu2LmaTtR&#10;r9+X07Kzhf6I/c9fPM7UXXNzU/hdO8LLEZC9zJF64+HjLoM21J8LwqwpDil1eH5Q5RVc+xR1efbr&#10;3wAAAP//AwBQSwMEFAAGAAgAAAAhAPSKrjjbAAAACQEAAA8AAABkcnMvZG93bnJldi54bWxMT9FK&#10;w0AQfBf8h2MF3+wlsRWJuRQVCuKbrSK+bXNnEpvbC7ltmv69myd92hlmmJ0p1pPv1OiG2AYykC4S&#10;UI6qYFuqDbzvNjf3oCIjWewCOQNnF2FdXl4UmNtwojc3brlWEkIxRwMNc59rHavGeYyL0DsS7TsM&#10;HlnoUGs74EnCfaezJLnTHluSDw327rlx1WF79AY2/JTyqvvEr5TG3QHPy4+f1xdjrq+mxwdQ7Cb+&#10;M8NcX6pDKZ324Ug2qk54lskWnoHc2ZDdrkDtBSxT0GWh/y8ofwEAAP//AwBQSwECLQAUAAYACAAA&#10;ACEAtoM4kv4AAADhAQAAEwAAAAAAAAAAAAAAAAAAAAAAW0NvbnRlbnRfVHlwZXNdLnhtbFBLAQIt&#10;ABQABgAIAAAAIQA4/SH/1gAAAJQBAAALAAAAAAAAAAAAAAAAAC8BAABfcmVscy8ucmVsc1BLAQIt&#10;ABQABgAIAAAAIQBaNLmE6QEAAD4EAAAOAAAAAAAAAAAAAAAAAC4CAABkcnMvZTJvRG9jLnhtbFBL&#10;AQItABQABgAIAAAAIQD0iq442wAAAAkBAAAPAAAAAAAAAAAAAAAAAEMEAABkcnMvZG93bnJldi54&#10;bWxQSwUGAAAAAAQABADzAAAASwUAAAAA&#10;" fillcolor="black" stroked="f">
                <v:textbox inset=",7.2pt,,7.2pt">
                  <w:txbxContent>
                    <w:p w:rsidR="00967E25" w:rsidRDefault="00967E25">
                      <w:pPr>
                        <w:pStyle w:val="Contedodoquadro"/>
                        <w:spacing w:line="240" w:lineRule="exact"/>
                      </w:pPr>
                    </w:p>
                  </w:txbxContent>
                </v:textbox>
              </v:rect>
            </w:pict>
          </mc:Fallback>
        </mc:AlternateContent>
      </w:r>
      <w:r>
        <w:rPr>
          <w:sz w:val="24"/>
          <w:szCs w:val="24"/>
        </w:rPr>
        <w:t>E-mail:</w:t>
      </w:r>
    </w:p>
    <w:p w:rsidR="00967E25" w:rsidRDefault="00936B82">
      <w:pPr>
        <w:spacing w:before="152"/>
        <w:ind w:left="1042"/>
        <w:rPr>
          <w:sz w:val="24"/>
          <w:szCs w:val="24"/>
        </w:rPr>
      </w:pPr>
      <w:r>
        <w:rPr>
          <w:noProof/>
          <w:lang w:val="pt-BR" w:eastAsia="pt-BR"/>
        </w:rPr>
        <mc:AlternateContent>
          <mc:Choice Requires="wps">
            <w:drawing>
              <wp:anchor distT="0" distB="0" distL="114300" distR="114300" simplePos="0" relativeHeight="4" behindDoc="0" locked="0" layoutInCell="1" allowOverlap="1">
                <wp:simplePos x="0" y="0"/>
                <wp:positionH relativeFrom="column">
                  <wp:posOffset>762000</wp:posOffset>
                </wp:positionH>
                <wp:positionV relativeFrom="paragraph">
                  <wp:posOffset>342900</wp:posOffset>
                </wp:positionV>
                <wp:extent cx="9525" cy="13335"/>
                <wp:effectExtent l="0" t="0" r="0" b="0"/>
                <wp:wrapNone/>
                <wp:docPr id="24" name="Figura13"/>
                <wp:cNvGraphicFramePr/>
                <a:graphic xmlns:a="http://schemas.openxmlformats.org/drawingml/2006/main">
                  <a:graphicData uri="http://schemas.microsoft.com/office/word/2010/wordprocessingShape">
                    <wps:wsp>
                      <wps:cNvSpPr/>
                      <wps:spPr>
                        <a:xfrm>
                          <a:off x="0" y="0"/>
                          <a:ext cx="9000" cy="12600"/>
                        </a:xfrm>
                        <a:prstGeom prst="rect">
                          <a:avLst/>
                        </a:prstGeom>
                        <a:solidFill>
                          <a:srgbClr val="000000"/>
                        </a:solidFill>
                        <a:ln>
                          <a:noFill/>
                        </a:ln>
                      </wps:spPr>
                      <wps:style>
                        <a:lnRef idx="0">
                          <a:scrgbClr r="0" g="0" b="0"/>
                        </a:lnRef>
                        <a:fillRef idx="0">
                          <a:scrgbClr r="0" g="0" b="0"/>
                        </a:fillRef>
                        <a:effectRef idx="0">
                          <a:scrgbClr r="0" g="0" b="0"/>
                        </a:effectRef>
                        <a:fontRef idx="minor"/>
                      </wps:style>
                      <wps:txbx>
                        <w:txbxContent>
                          <w:p w:rsidR="00967E25" w:rsidRDefault="00967E25">
                            <w:pPr>
                              <w:pStyle w:val="Contedodoquadro"/>
                              <w:spacing w:line="240" w:lineRule="exact"/>
                            </w:pPr>
                          </w:p>
                        </w:txbxContent>
                      </wps:txbx>
                      <wps:bodyPr tIns="91440" bIns="91440" anchor="ctr">
                        <a:noAutofit/>
                      </wps:bodyPr>
                    </wps:wsp>
                  </a:graphicData>
                </a:graphic>
              </wp:anchor>
            </w:drawing>
          </mc:Choice>
          <mc:Fallback>
            <w:pict>
              <v:rect id="Figura13" o:spid="_x0000_s1032" style="position:absolute;left:0;text-align:left;margin-left:60pt;margin-top:27pt;width:.75pt;height:1.05pt;z-index: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zBy6QEAAD4EAAAOAAAAZHJzL2Uyb0RvYy54bWysU8GO0zAQvSPxD5bvNGmpKrZqukKsipAQ&#10;rFj4ANexE0u2x7LdJv17xtNs24XTInJwZuyZN35vxpv70Vl2VDEZ8A2fz2rOlJfQGt81/NfP3bsP&#10;nKUsfCsseNXwk0r8fvv2zWYIa7WAHmyrIkMQn9ZDaHifc1hXVZK9ciLNICiPhxqiExnd2FVtFAOi&#10;O1st6npVDRDbEEGqlHD34XzIt4SvtZL5u9ZJZWYbjnfLtEZa92Wtthux7qIIvZHTNcQ/3MIJ47Ho&#10;BepBZMEO0fwF5YyMkEDnmQRXgdZGKuKAbOb1H2yeehEUcUFxUrjIlP4frPx2fIzMtA1fLDnzwmGP&#10;dqY7RDF/X8QZQlpjzFN4jJOX0CxMRx1d+SMHNpKgp4ugasxM4uZdXaPoEg/mixWaCFFdM0NM+bMC&#10;x4rR8IjNIg3F8WvK59DnkFIogTXtzlhLTuz2n2xkR1EaS9+E/iLM+hLsoaSdEctOVVideZCVT1aV&#10;OOt/KI1iEB2qIqcy54nBkUY6z3ODTCihBGrEf2XulFKyFQ3qK/MvSVQffL7kO+Mhkho37IqZx/1I&#10;vV6V07Kzh/aE/c9fPM7U3Xy5LPxuHeFlD8he5ki98fDxkEEb6s8VYdIUh5Q6PD2o8gpufYq6Pvvt&#10;bwAAAP//AwBQSwMEFAAGAAgAAAAhAKvX3ZDdAAAACQEAAA8AAABkcnMvZG93bnJldi54bWxMj0FP&#10;wzAMhe9I/IfISNxYmmmdUGk6AdIkxI0NhLh5TdZ2S5yqybru3+Od4GQ9++n5e+Vq8k6MdohdIA1q&#10;loGwVAfTUaPhc7t+eAQRE5JBF8hquNgIq+r2psTChDN92HGTGsEhFAvU0KbUF1LGurUe4yz0lvi2&#10;D4PHxHJopBnwzOHeyXmWLaXHjvhDi719bW193Jy8hnV6USl33/ijaNwe8bL4Ory/aX1/Nz0/gUh2&#10;Sn9muOIzOlTMtAsnMlE41hzPVg35gufVMFc5iB0vlgpkVcr/DapfAAAA//8DAFBLAQItABQABgAI&#10;AAAAIQC2gziS/gAAAOEBAAATAAAAAAAAAAAAAAAAAAAAAABbQ29udGVudF9UeXBlc10ueG1sUEsB&#10;Ai0AFAAGAAgAAAAhADj9If/WAAAAlAEAAAsAAAAAAAAAAAAAAAAALwEAAF9yZWxzLy5yZWxzUEsB&#10;Ai0AFAAGAAgAAAAhAAk/MHLpAQAAPgQAAA4AAAAAAAAAAAAAAAAALgIAAGRycy9lMm9Eb2MueG1s&#10;UEsBAi0AFAAGAAgAAAAhAKvX3ZDdAAAACQEAAA8AAAAAAAAAAAAAAAAAQwQAAGRycy9kb3ducmV2&#10;LnhtbFBLBQYAAAAABAAEAPMAAABNBQAAAAA=&#10;" fillcolor="black" stroked="f">
                <v:textbox inset=",7.2pt,,7.2pt">
                  <w:txbxContent>
                    <w:p w:rsidR="00967E25" w:rsidRDefault="00967E25">
                      <w:pPr>
                        <w:pStyle w:val="Contedodoquadro"/>
                        <w:spacing w:line="240" w:lineRule="exact"/>
                      </w:pPr>
                    </w:p>
                  </w:txbxContent>
                </v:textbox>
              </v:rect>
            </w:pict>
          </mc:Fallback>
        </mc:AlternateContent>
      </w:r>
      <w:r>
        <w:rPr>
          <w:noProof/>
          <w:lang w:val="pt-BR" w:eastAsia="pt-BR"/>
        </w:rPr>
        <mc:AlternateContent>
          <mc:Choice Requires="wps">
            <w:drawing>
              <wp:anchor distT="0" distB="0" distL="114300" distR="114300" simplePos="0" relativeHeight="5" behindDoc="0" locked="0" layoutInCell="1" allowOverlap="1">
                <wp:simplePos x="0" y="0"/>
                <wp:positionH relativeFrom="column">
                  <wp:posOffset>774700</wp:posOffset>
                </wp:positionH>
                <wp:positionV relativeFrom="paragraph">
                  <wp:posOffset>76200</wp:posOffset>
                </wp:positionV>
                <wp:extent cx="9525" cy="13335"/>
                <wp:effectExtent l="0" t="0" r="0" b="0"/>
                <wp:wrapNone/>
                <wp:docPr id="26" name="Figura12"/>
                <wp:cNvGraphicFramePr/>
                <a:graphic xmlns:a="http://schemas.openxmlformats.org/drawingml/2006/main">
                  <a:graphicData uri="http://schemas.microsoft.com/office/word/2010/wordprocessingShape">
                    <wps:wsp>
                      <wps:cNvSpPr/>
                      <wps:spPr>
                        <a:xfrm>
                          <a:off x="0" y="0"/>
                          <a:ext cx="9000" cy="12600"/>
                        </a:xfrm>
                        <a:prstGeom prst="rect">
                          <a:avLst/>
                        </a:prstGeom>
                        <a:solidFill>
                          <a:srgbClr val="000000"/>
                        </a:solidFill>
                        <a:ln>
                          <a:noFill/>
                        </a:ln>
                      </wps:spPr>
                      <wps:style>
                        <a:lnRef idx="0">
                          <a:scrgbClr r="0" g="0" b="0"/>
                        </a:lnRef>
                        <a:fillRef idx="0">
                          <a:scrgbClr r="0" g="0" b="0"/>
                        </a:fillRef>
                        <a:effectRef idx="0">
                          <a:scrgbClr r="0" g="0" b="0"/>
                        </a:effectRef>
                        <a:fontRef idx="minor"/>
                      </wps:style>
                      <wps:txbx>
                        <w:txbxContent>
                          <w:p w:rsidR="00967E25" w:rsidRDefault="00967E25">
                            <w:pPr>
                              <w:pStyle w:val="Contedodoquadro"/>
                              <w:spacing w:line="240" w:lineRule="exact"/>
                            </w:pPr>
                          </w:p>
                        </w:txbxContent>
                      </wps:txbx>
                      <wps:bodyPr tIns="91440" bIns="91440" anchor="ctr">
                        <a:noAutofit/>
                      </wps:bodyPr>
                    </wps:wsp>
                  </a:graphicData>
                </a:graphic>
              </wp:anchor>
            </w:drawing>
          </mc:Choice>
          <mc:Fallback>
            <w:pict>
              <v:rect id="Figura12" o:spid="_x0000_s1033" style="position:absolute;left:0;text-align:left;margin-left:61pt;margin-top:6pt;width:.75pt;height:1.05pt;z-index: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xQh6QEAAD4EAAAOAAAAZHJzL2Uyb0RvYy54bWysU8Fu2zAMvQ/YPwi6L3aCIluNOEWxIsOA&#10;YSvW7QMUWYoFSKIgKbHz96MYN0m3U4f6IJMS+aj3SK3uRmfZQcVkwLd8Pqs5U15CZ/yu5b9/bT58&#10;4ixl4TthwauWH1Xid+v371ZDaNQCerCdigxBfGqG0PI+59BUVZK9ciLNICiPhxqiExnduKu6KAZE&#10;d7Za1PWyGiB2IYJUKeHuw+mQrwlfayXzD62Tysy2HO+WaY20bstarVei2UUReiOna4j/uIUTxmPR&#10;M9SDyILto/kHyhkZIYHOMwmuAq2NVMQB2czrv9g89SIo4oLipHCWKb0drPx+eIzMdC1fLDnzwmGP&#10;Nma3j2K+KOIMITUY8xQe4+QlNAvTUUdX/siBjSTo8SyoGjOTuHlb1yi6xIP5YokmQlSXzBBT/qLA&#10;sWK0PGKzSENx+JbyKfQ5pBRKYE23MdaSE3fbzzaygyiNpW9CfxFmfQn2UNJOiGWnKqxOPMjKR6tK&#10;nPU/lUYxiA5VkVOZ08TgSCOd57lBJpRQAjXivzJ3SinZigb1lfnnJKoPPp/znfEQSY0rdsXM43ak&#10;Xn8sp2VnC90R+5+/epyp2/nNTeF37Qgve0D2MkfqjYf7fQZtqD8XhElTHFLq8PSgyiu49inq8uzX&#10;fwAAAP//AwBQSwMEFAAGAAgAAAAhAPSKrjjbAAAACQEAAA8AAABkcnMvZG93bnJldi54bWxMT9FK&#10;w0AQfBf8h2MF3+wlsRWJuRQVCuKbrSK+bXNnEpvbC7ltmv69myd92hlmmJ0p1pPv1OiG2AYykC4S&#10;UI6qYFuqDbzvNjf3oCIjWewCOQNnF2FdXl4UmNtwojc3brlWEkIxRwMNc59rHavGeYyL0DsS7TsM&#10;HlnoUGs74EnCfaezJLnTHluSDw327rlx1WF79AY2/JTyqvvEr5TG3QHPy4+f1xdjrq+mxwdQ7Cb+&#10;M8NcX6pDKZ324Ug2qk54lskWnoHc2ZDdrkDtBSxT0GWh/y8ofwEAAP//AwBQSwECLQAUAAYACAAA&#10;ACEAtoM4kv4AAADhAQAAEwAAAAAAAAAAAAAAAAAAAAAAW0NvbnRlbnRfVHlwZXNdLnhtbFBLAQIt&#10;ABQABgAIAAAAIQA4/SH/1gAAAJQBAAALAAAAAAAAAAAAAAAAAC8BAABfcmVscy8ucmVsc1BLAQIt&#10;ABQABgAIAAAAIQDw4xQh6QEAAD4EAAAOAAAAAAAAAAAAAAAAAC4CAABkcnMvZTJvRG9jLnhtbFBL&#10;AQItABQABgAIAAAAIQD0iq442wAAAAkBAAAPAAAAAAAAAAAAAAAAAEMEAABkcnMvZG93bnJldi54&#10;bWxQSwUGAAAAAAQABADzAAAASwUAAAAA&#10;" fillcolor="black" stroked="f">
                <v:textbox inset=",7.2pt,,7.2pt">
                  <w:txbxContent>
                    <w:p w:rsidR="00967E25" w:rsidRDefault="00967E25">
                      <w:pPr>
                        <w:pStyle w:val="Contedodoquadro"/>
                        <w:spacing w:line="240" w:lineRule="exact"/>
                      </w:pPr>
                    </w:p>
                  </w:txbxContent>
                </v:textbox>
              </v:rect>
            </w:pict>
          </mc:Fallback>
        </mc:AlternateContent>
      </w:r>
      <w:r>
        <w:rPr>
          <w:sz w:val="24"/>
          <w:szCs w:val="24"/>
        </w:rPr>
        <w:t>Prazo de entrega: Validade da proposta:</w:t>
      </w:r>
    </w:p>
    <w:p w:rsidR="00967E25" w:rsidRDefault="00967E25">
      <w:pPr>
        <w:widowControl w:val="0"/>
        <w:spacing w:before="4"/>
        <w:rPr>
          <w:color w:val="000000"/>
          <w:sz w:val="24"/>
          <w:szCs w:val="24"/>
        </w:rPr>
      </w:pPr>
    </w:p>
    <w:p w:rsidR="00967E25" w:rsidRDefault="00936B82">
      <w:pPr>
        <w:spacing w:before="55"/>
        <w:ind w:left="6618"/>
        <w:rPr>
          <w:sz w:val="24"/>
          <w:szCs w:val="24"/>
        </w:rPr>
      </w:pPr>
      <w:r>
        <w:rPr>
          <w:sz w:val="24"/>
          <w:szCs w:val="24"/>
        </w:rPr>
        <w:t>Em: XX de XXXXXXXX de 2022.</w:t>
      </w:r>
    </w:p>
    <w:p w:rsidR="00967E25" w:rsidRDefault="00967E25">
      <w:pPr>
        <w:widowControl w:val="0"/>
        <w:rPr>
          <w:color w:val="000000"/>
          <w:sz w:val="24"/>
          <w:szCs w:val="24"/>
        </w:rPr>
      </w:pPr>
    </w:p>
    <w:p w:rsidR="00967E25" w:rsidRDefault="00967E25">
      <w:pPr>
        <w:widowControl w:val="0"/>
        <w:rPr>
          <w:color w:val="000000"/>
          <w:sz w:val="24"/>
          <w:szCs w:val="24"/>
        </w:rPr>
      </w:pPr>
    </w:p>
    <w:p w:rsidR="00967E25" w:rsidRDefault="00967E25">
      <w:pPr>
        <w:widowControl w:val="0"/>
        <w:rPr>
          <w:color w:val="000000"/>
          <w:sz w:val="24"/>
          <w:szCs w:val="24"/>
        </w:rPr>
      </w:pPr>
    </w:p>
    <w:p w:rsidR="00967E25" w:rsidRDefault="00967E25">
      <w:pPr>
        <w:widowControl w:val="0"/>
        <w:rPr>
          <w:color w:val="000000"/>
          <w:sz w:val="24"/>
          <w:szCs w:val="24"/>
        </w:rPr>
      </w:pPr>
    </w:p>
    <w:p w:rsidR="00967E25" w:rsidRDefault="00936B82">
      <w:pPr>
        <w:widowControl w:val="0"/>
        <w:spacing w:before="3"/>
        <w:rPr>
          <w:color w:val="000000"/>
          <w:sz w:val="24"/>
          <w:szCs w:val="24"/>
        </w:rPr>
      </w:pPr>
      <w:r>
        <w:rPr>
          <w:noProof/>
          <w:color w:val="000000"/>
          <w:sz w:val="24"/>
          <w:szCs w:val="24"/>
          <w:lang w:val="pt-BR" w:eastAsia="pt-BR"/>
        </w:rPr>
        <mc:AlternateContent>
          <mc:Choice Requires="wps">
            <w:drawing>
              <wp:anchor distT="0" distB="0" distL="114300" distR="114300" simplePos="0" relativeHeight="3" behindDoc="0" locked="0" layoutInCell="1" allowOverlap="1">
                <wp:simplePos x="0" y="0"/>
                <wp:positionH relativeFrom="column">
                  <wp:posOffset>2184400</wp:posOffset>
                </wp:positionH>
                <wp:positionV relativeFrom="paragraph">
                  <wp:posOffset>127000</wp:posOffset>
                </wp:positionV>
                <wp:extent cx="1905" cy="13335"/>
                <wp:effectExtent l="0" t="0" r="0" b="0"/>
                <wp:wrapTopAndBottom/>
                <wp:docPr id="28" name="Figura14"/>
                <wp:cNvGraphicFramePr/>
                <a:graphic xmlns:a="http://schemas.openxmlformats.org/drawingml/2006/main">
                  <a:graphicData uri="http://schemas.microsoft.com/office/word/2010/wordprocessingShape">
                    <wps:wsp>
                      <wps:cNvSpPr/>
                      <wps:spPr>
                        <a:xfrm>
                          <a:off x="0" y="0"/>
                          <a:ext cx="1440" cy="12600"/>
                        </a:xfrm>
                        <a:custGeom>
                          <a:avLst/>
                          <a:gdLst/>
                          <a:ahLst/>
                          <a:cxnLst/>
                          <a:rect l="l" t="t" r="r" b="b"/>
                          <a:pathLst>
                            <a:path w="2580005" h="1270">
                              <a:moveTo>
                                <a:pt x="0" y="0"/>
                              </a:moveTo>
                              <a:lnTo>
                                <a:pt x="2579370" y="0"/>
                              </a:lnTo>
                            </a:path>
                          </a:pathLst>
                        </a:cu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p>
    <w:p w:rsidR="00967E25" w:rsidRDefault="00967E25">
      <w:pPr>
        <w:widowControl w:val="0"/>
        <w:rPr>
          <w:color w:val="000000"/>
          <w:sz w:val="24"/>
          <w:szCs w:val="24"/>
        </w:rPr>
      </w:pPr>
    </w:p>
    <w:p w:rsidR="00967E25" w:rsidRDefault="00936B82">
      <w:pPr>
        <w:spacing w:before="55"/>
        <w:ind w:left="3879"/>
        <w:rPr>
          <w:sz w:val="24"/>
          <w:szCs w:val="24"/>
        </w:rPr>
      </w:pPr>
      <w:r>
        <w:rPr>
          <w:sz w:val="24"/>
          <w:szCs w:val="24"/>
        </w:rPr>
        <w:t>CARIMBO CNPJ DA EMPRESA</w:t>
      </w:r>
    </w:p>
    <w:p w:rsidR="00967E25" w:rsidRDefault="00967E25">
      <w:pPr>
        <w:widowControl w:val="0"/>
        <w:rPr>
          <w:color w:val="000000"/>
          <w:sz w:val="24"/>
          <w:szCs w:val="24"/>
        </w:rPr>
      </w:pPr>
    </w:p>
    <w:p w:rsidR="00967E25" w:rsidRDefault="00967E25">
      <w:pPr>
        <w:widowControl w:val="0"/>
        <w:rPr>
          <w:color w:val="000000"/>
          <w:sz w:val="24"/>
          <w:szCs w:val="24"/>
        </w:rPr>
      </w:pPr>
    </w:p>
    <w:p w:rsidR="00967E25" w:rsidRDefault="00967E25">
      <w:pPr>
        <w:widowControl w:val="0"/>
        <w:rPr>
          <w:color w:val="000000"/>
          <w:sz w:val="24"/>
          <w:szCs w:val="24"/>
        </w:rPr>
      </w:pPr>
    </w:p>
    <w:p w:rsidR="00967E25" w:rsidRDefault="00967E25">
      <w:pPr>
        <w:widowControl w:val="0"/>
        <w:rPr>
          <w:color w:val="000000"/>
          <w:sz w:val="24"/>
          <w:szCs w:val="24"/>
        </w:rPr>
      </w:pPr>
    </w:p>
    <w:p w:rsidR="00967E25" w:rsidRDefault="00936B82">
      <w:pPr>
        <w:widowControl w:val="0"/>
        <w:spacing w:before="4"/>
        <w:rPr>
          <w:color w:val="000000"/>
          <w:sz w:val="24"/>
          <w:szCs w:val="24"/>
        </w:rPr>
      </w:pPr>
      <w:r>
        <w:rPr>
          <w:noProof/>
          <w:color w:val="000000"/>
          <w:sz w:val="24"/>
          <w:szCs w:val="24"/>
          <w:lang w:val="pt-BR" w:eastAsia="pt-BR"/>
        </w:rPr>
        <mc:AlternateContent>
          <mc:Choice Requires="wps">
            <w:drawing>
              <wp:anchor distT="0" distB="0" distL="114300" distR="114300" simplePos="0" relativeHeight="2" behindDoc="0" locked="0" layoutInCell="1" allowOverlap="1">
                <wp:simplePos x="0" y="0"/>
                <wp:positionH relativeFrom="column">
                  <wp:posOffset>2222500</wp:posOffset>
                </wp:positionH>
                <wp:positionV relativeFrom="paragraph">
                  <wp:posOffset>127000</wp:posOffset>
                </wp:positionV>
                <wp:extent cx="1905" cy="13335"/>
                <wp:effectExtent l="0" t="0" r="0" b="0"/>
                <wp:wrapTopAndBottom/>
                <wp:docPr id="29" name="Figura15"/>
                <wp:cNvGraphicFramePr/>
                <a:graphic xmlns:a="http://schemas.openxmlformats.org/drawingml/2006/main">
                  <a:graphicData uri="http://schemas.microsoft.com/office/word/2010/wordprocessingShape">
                    <wps:wsp>
                      <wps:cNvSpPr/>
                      <wps:spPr>
                        <a:xfrm>
                          <a:off x="0" y="0"/>
                          <a:ext cx="1440" cy="12600"/>
                        </a:xfrm>
                        <a:custGeom>
                          <a:avLst/>
                          <a:gdLst/>
                          <a:ahLst/>
                          <a:cxnLst/>
                          <a:rect l="l" t="t" r="r" b="b"/>
                          <a:pathLst>
                            <a:path w="2505075" h="1270">
                              <a:moveTo>
                                <a:pt x="0" y="0"/>
                              </a:moveTo>
                              <a:lnTo>
                                <a:pt x="2504440" y="0"/>
                              </a:lnTo>
                            </a:path>
                          </a:pathLst>
                        </a:cu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p>
    <w:p w:rsidR="00967E25" w:rsidRDefault="00967E25">
      <w:pPr>
        <w:widowControl w:val="0"/>
        <w:spacing w:before="3"/>
        <w:rPr>
          <w:color w:val="000000"/>
          <w:sz w:val="24"/>
          <w:szCs w:val="24"/>
        </w:rPr>
      </w:pPr>
    </w:p>
    <w:p w:rsidR="00967E25" w:rsidRDefault="00936B82">
      <w:pPr>
        <w:spacing w:before="55"/>
        <w:ind w:left="3759"/>
        <w:rPr>
          <w:sz w:val="24"/>
          <w:szCs w:val="24"/>
        </w:rPr>
      </w:pPr>
      <w:r>
        <w:rPr>
          <w:sz w:val="24"/>
          <w:szCs w:val="24"/>
        </w:rPr>
        <w:t>ASSINATURA DO RESPONSÁVEL</w:t>
      </w:r>
    </w:p>
    <w:sectPr w:rsidR="00967E25">
      <w:headerReference w:type="default" r:id="rId25"/>
      <w:footerReference w:type="default" r:id="rId26"/>
      <w:pgSz w:w="11906" w:h="16838"/>
      <w:pgMar w:top="1360" w:right="1260" w:bottom="280" w:left="660" w:header="0" w:footer="0"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DFB" w:rsidRDefault="00C34DFB">
      <w:r>
        <w:separator/>
      </w:r>
    </w:p>
  </w:endnote>
  <w:endnote w:type="continuationSeparator" w:id="0">
    <w:p w:rsidR="00C34DFB" w:rsidRDefault="00C34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rlito">
    <w:altName w:val="Calibri"/>
    <w:panose1 w:val="020F0502020204030204"/>
    <w:charset w:val="00"/>
    <w:family w:val="swiss"/>
    <w:pitch w:val="variable"/>
    <w:sig w:usb0="E10002FF" w:usb1="5000ECFF" w:usb2="00000009" w:usb3="00000000" w:csb0="0000019F" w:csb1="00000000"/>
  </w:font>
  <w:font w:name="Verdana">
    <w:panose1 w:val="020B0604030504040204"/>
    <w:charset w:val="00"/>
    <w:family w:val="swiss"/>
    <w:pitch w:val="variable"/>
    <w:sig w:usb0="A00006FF" w:usb1="4000205B" w:usb2="00000010" w:usb3="00000000" w:csb0="0000019F" w:csb1="00000000"/>
  </w:font>
  <w:font w:name="Roboto">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E25" w:rsidRDefault="00936B82">
    <w:pPr>
      <w:widowControl w:val="0"/>
      <w:spacing w:line="12" w:lineRule="auto"/>
      <w:rPr>
        <w:color w:val="000000"/>
        <w:sz w:val="20"/>
        <w:szCs w:val="20"/>
      </w:rPr>
    </w:pPr>
    <w:r>
      <w:rPr>
        <w:noProof/>
        <w:color w:val="000000"/>
        <w:sz w:val="20"/>
        <w:szCs w:val="20"/>
        <w:lang w:val="pt-BR" w:eastAsia="pt-BR"/>
      </w:rPr>
      <mc:AlternateContent>
        <mc:Choice Requires="wps">
          <w:drawing>
            <wp:anchor distT="0" distB="0" distL="114300" distR="114300" simplePos="0" relativeHeight="140" behindDoc="1" locked="0" layoutInCell="1" allowOverlap="1">
              <wp:simplePos x="0" y="0"/>
              <wp:positionH relativeFrom="column">
                <wp:posOffset>749300</wp:posOffset>
              </wp:positionH>
              <wp:positionV relativeFrom="paragraph">
                <wp:posOffset>9956800</wp:posOffset>
              </wp:positionV>
              <wp:extent cx="2666365" cy="296545"/>
              <wp:effectExtent l="0" t="0" r="0" b="0"/>
              <wp:wrapNone/>
              <wp:docPr id="2" name="Figura1"/>
              <wp:cNvGraphicFramePr/>
              <a:graphic xmlns:a="http://schemas.openxmlformats.org/drawingml/2006/main">
                <a:graphicData uri="http://schemas.microsoft.com/office/word/2010/wordprocessingShape">
                  <wps:wsp>
                    <wps:cNvSpPr/>
                    <wps:spPr>
                      <a:xfrm>
                        <a:off x="0" y="0"/>
                        <a:ext cx="2665800" cy="295920"/>
                      </a:xfrm>
                      <a:custGeom>
                        <a:avLst/>
                        <a:gdLst/>
                        <a:ahLst/>
                        <a:cxnLst/>
                        <a:rect l="l" t="t" r="r" b="b"/>
                        <a:pathLst>
                          <a:path w="2656205" h="286385">
                            <a:moveTo>
                              <a:pt x="0" y="0"/>
                            </a:moveTo>
                            <a:lnTo>
                              <a:pt x="0" y="286385"/>
                            </a:lnTo>
                            <a:lnTo>
                              <a:pt x="2656205" y="286385"/>
                            </a:lnTo>
                            <a:lnTo>
                              <a:pt x="2656205" y="0"/>
                            </a:lnTo>
                            <a:close/>
                          </a:path>
                        </a:pathLst>
                      </a:custGeom>
                      <a:solidFill>
                        <a:srgbClr val="FFFFFF"/>
                      </a:solidFill>
                      <a:ln>
                        <a:noFill/>
                      </a:ln>
                    </wps:spPr>
                    <wps:style>
                      <a:lnRef idx="0">
                        <a:scrgbClr r="0" g="0" b="0"/>
                      </a:lnRef>
                      <a:fillRef idx="0">
                        <a:scrgbClr r="0" g="0" b="0"/>
                      </a:fillRef>
                      <a:effectRef idx="0">
                        <a:scrgbClr r="0" g="0" b="0"/>
                      </a:effectRef>
                      <a:fontRef idx="minor"/>
                    </wps:style>
                    <wps:txbx>
                      <w:txbxContent>
                        <w:p w:rsidR="00967E25" w:rsidRDefault="00936B82">
                          <w:pPr>
                            <w:pStyle w:val="Contedodoquadro"/>
                            <w:spacing w:before="16" w:line="240" w:lineRule="exact"/>
                            <w:ind w:left="20" w:firstLine="20"/>
                          </w:pPr>
                          <w:r>
                            <w:rPr>
                              <w:color w:val="000000"/>
                              <w:sz w:val="12"/>
                            </w:rPr>
                            <w:t>Câmara Nacional de Modelos de Licitações e Contratos – CNMLC/CGU/AGU Aviso de Dispensa Eletrônica – Lei nº 14.133/21 e IN SEGES/ME nº 67/2021 Versão: Agosto/2021</w:t>
                          </w:r>
                        </w:p>
                      </w:txbxContent>
                    </wps:txbx>
                    <wps:bodyPr lIns="88920" tIns="38160" rIns="88920" bIns="38160">
                      <a:noAutofit/>
                    </wps:bodyPr>
                  </wps:wsp>
                </a:graphicData>
              </a:graphic>
            </wp:anchor>
          </w:drawing>
        </mc:Choice>
        <mc:Fallback>
          <w:pict>
            <v:shape id="Figura1" o:spid="_x0000_s1034" style="position:absolute;margin-left:59pt;margin-top:784pt;width:209.95pt;height:23.35pt;z-index:-503316340;visibility:visible;mso-wrap-style:square;mso-wrap-distance-left:9pt;mso-wrap-distance-top:0;mso-wrap-distance-right:9pt;mso-wrap-distance-bottom:0;mso-position-horizontal:absolute;mso-position-horizontal-relative:text;mso-position-vertical:absolute;mso-position-vertical-relative:text;v-text-anchor:top" coordsize="2656205,2863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VJkTwIAAG0FAAAOAAAAZHJzL2Uyb0RvYy54bWysVEtu2zAQ3RfoHQjua8kKbCiG7aBo4KJA&#10;0QZNegCKoiwCFCmQtCXfvjOjT5xk0xTVQprR/N/jcHvXN4adlQ/a2R1fLlLOlJWu1Pa447+fDp9y&#10;zkIUthTGWbXjFxX43f7jh23XblTmamdK5RkksWHTtTtex9hukiTIWjUiLFyrLBgr5xsRQfXHpPSi&#10;g+yNSbI0XSed82XrnVQhwN/7wcj3lL+qlIw/qyqoyMyOQ2+R3p7eBb6T/VZsjl60tZZjG+IfumiE&#10;tlB0TnUvomAnr9+karT0LrgqLqRrEldVWiqaAaZZpq+meaxFq2gWACe0M0zh/6WVP84PnulyxzPO&#10;rGiAooM+nrxYIjRdGzbg8dg++FELIOKcfeUb/MIErCc4LzOcqo9Mws9svV7lKaAuwZbdrm4zwjt5&#10;jpanEL8qR5nE+XuIAx3lJIl6kmRvJ9EDqUinITojZ0Cn5wzoLAY6WxExDttDkXXYymqdpSvOapDz&#10;9U2+IrYad1ZPjhzjqzGgy2ersW+9xjTQMbhODtO3pXRzVZx/qPq37hNSU0JpXFBDMM5ERec5oYFr&#10;JIMzujxoY3Cw4I/FF+PZWQBkB3oQJQh54WYsOluHYVOP4IUHYKCcpHgxCv2M/aUqODXEPFWRY5lh&#10;tWD3gfZpwQgfCEDHCvK/M3YMwWhFG/3O+DmI6jsb5/hGW+cJjavpUIx90QMKKBauvMCGmG8Wti7P&#10;8QyzSMpNvlyD4q8txZUFy1n3+RRdpfFgE5hDulGBnSYmxvsHL41rnbyeb8n9HwAAAP//AwBQSwME&#10;FAAGAAgAAAAhAAwg4HLgAAAADQEAAA8AAABkcnMvZG93bnJldi54bWxMT8FOg0AUvJv4D5tn4s0u&#10;aAuILI0x8eTBiA1Jb1v2FYjsW2S3FP/e15PeZt5M5s0U28UOYsbJ944UxKsIBFLjTE+tgt3n610G&#10;wgdNRg+OUMEPetiW11eFzo070wfOVWgFh5DPtYIuhDGX0jcdWu1XbkRi7egmqwPTqZVm0mcOt4O8&#10;j6JEWt0Tf+j0iC8dNl/VySrY7/u4zt6T77aq13I+2nr3llqlbm+W5ycQAZfwZ4ZLfa4OJXc6uBMZ&#10;LwbmccZbAoNNckFs2TykjyAOfEridQqyLOT/FeUvAAAA//8DAFBLAQItABQABgAIAAAAIQC2gziS&#10;/gAAAOEBAAATAAAAAAAAAAAAAAAAAAAAAABbQ29udGVudF9UeXBlc10ueG1sUEsBAi0AFAAGAAgA&#10;AAAhADj9If/WAAAAlAEAAAsAAAAAAAAAAAAAAAAALwEAAF9yZWxzLy5yZWxzUEsBAi0AFAAGAAgA&#10;AAAhAGhpUmRPAgAAbQUAAA4AAAAAAAAAAAAAAAAALgIAAGRycy9lMm9Eb2MueG1sUEsBAi0AFAAG&#10;AAgAAAAhAAwg4HLgAAAADQEAAA8AAAAAAAAAAAAAAAAAqQQAAGRycy9kb3ducmV2LnhtbFBLBQYA&#10;AAAABAAEAPMAAAC2BQAAAAA=&#10;" adj="-11796480,,5400" path="m,l,286385r2656205,l2656205,,,xe" stroked="f">
              <v:stroke joinstyle="miter"/>
              <v:formulas/>
              <v:path arrowok="t" o:connecttype="custom" textboxrect="0,0,2656205,286385"/>
              <v:textbox inset="2.47mm,1.06mm,2.47mm,1.06mm">
                <w:txbxContent>
                  <w:p w:rsidR="00967E25" w:rsidRDefault="00936B82">
                    <w:pPr>
                      <w:pStyle w:val="Contedodoquadro"/>
                      <w:spacing w:before="16" w:line="240" w:lineRule="exact"/>
                      <w:ind w:left="20" w:firstLine="20"/>
                    </w:pPr>
                    <w:r>
                      <w:rPr>
                        <w:color w:val="000000"/>
                        <w:sz w:val="12"/>
                      </w:rPr>
                      <w:t>Câmara Nacional de Modelos de Licitações e Contratos – CNMLC/CGU/AGU Aviso de Dispensa Eletrônica – Lei nº 14.133/21 e IN SEGES/ME nº 67/2021 Versão: Agosto/2021</w:t>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E25" w:rsidRDefault="00967E2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E25" w:rsidRDefault="00967E25">
    <w:pPr>
      <w:widowControl w:val="0"/>
      <w:spacing w:line="12" w:lineRule="auto"/>
      <w:rPr>
        <w:color w:val="000000"/>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E25" w:rsidRDefault="00967E25">
    <w:pPr>
      <w:widowControl w:val="0"/>
      <w:spacing w:line="12" w:lineRule="auto"/>
      <w:rPr>
        <w:color w:val="000000"/>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E25" w:rsidRDefault="00936B82">
    <w:pPr>
      <w:widowControl w:val="0"/>
      <w:spacing w:line="12" w:lineRule="auto"/>
      <w:rPr>
        <w:color w:val="000000"/>
        <w:sz w:val="20"/>
        <w:szCs w:val="20"/>
      </w:rPr>
    </w:pPr>
    <w:r>
      <w:rPr>
        <w:noProof/>
        <w:color w:val="000000"/>
        <w:sz w:val="20"/>
        <w:szCs w:val="20"/>
        <w:lang w:val="pt-BR" w:eastAsia="pt-BR"/>
      </w:rPr>
      <mc:AlternateContent>
        <mc:Choice Requires="wps">
          <w:drawing>
            <wp:anchor distT="0" distB="0" distL="114300" distR="114300" simplePos="0" relativeHeight="39" behindDoc="1" locked="0" layoutInCell="1" allowOverlap="1">
              <wp:simplePos x="0" y="0"/>
              <wp:positionH relativeFrom="column">
                <wp:posOffset>-304800</wp:posOffset>
              </wp:positionH>
              <wp:positionV relativeFrom="paragraph">
                <wp:posOffset>635</wp:posOffset>
              </wp:positionV>
              <wp:extent cx="1270" cy="13335"/>
              <wp:effectExtent l="0" t="0" r="0" b="0"/>
              <wp:wrapNone/>
              <wp:docPr id="9" name="Figura5"/>
              <wp:cNvGraphicFramePr/>
              <a:graphic xmlns:a="http://schemas.openxmlformats.org/drawingml/2006/main">
                <a:graphicData uri="http://schemas.microsoft.com/office/word/2010/wordprocessingShape">
                  <wps:wsp>
                    <wps:cNvSpPr/>
                    <wps:spPr>
                      <a:xfrm>
                        <a:off x="0" y="0"/>
                        <a:ext cx="720" cy="12600"/>
                      </a:xfrm>
                      <a:custGeom>
                        <a:avLst/>
                        <a:gdLst/>
                        <a:ahLst/>
                        <a:cxnLst/>
                        <a:rect l="l" t="t" r="r" b="b"/>
                        <a:pathLst>
                          <a:path w="21600" h="21600">
                            <a:moveTo>
                              <a:pt x="0" y="0"/>
                            </a:moveTo>
                            <a:lnTo>
                              <a:pt x="21600" y="21600"/>
                            </a:lnTo>
                          </a:path>
                        </a:pathLst>
                      </a:cu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type id="shapetype_32" coordsize="21600,21600" o:spt="32" path="m,l21600,21600nfe">
              <v:stroke joinstyle="miter"/>
              <v:path gradientshapeok="t" o:connecttype="rect" textboxrect="0,0,21600,21600"/>
            </v:shapetype>
            <v:shape id="shape_0" ID="Figura5" fillcolor="white" stroked="t" style="position:absolute;margin-left:-24pt;margin-top:0pt;width:0pt;height:0.95pt" type="shapetype_32">
              <w10:wrap type="none"/>
              <v:fill o:detectmouseclick="t" type="solid" color2="black"/>
              <v:stroke color="black" weight="9360" joinstyle="round" endcap="flat"/>
            </v:shape>
          </w:pict>
        </mc:Fallback>
      </mc:AlternateContent>
    </w:r>
    <w:r>
      <w:rPr>
        <w:noProof/>
        <w:color w:val="000000"/>
        <w:sz w:val="20"/>
        <w:szCs w:val="20"/>
        <w:lang w:val="pt-BR" w:eastAsia="pt-BR"/>
      </w:rPr>
      <mc:AlternateContent>
        <mc:Choice Requires="wps">
          <w:drawing>
            <wp:anchor distT="0" distB="0" distL="114300" distR="114300" simplePos="0" relativeHeight="67" behindDoc="1" locked="0" layoutInCell="1" allowOverlap="1">
              <wp:simplePos x="0" y="0"/>
              <wp:positionH relativeFrom="column">
                <wp:posOffset>393700</wp:posOffset>
              </wp:positionH>
              <wp:positionV relativeFrom="paragraph">
                <wp:posOffset>9855200</wp:posOffset>
              </wp:positionV>
              <wp:extent cx="3510280" cy="392430"/>
              <wp:effectExtent l="0" t="0" r="0" b="0"/>
              <wp:wrapNone/>
              <wp:docPr id="10" name="Figura4"/>
              <wp:cNvGraphicFramePr/>
              <a:graphic xmlns:a="http://schemas.openxmlformats.org/drawingml/2006/main">
                <a:graphicData uri="http://schemas.microsoft.com/office/word/2010/wordprocessingShape">
                  <wps:wsp>
                    <wps:cNvSpPr/>
                    <wps:spPr>
                      <a:xfrm>
                        <a:off x="0" y="0"/>
                        <a:ext cx="3509640" cy="391680"/>
                      </a:xfrm>
                      <a:custGeom>
                        <a:avLst/>
                        <a:gdLst/>
                        <a:ahLst/>
                        <a:cxnLst/>
                        <a:rect l="l" t="t" r="r" b="b"/>
                        <a:pathLst>
                          <a:path w="3500120" h="382270">
                            <a:moveTo>
                              <a:pt x="0" y="0"/>
                            </a:moveTo>
                            <a:lnTo>
                              <a:pt x="0" y="382270"/>
                            </a:lnTo>
                            <a:lnTo>
                              <a:pt x="3500120" y="382270"/>
                            </a:lnTo>
                            <a:lnTo>
                              <a:pt x="3500120" y="0"/>
                            </a:lnTo>
                            <a:close/>
                          </a:path>
                        </a:pathLst>
                      </a:custGeom>
                      <a:solidFill>
                        <a:srgbClr val="FFFFFF"/>
                      </a:solidFill>
                      <a:ln>
                        <a:noFill/>
                      </a:ln>
                    </wps:spPr>
                    <wps:style>
                      <a:lnRef idx="0">
                        <a:scrgbClr r="0" g="0" b="0"/>
                      </a:lnRef>
                      <a:fillRef idx="0">
                        <a:scrgbClr r="0" g="0" b="0"/>
                      </a:fillRef>
                      <a:effectRef idx="0">
                        <a:scrgbClr r="0" g="0" b="0"/>
                      </a:effectRef>
                      <a:fontRef idx="minor"/>
                    </wps:style>
                    <wps:txbx>
                      <w:txbxContent>
                        <w:p w:rsidR="00967E25" w:rsidRDefault="00936B82">
                          <w:pPr>
                            <w:pStyle w:val="Contedodoquadro"/>
                            <w:spacing w:before="16" w:line="240" w:lineRule="exact"/>
                            <w:ind w:left="20" w:right="2" w:firstLine="20"/>
                          </w:pPr>
                          <w:r>
                            <w:rPr>
                              <w:color w:val="000000"/>
                              <w:sz w:val="12"/>
                            </w:rPr>
                            <w:t>Câmara Nacional de Modelos de Licitações e Contratos Administrativos da Consultoria-Geral da União Termo de Referência - Serviços Não Continuados</w:t>
                          </w:r>
                        </w:p>
                        <w:p w:rsidR="00967E25" w:rsidRDefault="00936B82">
                          <w:pPr>
                            <w:pStyle w:val="Contedodoquadro"/>
                            <w:spacing w:before="2" w:line="240" w:lineRule="exact"/>
                            <w:ind w:left="20" w:firstLine="20"/>
                          </w:pPr>
                          <w:r>
                            <w:rPr>
                              <w:color w:val="000000"/>
                              <w:sz w:val="12"/>
                            </w:rPr>
                            <w:t>Atualização Junho/2021</w:t>
                          </w:r>
                        </w:p>
                        <w:p w:rsidR="00967E25" w:rsidRDefault="00936B82">
                          <w:pPr>
                            <w:pStyle w:val="Contedodoquadro"/>
                            <w:spacing w:before="11" w:line="240" w:lineRule="exact"/>
                            <w:ind w:left="20" w:firstLine="20"/>
                          </w:pPr>
                          <w:r>
                            <w:rPr>
                              <w:color w:val="000000"/>
                              <w:sz w:val="12"/>
                            </w:rPr>
                            <w:t xml:space="preserve">Adaptado pelo Ifes </w:t>
                          </w:r>
                          <w:r>
                            <w:rPr>
                              <w:i/>
                              <w:color w:val="000000"/>
                              <w:sz w:val="12"/>
                            </w:rPr>
                            <w:t xml:space="preserve">Campus </w:t>
                          </w:r>
                          <w:r>
                            <w:rPr>
                              <w:color w:val="000000"/>
                              <w:sz w:val="12"/>
                            </w:rPr>
                            <w:t>Piúma.</w:t>
                          </w:r>
                        </w:p>
                      </w:txbxContent>
                    </wps:txbx>
                    <wps:bodyPr lIns="88920" tIns="38160" rIns="88920" bIns="38160">
                      <a:noAutofit/>
                    </wps:bodyPr>
                  </wps:wsp>
                </a:graphicData>
              </a:graphic>
            </wp:anchor>
          </w:drawing>
        </mc:Choice>
        <mc:Fallback>
          <w:pict>
            <v:shape id="Figura4" o:spid="_x0000_s1036" style="position:absolute;margin-left:31pt;margin-top:776pt;width:276.4pt;height:30.9pt;z-index:-503316413;visibility:visible;mso-wrap-style:square;mso-wrap-distance-left:9pt;mso-wrap-distance-top:0;mso-wrap-distance-right:9pt;mso-wrap-distance-bottom:0;mso-position-horizontal:absolute;mso-position-horizontal-relative:text;mso-position-vertical:absolute;mso-position-vertical-relative:text;v-text-anchor:top" coordsize="3500120,382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AOQVAIAAHUFAAAOAAAAZHJzL2Uyb0RvYy54bWysVMFu2zAMvQ/YPwi+r3acLnOCJMWwIsOA&#10;YSva7gNkWYoFyJIhKbHz9yNpO8nayzosB4cyyUfyPdHru74x7Ch90M5uktlNljBphau03W+SX8+7&#10;D0XCQuS24sZZuUlOMiR32/fv1l27krmrnamkZwBiw6prN0kdY7tK0yBq2fBw41ppwamcb3iEo9+n&#10;lecdoDcmzbNskXbOV613QoYAb+8HZ7IlfKWkiD+VCjIys0mgt0hPT88Sn+l2zVd7z9tai7EN/g9d&#10;NFxbKHqGuueRs4PXr6AaLbwLTsUb4ZrUKaWFpBlgmln2YpqnmreSZgFyQnumKfw/WPHj+OCZrkA7&#10;oMfyBjTa6f3B81vkpmvDCkKe2gc/ngKYOGivfIP/MALric/TmU/ZRybg5fxjtlzcAq4A33w5WxRE&#10;eHrJFocQv0pHSPz4PcRBj2qyeD1ZoreT6UFV1NOQnjFhoKdPGOhZDnq2PGIetocm66iVbJZDKzXY&#10;RZ5/ykiuxh3ls6PA+GIM6PLiNfZ11AgDHUPoFDD9twQHBAxVcf6h6t+GT0xNgMK4IIdknImKnueE&#10;Bq6ZDM7oaqeNwcGC35dfjGdHDpTt6IcsQcofYcZisHWYNvUIUXgBBsnJiicjMc7YR6ng2pDyVEWM&#10;ZYbdguUHrqcNI34gAQMV4L8xd0zBbEkr/cb8cxLVdzae8xttnSc2rqZDM/ZlT1uRoxfflK46waaY&#10;bxa2ryiWeJciHebFbAEHf+0przxY1brPh+iUxvtNnA5w4wF2mwQZv0P48bg+U9Tla7n9DQAA//8D&#10;AFBLAwQUAAYACAAAACEAp+Ifot8AAAAMAQAADwAAAGRycy9kb3ducmV2LnhtbEyPQU/DMAyF70j8&#10;h8hI3FjajVVTaToNBByBFS7cssa0VRunStKt+/d4J7jZz0/P3yu2sx3EEX3oHClIFwkIpNqZjhoF&#10;X58vdxsQIWoyenCECs4YYFteXxU6N+5EezxWsREcQiHXCtoYx1zKULdodVi4EYlvP85bHXn1jTRe&#10;nzjcDnKZJJm0uiP+0OoRn1qs+2qyCqrzrn9e1dOrf/v+kO++f5z22Cp1ezPvHkBEnOOfGS74jA4l&#10;Mx3cRCaIQUG25CqR9fX6MrEjS++5zIGlLF1tQJaF/F+i/AUAAP//AwBQSwECLQAUAAYACAAAACEA&#10;toM4kv4AAADhAQAAEwAAAAAAAAAAAAAAAAAAAAAAW0NvbnRlbnRfVHlwZXNdLnhtbFBLAQItABQA&#10;BgAIAAAAIQA4/SH/1gAAAJQBAAALAAAAAAAAAAAAAAAAAC8BAABfcmVscy8ucmVsc1BLAQItABQA&#10;BgAIAAAAIQA6wAOQVAIAAHUFAAAOAAAAAAAAAAAAAAAAAC4CAABkcnMvZTJvRG9jLnhtbFBLAQIt&#10;ABQABgAIAAAAIQCn4h+i3wAAAAwBAAAPAAAAAAAAAAAAAAAAAK4EAABkcnMvZG93bnJldi54bWxQ&#10;SwUGAAAAAAQABADzAAAAugUAAAAA&#10;" adj="-11796480,,5400" path="m,l,382270r3500120,l3500120,,,xe" stroked="f">
              <v:stroke joinstyle="miter"/>
              <v:formulas/>
              <v:path arrowok="t" o:connecttype="custom" textboxrect="0,0,3500120,382270"/>
              <v:textbox inset="2.47mm,1.06mm,2.47mm,1.06mm">
                <w:txbxContent>
                  <w:p w:rsidR="00967E25" w:rsidRDefault="00936B82">
                    <w:pPr>
                      <w:pStyle w:val="Contedodoquadro"/>
                      <w:spacing w:before="16" w:line="240" w:lineRule="exact"/>
                      <w:ind w:left="20" w:right="2" w:firstLine="20"/>
                    </w:pPr>
                    <w:r>
                      <w:rPr>
                        <w:color w:val="000000"/>
                        <w:sz w:val="12"/>
                      </w:rPr>
                      <w:t>Câmara Nacional de Modelos de Licitações e Contratos Administrativos da Consultoria-Geral da União Termo de Referência - Serviços Não Continuados</w:t>
                    </w:r>
                  </w:p>
                  <w:p w:rsidR="00967E25" w:rsidRDefault="00936B82">
                    <w:pPr>
                      <w:pStyle w:val="Contedodoquadro"/>
                      <w:spacing w:before="2" w:line="240" w:lineRule="exact"/>
                      <w:ind w:left="20" w:firstLine="20"/>
                    </w:pPr>
                    <w:r>
                      <w:rPr>
                        <w:color w:val="000000"/>
                        <w:sz w:val="12"/>
                      </w:rPr>
                      <w:t>Atualização Junho/2021</w:t>
                    </w:r>
                  </w:p>
                  <w:p w:rsidR="00967E25" w:rsidRDefault="00936B82">
                    <w:pPr>
                      <w:pStyle w:val="Contedodoquadro"/>
                      <w:spacing w:before="11" w:line="240" w:lineRule="exact"/>
                      <w:ind w:left="20" w:firstLine="20"/>
                    </w:pPr>
                    <w:r>
                      <w:rPr>
                        <w:color w:val="000000"/>
                        <w:sz w:val="12"/>
                      </w:rPr>
                      <w:t xml:space="preserve">Adaptado pelo Ifes </w:t>
                    </w:r>
                    <w:r>
                      <w:rPr>
                        <w:i/>
                        <w:color w:val="000000"/>
                        <w:sz w:val="12"/>
                      </w:rPr>
                      <w:t xml:space="preserve">Campus </w:t>
                    </w:r>
                    <w:r>
                      <w:rPr>
                        <w:color w:val="000000"/>
                        <w:sz w:val="12"/>
                      </w:rPr>
                      <w:t>Piúma.</w:t>
                    </w:r>
                  </w:p>
                </w:txbxContent>
              </v:textbox>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E25" w:rsidRDefault="00967E25">
    <w:pPr>
      <w:widowControl w:val="0"/>
      <w:spacing w:line="12" w:lineRule="auto"/>
      <w:rPr>
        <w:color w:val="000000"/>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E25" w:rsidRDefault="00967E25">
    <w:pPr>
      <w:widowControl w:val="0"/>
      <w:spacing w:line="12" w:lineRule="auto"/>
      <w:rPr>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DFB" w:rsidRDefault="00C34DFB">
      <w:r>
        <w:separator/>
      </w:r>
    </w:p>
  </w:footnote>
  <w:footnote w:type="continuationSeparator" w:id="0">
    <w:p w:rsidR="00C34DFB" w:rsidRDefault="00C34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E25" w:rsidRDefault="00936B82">
    <w:pPr>
      <w:widowControl w:val="0"/>
      <w:spacing w:line="12" w:lineRule="auto"/>
      <w:rPr>
        <w:color w:val="000000"/>
        <w:sz w:val="20"/>
        <w:szCs w:val="20"/>
      </w:rPr>
    </w:pPr>
    <w:r>
      <w:rPr>
        <w:noProof/>
        <w:color w:val="000000"/>
        <w:sz w:val="20"/>
        <w:szCs w:val="20"/>
        <w:lang w:val="pt-BR" w:eastAsia="pt-BR"/>
      </w:rPr>
      <mc:AlternateContent>
        <mc:Choice Requires="wps">
          <w:drawing>
            <wp:anchor distT="0" distB="0" distL="114300" distR="114300" simplePos="0" relativeHeight="95" behindDoc="1" locked="0" layoutInCell="1" allowOverlap="1">
              <wp:simplePos x="0" y="0"/>
              <wp:positionH relativeFrom="page">
                <wp:posOffset>2410691</wp:posOffset>
              </wp:positionH>
              <wp:positionV relativeFrom="page">
                <wp:posOffset>736270</wp:posOffset>
              </wp:positionV>
              <wp:extent cx="2375065" cy="663583"/>
              <wp:effectExtent l="0" t="0" r="6350" b="3175"/>
              <wp:wrapNone/>
              <wp:docPr id="6" name="Figura3"/>
              <wp:cNvGraphicFramePr/>
              <a:graphic xmlns:a="http://schemas.openxmlformats.org/drawingml/2006/main">
                <a:graphicData uri="http://schemas.microsoft.com/office/word/2010/wordprocessingShape">
                  <wps:wsp>
                    <wps:cNvSpPr/>
                    <wps:spPr>
                      <a:xfrm>
                        <a:off x="0" y="0"/>
                        <a:ext cx="2375065" cy="663583"/>
                      </a:xfrm>
                      <a:custGeom>
                        <a:avLst/>
                        <a:gdLst/>
                        <a:ahLst/>
                        <a:cxnLst/>
                        <a:rect l="l" t="t" r="r" b="b"/>
                        <a:pathLst>
                          <a:path w="2350135" h="534670">
                            <a:moveTo>
                              <a:pt x="0" y="0"/>
                            </a:moveTo>
                            <a:lnTo>
                              <a:pt x="0" y="534670"/>
                            </a:lnTo>
                            <a:lnTo>
                              <a:pt x="2350135" y="534670"/>
                            </a:lnTo>
                            <a:lnTo>
                              <a:pt x="2350135" y="0"/>
                            </a:lnTo>
                            <a:close/>
                          </a:path>
                        </a:pathLst>
                      </a:custGeom>
                      <a:solidFill>
                        <a:srgbClr val="FFFFFF"/>
                      </a:solidFill>
                      <a:ln>
                        <a:noFill/>
                      </a:ln>
                    </wps:spPr>
                    <wps:style>
                      <a:lnRef idx="0">
                        <a:scrgbClr r="0" g="0" b="0"/>
                      </a:lnRef>
                      <a:fillRef idx="0">
                        <a:scrgbClr r="0" g="0" b="0"/>
                      </a:fillRef>
                      <a:effectRef idx="0">
                        <a:scrgbClr r="0" g="0" b="0"/>
                      </a:effectRef>
                      <a:fontRef idx="minor"/>
                    </wps:style>
                    <wps:txbx>
                      <w:txbxContent>
                        <w:p w:rsidR="00967E25" w:rsidRPr="00443E35" w:rsidRDefault="00936B82">
                          <w:pPr>
                            <w:pStyle w:val="Contedodoquadro"/>
                            <w:spacing w:line="231" w:lineRule="exact"/>
                            <w:ind w:left="18" w:right="6"/>
                            <w:jc w:val="center"/>
                            <w:rPr>
                              <w:sz w:val="20"/>
                              <w:szCs w:val="20"/>
                            </w:rPr>
                          </w:pPr>
                          <w:r w:rsidRPr="00443E35">
                            <w:rPr>
                              <w:color w:val="000000"/>
                              <w:sz w:val="20"/>
                              <w:szCs w:val="20"/>
                            </w:rPr>
                            <w:t>MINISTÉRIO DA EDUCAÇÃO</w:t>
                          </w:r>
                        </w:p>
                        <w:p w:rsidR="00967E25" w:rsidRPr="00443E35" w:rsidRDefault="00936B82">
                          <w:pPr>
                            <w:pStyle w:val="Contedodoquadro"/>
                            <w:spacing w:before="37" w:line="275" w:lineRule="exact"/>
                            <w:ind w:left="18" w:right="17"/>
                            <w:jc w:val="center"/>
                            <w:rPr>
                              <w:sz w:val="20"/>
                              <w:szCs w:val="20"/>
                            </w:rPr>
                          </w:pPr>
                          <w:r w:rsidRPr="00443E35">
                            <w:rPr>
                              <w:color w:val="000000"/>
                              <w:sz w:val="20"/>
                              <w:szCs w:val="20"/>
                            </w:rPr>
                            <w:t>INSTITUTO FEDERAL DO ESPÍRITO SANTO CAMPUS PIÚMA</w:t>
                          </w:r>
                        </w:p>
                      </w:txbxContent>
                    </wps:txbx>
                    <wps:bodyPr wrap="square" lIns="88920" tIns="38160" rIns="88920" bIns="38160">
                      <a:noAutofit/>
                    </wps:bodyPr>
                  </wps:wsp>
                </a:graphicData>
              </a:graphic>
              <wp14:sizeRelH relativeFrom="margin">
                <wp14:pctWidth>0</wp14:pctWidth>
              </wp14:sizeRelH>
              <wp14:sizeRelV relativeFrom="margin">
                <wp14:pctHeight>0</wp14:pctHeight>
              </wp14:sizeRelV>
            </wp:anchor>
          </w:drawing>
        </mc:Choice>
        <mc:Fallback>
          <w:pict>
            <v:shape id="Figura3" o:spid="_x0000_s1035" style="position:absolute;margin-left:189.8pt;margin-top:57.95pt;width:187pt;height:52.25pt;z-index:-5033163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2350135,5346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Qj1XQIAAIIFAAAOAAAAZHJzL2Uyb0RvYy54bWysVNtu2zAMfR+wfxD0vthJFjcL6hTDigwD&#10;hq1ouw9QZDkWIEuepMTO34+kL83apwzzg0yJh5dDirq962rDTsoH7WzO57OUM2WlK7Q95PzX8+7D&#10;mrMQhS2EcVbl/KwCv9u+f3fbNhu1cJUzhfIMnNiwaZucVzE2myQJslK1CDPXKAvK0vlaRNj6Q1J4&#10;0YL32iSLNM2S1vmi8U6qEOD0vlfyLfkvSyXjz7IMKjKTc8gt0upp3eOabG/F5uBFU2k5pCH+IYta&#10;aAtBJ1f3Igp29PqNq1pL74Ir40y6OnFlqaUiDsBmnr5i81SJRhEXKE5opjKF/+dW/jg9eKaLnGec&#10;WVFDi3b6cPRiiaVpm7ABxFPz4IddABF5dqWv8Q8MWEflPE/lVF1kEg4Xy5tVmq04k6DLsuVqTU6T&#10;F2t5DPGrcuRJnL6H2LejGCVRjZLs7Ch6aCq201A7I2fQTs8ZtHPft7MREe0wPRRZi6ms0vkSUqly&#10;vlp+zG5S6lbtTurZETC+ogFZvmiNfYsa3EDGAB0B478hd1NU4H8lnG7mhWNpXFB9LOREQSeegLus&#10;ZHBGFzttDBIL/rD/Yjw7CSjZjj6sEpj8BTMWwdah2UgJUHgB+paTFM9GIc7YR1XCraHOUxQ5hOlH&#10;C2Yfhm0cMKIBBggswf+VtoMJWiua6CvtJyOK72yc7GttnadqXLBDMXb7joZijlo82bviDIPSwkuR&#10;8/D7KLzizHyzMIrr9acFPi20Wa7nGWz8pWZ/ocEcrPt8jK7UeNupwr3zYQODTu0ZHiV8SS73hHp5&#10;Ord/AAAA//8DAFBLAwQUAAYACAAAACEA+JrGrd8AAAALAQAADwAAAGRycy9kb3ducmV2LnhtbEyP&#10;wU7DMAyG70i8Q2QkbixZxzZWmk4TEgIuSJQ9QNqatixxSpJt5e0xJzja/6ffn4vt5Kw4YYiDJw3z&#10;mQKB1Ph2oE7D/v3x5g5ETIZaYz2hhm+MsC0vLwqTt/5Mb3iqUie4hGJuNPQpjbmUsenRmTjzIxJn&#10;Hz44k3gMnWyDOXO5szJTaiWdGYgv9GbEhx6bQ3V0GuoXGz6z51fcH+hLuqj6avc0aX19Ne3uQSSc&#10;0h8Mv/qsDiU71f5IbRRWw2K9WTHKwXy5AcHEerngTa0hy9QtyLKQ/38ofwAAAP//AwBQSwECLQAU&#10;AAYACAAAACEAtoM4kv4AAADhAQAAEwAAAAAAAAAAAAAAAAAAAAAAW0NvbnRlbnRfVHlwZXNdLnht&#10;bFBLAQItABQABgAIAAAAIQA4/SH/1gAAAJQBAAALAAAAAAAAAAAAAAAAAC8BAABfcmVscy8ucmVs&#10;c1BLAQItABQABgAIAAAAIQDYRQj1XQIAAIIFAAAOAAAAAAAAAAAAAAAAAC4CAABkcnMvZTJvRG9j&#10;LnhtbFBLAQItABQABgAIAAAAIQD4msat3wAAAAsBAAAPAAAAAAAAAAAAAAAAALcEAABkcnMvZG93&#10;bnJldi54bWxQSwUGAAAAAAQABADzAAAAwwUAAAAA&#10;" adj="-11796480,,5400" path="m,l,534670r2350135,l2350135,,,xe" stroked="f">
              <v:stroke joinstyle="miter"/>
              <v:formulas/>
              <v:path arrowok="t" o:connecttype="custom" textboxrect="0,0,2350135,534670"/>
              <v:textbox inset="2.47mm,1.06mm,2.47mm,1.06mm">
                <w:txbxContent>
                  <w:p w:rsidR="00967E25" w:rsidRPr="00443E35" w:rsidRDefault="00936B82">
                    <w:pPr>
                      <w:pStyle w:val="Contedodoquadro"/>
                      <w:spacing w:line="231" w:lineRule="exact"/>
                      <w:ind w:left="18" w:right="6"/>
                      <w:jc w:val="center"/>
                      <w:rPr>
                        <w:sz w:val="20"/>
                        <w:szCs w:val="20"/>
                      </w:rPr>
                    </w:pPr>
                    <w:r w:rsidRPr="00443E35">
                      <w:rPr>
                        <w:color w:val="000000"/>
                        <w:sz w:val="20"/>
                        <w:szCs w:val="20"/>
                      </w:rPr>
                      <w:t>MINISTÉRIO DA EDUCAÇÃO</w:t>
                    </w:r>
                  </w:p>
                  <w:p w:rsidR="00967E25" w:rsidRPr="00443E35" w:rsidRDefault="00936B82">
                    <w:pPr>
                      <w:pStyle w:val="Contedodoquadro"/>
                      <w:spacing w:before="37" w:line="275" w:lineRule="exact"/>
                      <w:ind w:left="18" w:right="17"/>
                      <w:jc w:val="center"/>
                      <w:rPr>
                        <w:sz w:val="20"/>
                        <w:szCs w:val="20"/>
                      </w:rPr>
                    </w:pPr>
                    <w:r w:rsidRPr="00443E35">
                      <w:rPr>
                        <w:color w:val="000000"/>
                        <w:sz w:val="20"/>
                        <w:szCs w:val="20"/>
                      </w:rPr>
                      <w:t>INSTITUTO FEDERAL DO ESPÍRITO SANTO CAMPUS PIÚMA</w:t>
                    </w:r>
                  </w:p>
                </w:txbxContent>
              </v:textbox>
              <w10:wrap anchorx="page" anchory="page"/>
            </v:shape>
          </w:pict>
        </mc:Fallback>
      </mc:AlternateContent>
    </w:r>
    <w:r>
      <w:rPr>
        <w:noProof/>
        <w:color w:val="000000"/>
        <w:sz w:val="20"/>
        <w:szCs w:val="20"/>
        <w:lang w:val="pt-BR" w:eastAsia="pt-BR"/>
      </w:rPr>
      <w:drawing>
        <wp:anchor distT="0" distB="0" distL="0" distR="0" simplePos="0" relativeHeight="123" behindDoc="1" locked="0" layoutInCell="1" allowOverlap="1">
          <wp:simplePos x="0" y="0"/>
          <wp:positionH relativeFrom="page">
            <wp:posOffset>3285490</wp:posOffset>
          </wp:positionH>
          <wp:positionV relativeFrom="page">
            <wp:posOffset>105410</wp:posOffset>
          </wp:positionV>
          <wp:extent cx="626110" cy="595630"/>
          <wp:effectExtent l="0" t="0" r="0" b="0"/>
          <wp:wrapNone/>
          <wp:docPr id="8"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g"/>
                  <pic:cNvPicPr>
                    <a:picLocks noChangeAspect="1" noChangeArrowheads="1"/>
                  </pic:cNvPicPr>
                </pic:nvPicPr>
                <pic:blipFill>
                  <a:blip r:embed="rId1"/>
                  <a:stretch>
                    <a:fillRect/>
                  </a:stretch>
                </pic:blipFill>
                <pic:spPr bwMode="auto">
                  <a:xfrm>
                    <a:off x="0" y="0"/>
                    <a:ext cx="626110" cy="5956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E25" w:rsidRDefault="00967E25">
    <w:pPr>
      <w:widowControl w:val="0"/>
      <w:spacing w:line="12" w:lineRule="auto"/>
      <w:rPr>
        <w:color w:val="000000"/>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E25" w:rsidRDefault="00967E25">
    <w:pPr>
      <w:widowControl w:val="0"/>
      <w:spacing w:line="12" w:lineRule="auto"/>
      <w:rPr>
        <w:color w:val="00000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C6B14"/>
    <w:multiLevelType w:val="multilevel"/>
    <w:tmpl w:val="75A84E2C"/>
    <w:lvl w:ilvl="0">
      <w:start w:val="1"/>
      <w:numFmt w:val="decimal"/>
      <w:lvlText w:val="%1"/>
      <w:lvlJc w:val="left"/>
      <w:pPr>
        <w:ind w:left="1402" w:hanging="360"/>
      </w:pPr>
      <w:rPr>
        <w:rFonts w:ascii="Arial" w:eastAsia="Arial" w:hAnsi="Arial" w:cs="Arial"/>
        <w:b/>
        <w:sz w:val="24"/>
        <w:szCs w:val="24"/>
      </w:rPr>
    </w:lvl>
    <w:lvl w:ilvl="1">
      <w:start w:val="1"/>
      <w:numFmt w:val="decimal"/>
      <w:lvlText w:val="%1.%2"/>
      <w:lvlJc w:val="left"/>
      <w:pPr>
        <w:ind w:left="1968" w:hanging="360"/>
      </w:pPr>
    </w:lvl>
    <w:lvl w:ilvl="2">
      <w:numFmt w:val="bullet"/>
      <w:lvlText w:val=""/>
      <w:lvlJc w:val="left"/>
      <w:pPr>
        <w:ind w:left="2851" w:hanging="360"/>
      </w:pPr>
      <w:rPr>
        <w:rFonts w:ascii="Symbol" w:hAnsi="Symbol" w:cs="Symbol" w:hint="default"/>
      </w:rPr>
    </w:lvl>
    <w:lvl w:ilvl="3">
      <w:numFmt w:val="bullet"/>
      <w:lvlText w:val=""/>
      <w:lvlJc w:val="left"/>
      <w:pPr>
        <w:ind w:left="3743" w:hanging="360"/>
      </w:pPr>
      <w:rPr>
        <w:rFonts w:ascii="Symbol" w:hAnsi="Symbol" w:cs="Symbol" w:hint="default"/>
      </w:rPr>
    </w:lvl>
    <w:lvl w:ilvl="4">
      <w:numFmt w:val="bullet"/>
      <w:lvlText w:val=""/>
      <w:lvlJc w:val="left"/>
      <w:pPr>
        <w:ind w:left="4635" w:hanging="360"/>
      </w:pPr>
      <w:rPr>
        <w:rFonts w:ascii="Symbol" w:hAnsi="Symbol" w:cs="Symbol" w:hint="default"/>
      </w:rPr>
    </w:lvl>
    <w:lvl w:ilvl="5">
      <w:numFmt w:val="bullet"/>
      <w:lvlText w:val=""/>
      <w:lvlJc w:val="left"/>
      <w:pPr>
        <w:ind w:left="5526" w:hanging="360"/>
      </w:pPr>
      <w:rPr>
        <w:rFonts w:ascii="Symbol" w:hAnsi="Symbol" w:cs="Symbol" w:hint="default"/>
      </w:rPr>
    </w:lvl>
    <w:lvl w:ilvl="6">
      <w:numFmt w:val="bullet"/>
      <w:lvlText w:val=""/>
      <w:lvlJc w:val="left"/>
      <w:pPr>
        <w:ind w:left="6418" w:hanging="360"/>
      </w:pPr>
      <w:rPr>
        <w:rFonts w:ascii="Symbol" w:hAnsi="Symbol" w:cs="Symbol" w:hint="default"/>
      </w:rPr>
    </w:lvl>
    <w:lvl w:ilvl="7">
      <w:numFmt w:val="bullet"/>
      <w:lvlText w:val=""/>
      <w:lvlJc w:val="left"/>
      <w:pPr>
        <w:ind w:left="7310" w:hanging="360"/>
      </w:pPr>
      <w:rPr>
        <w:rFonts w:ascii="Symbol" w:hAnsi="Symbol" w:cs="Symbol" w:hint="default"/>
      </w:rPr>
    </w:lvl>
    <w:lvl w:ilvl="8">
      <w:numFmt w:val="bullet"/>
      <w:lvlText w:val=""/>
      <w:lvlJc w:val="left"/>
      <w:pPr>
        <w:ind w:left="8202" w:hanging="360"/>
      </w:pPr>
      <w:rPr>
        <w:rFonts w:ascii="Symbol" w:hAnsi="Symbol" w:cs="Symbol" w:hint="default"/>
      </w:rPr>
    </w:lvl>
  </w:abstractNum>
  <w:abstractNum w:abstractNumId="1" w15:restartNumberingAfterBreak="0">
    <w:nsid w:val="11B74FE1"/>
    <w:multiLevelType w:val="multilevel"/>
    <w:tmpl w:val="774ACAD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154B13B9"/>
    <w:multiLevelType w:val="multilevel"/>
    <w:tmpl w:val="B3BCA31C"/>
    <w:lvl w:ilvl="0">
      <w:start w:val="1"/>
      <w:numFmt w:val="decimal"/>
      <w:lvlText w:val="%1"/>
      <w:lvlJc w:val="left"/>
      <w:pPr>
        <w:ind w:left="732" w:hanging="732"/>
      </w:pPr>
      <w:rPr>
        <w:b w:val="0"/>
        <w:i w:val="0"/>
        <w:sz w:val="22"/>
        <w:szCs w:val="22"/>
      </w:rPr>
    </w:lvl>
    <w:lvl w:ilvl="1">
      <w:start w:val="1"/>
      <w:numFmt w:val="decimal"/>
      <w:lvlText w:val="%1.%2"/>
      <w:lvlJc w:val="left"/>
      <w:pPr>
        <w:ind w:left="720" w:hanging="732"/>
      </w:pPr>
      <w:rPr>
        <w:rFonts w:ascii="Times New Roman" w:hAnsi="Times New Roman"/>
        <w:b w:val="0"/>
        <w:i w:val="0"/>
        <w:sz w:val="22"/>
        <w:szCs w:val="22"/>
      </w:rPr>
    </w:lvl>
    <w:lvl w:ilvl="2">
      <w:start w:val="1"/>
      <w:numFmt w:val="decimal"/>
      <w:lvlText w:val="%1.%2.%3"/>
      <w:lvlJc w:val="left"/>
      <w:pPr>
        <w:ind w:left="708" w:hanging="732"/>
      </w:pPr>
      <w:rPr>
        <w:b w:val="0"/>
        <w:i w:val="0"/>
        <w:sz w:val="22"/>
        <w:szCs w:val="22"/>
      </w:rPr>
    </w:lvl>
    <w:lvl w:ilvl="3">
      <w:start w:val="1"/>
      <w:numFmt w:val="decimal"/>
      <w:lvlText w:val="%1.%2.%3.%4"/>
      <w:lvlJc w:val="left"/>
      <w:pPr>
        <w:ind w:left="696" w:hanging="732"/>
      </w:pPr>
      <w:rPr>
        <w:b w:val="0"/>
        <w:i w:val="0"/>
        <w:sz w:val="22"/>
        <w:szCs w:val="22"/>
      </w:rPr>
    </w:lvl>
    <w:lvl w:ilvl="4">
      <w:start w:val="1"/>
      <w:numFmt w:val="decimal"/>
      <w:lvlText w:val="%1.%2.%3.%4.%5"/>
      <w:lvlJc w:val="left"/>
      <w:pPr>
        <w:ind w:left="1032" w:hanging="1080"/>
      </w:pPr>
      <w:rPr>
        <w:b w:val="0"/>
        <w:i w:val="0"/>
        <w:sz w:val="22"/>
        <w:szCs w:val="22"/>
      </w:rPr>
    </w:lvl>
    <w:lvl w:ilvl="5">
      <w:start w:val="1"/>
      <w:numFmt w:val="decimal"/>
      <w:lvlText w:val="%1.%2.%3.%4.%5.%6"/>
      <w:lvlJc w:val="left"/>
      <w:pPr>
        <w:ind w:left="1020" w:hanging="1080"/>
      </w:pPr>
      <w:rPr>
        <w:b w:val="0"/>
        <w:i w:val="0"/>
        <w:sz w:val="22"/>
        <w:szCs w:val="22"/>
      </w:rPr>
    </w:lvl>
    <w:lvl w:ilvl="6">
      <w:start w:val="1"/>
      <w:numFmt w:val="decimal"/>
      <w:lvlText w:val="%1.%2.%3.%4.%5.%6.%7"/>
      <w:lvlJc w:val="left"/>
      <w:pPr>
        <w:ind w:left="1368" w:hanging="1440"/>
      </w:pPr>
      <w:rPr>
        <w:b w:val="0"/>
        <w:i w:val="0"/>
        <w:sz w:val="22"/>
        <w:szCs w:val="22"/>
      </w:rPr>
    </w:lvl>
    <w:lvl w:ilvl="7">
      <w:start w:val="1"/>
      <w:numFmt w:val="decimal"/>
      <w:lvlText w:val="%1.%2.%3.%4.%5.%6.%7.%8"/>
      <w:lvlJc w:val="left"/>
      <w:pPr>
        <w:ind w:left="1356" w:hanging="1440"/>
      </w:pPr>
      <w:rPr>
        <w:b w:val="0"/>
        <w:i w:val="0"/>
        <w:sz w:val="22"/>
        <w:szCs w:val="22"/>
      </w:rPr>
    </w:lvl>
    <w:lvl w:ilvl="8">
      <w:start w:val="1"/>
      <w:numFmt w:val="decimal"/>
      <w:lvlText w:val="%1.%2.%3.%4.%5.%6.%7.%8.%9"/>
      <w:lvlJc w:val="left"/>
      <w:pPr>
        <w:ind w:left="1344" w:hanging="1440"/>
      </w:pPr>
      <w:rPr>
        <w:b w:val="0"/>
        <w:i w:val="0"/>
        <w:sz w:val="22"/>
        <w:szCs w:val="22"/>
      </w:rPr>
    </w:lvl>
  </w:abstractNum>
  <w:abstractNum w:abstractNumId="3" w15:restartNumberingAfterBreak="0">
    <w:nsid w:val="3AB613B9"/>
    <w:multiLevelType w:val="multilevel"/>
    <w:tmpl w:val="97F4FB28"/>
    <w:lvl w:ilvl="0">
      <w:start w:val="1"/>
      <w:numFmt w:val="lowerLetter"/>
      <w:lvlText w:val="%1)"/>
      <w:lvlJc w:val="left"/>
      <w:pPr>
        <w:ind w:left="2266" w:hanging="504"/>
      </w:pPr>
      <w:rPr>
        <w:rFonts w:ascii="Arial" w:eastAsia="Arial" w:hAnsi="Arial" w:cs="Arial"/>
        <w:b w:val="0"/>
        <w:sz w:val="24"/>
        <w:szCs w:val="24"/>
      </w:rPr>
    </w:lvl>
    <w:lvl w:ilvl="1">
      <w:numFmt w:val="bullet"/>
      <w:lvlText w:val=""/>
      <w:lvlJc w:val="left"/>
      <w:pPr>
        <w:ind w:left="3032" w:hanging="504"/>
      </w:pPr>
      <w:rPr>
        <w:rFonts w:ascii="Symbol" w:hAnsi="Symbol" w:cs="Symbol" w:hint="default"/>
      </w:rPr>
    </w:lvl>
    <w:lvl w:ilvl="2">
      <w:numFmt w:val="bullet"/>
      <w:lvlText w:val=""/>
      <w:lvlJc w:val="left"/>
      <w:pPr>
        <w:ind w:left="3805" w:hanging="504"/>
      </w:pPr>
      <w:rPr>
        <w:rFonts w:ascii="Symbol" w:hAnsi="Symbol" w:cs="Symbol" w:hint="default"/>
      </w:rPr>
    </w:lvl>
    <w:lvl w:ilvl="3">
      <w:numFmt w:val="bullet"/>
      <w:lvlText w:val=""/>
      <w:lvlJc w:val="left"/>
      <w:pPr>
        <w:ind w:left="4577" w:hanging="504"/>
      </w:pPr>
      <w:rPr>
        <w:rFonts w:ascii="Symbol" w:hAnsi="Symbol" w:cs="Symbol" w:hint="default"/>
      </w:rPr>
    </w:lvl>
    <w:lvl w:ilvl="4">
      <w:numFmt w:val="bullet"/>
      <w:lvlText w:val=""/>
      <w:lvlJc w:val="left"/>
      <w:pPr>
        <w:ind w:left="5350" w:hanging="504"/>
      </w:pPr>
      <w:rPr>
        <w:rFonts w:ascii="Symbol" w:hAnsi="Symbol" w:cs="Symbol" w:hint="default"/>
      </w:rPr>
    </w:lvl>
    <w:lvl w:ilvl="5">
      <w:numFmt w:val="bullet"/>
      <w:lvlText w:val=""/>
      <w:lvlJc w:val="left"/>
      <w:pPr>
        <w:ind w:left="6122" w:hanging="503"/>
      </w:pPr>
      <w:rPr>
        <w:rFonts w:ascii="Symbol" w:hAnsi="Symbol" w:cs="Symbol" w:hint="default"/>
      </w:rPr>
    </w:lvl>
    <w:lvl w:ilvl="6">
      <w:numFmt w:val="bullet"/>
      <w:lvlText w:val=""/>
      <w:lvlJc w:val="left"/>
      <w:pPr>
        <w:ind w:left="6895" w:hanging="504"/>
      </w:pPr>
      <w:rPr>
        <w:rFonts w:ascii="Symbol" w:hAnsi="Symbol" w:cs="Symbol" w:hint="default"/>
      </w:rPr>
    </w:lvl>
    <w:lvl w:ilvl="7">
      <w:numFmt w:val="bullet"/>
      <w:lvlText w:val=""/>
      <w:lvlJc w:val="left"/>
      <w:pPr>
        <w:ind w:left="7667" w:hanging="503"/>
      </w:pPr>
      <w:rPr>
        <w:rFonts w:ascii="Symbol" w:hAnsi="Symbol" w:cs="Symbol" w:hint="default"/>
      </w:rPr>
    </w:lvl>
    <w:lvl w:ilvl="8">
      <w:numFmt w:val="bullet"/>
      <w:lvlText w:val=""/>
      <w:lvlJc w:val="left"/>
      <w:pPr>
        <w:ind w:left="8440" w:hanging="504"/>
      </w:pPr>
      <w:rPr>
        <w:rFonts w:ascii="Symbol" w:hAnsi="Symbol" w:cs="Symbol" w:hint="default"/>
      </w:rPr>
    </w:lvl>
  </w:abstractNum>
  <w:abstractNum w:abstractNumId="4" w15:restartNumberingAfterBreak="0">
    <w:nsid w:val="42351A45"/>
    <w:multiLevelType w:val="multilevel"/>
    <w:tmpl w:val="FD28B5EC"/>
    <w:lvl w:ilvl="0">
      <w:numFmt w:val="bullet"/>
      <w:lvlText w:val="-"/>
      <w:lvlJc w:val="left"/>
      <w:pPr>
        <w:ind w:left="105" w:hanging="118"/>
      </w:pPr>
      <w:rPr>
        <w:rFonts w:ascii="Arial" w:hAnsi="Arial" w:cs="Arial" w:hint="default"/>
        <w:sz w:val="22"/>
        <w:szCs w:val="22"/>
      </w:rPr>
    </w:lvl>
    <w:lvl w:ilvl="1">
      <w:numFmt w:val="bullet"/>
      <w:lvlText w:val=""/>
      <w:lvlJc w:val="left"/>
      <w:pPr>
        <w:ind w:left="511" w:hanging="118"/>
      </w:pPr>
      <w:rPr>
        <w:rFonts w:ascii="Symbol" w:hAnsi="Symbol" w:cs="Symbol" w:hint="default"/>
      </w:rPr>
    </w:lvl>
    <w:lvl w:ilvl="2">
      <w:numFmt w:val="bullet"/>
      <w:lvlText w:val=""/>
      <w:lvlJc w:val="left"/>
      <w:pPr>
        <w:ind w:left="922" w:hanging="118"/>
      </w:pPr>
      <w:rPr>
        <w:rFonts w:ascii="Symbol" w:hAnsi="Symbol" w:cs="Symbol" w:hint="default"/>
      </w:rPr>
    </w:lvl>
    <w:lvl w:ilvl="3">
      <w:numFmt w:val="bullet"/>
      <w:lvlText w:val=""/>
      <w:lvlJc w:val="left"/>
      <w:pPr>
        <w:ind w:left="1333" w:hanging="117"/>
      </w:pPr>
      <w:rPr>
        <w:rFonts w:ascii="Symbol" w:hAnsi="Symbol" w:cs="Symbol" w:hint="default"/>
      </w:rPr>
    </w:lvl>
    <w:lvl w:ilvl="4">
      <w:numFmt w:val="bullet"/>
      <w:lvlText w:val=""/>
      <w:lvlJc w:val="left"/>
      <w:pPr>
        <w:ind w:left="1744" w:hanging="118"/>
      </w:pPr>
      <w:rPr>
        <w:rFonts w:ascii="Symbol" w:hAnsi="Symbol" w:cs="Symbol" w:hint="default"/>
      </w:rPr>
    </w:lvl>
    <w:lvl w:ilvl="5">
      <w:numFmt w:val="bullet"/>
      <w:lvlText w:val=""/>
      <w:lvlJc w:val="left"/>
      <w:pPr>
        <w:ind w:left="2155" w:hanging="118"/>
      </w:pPr>
      <w:rPr>
        <w:rFonts w:ascii="Symbol" w:hAnsi="Symbol" w:cs="Symbol" w:hint="default"/>
      </w:rPr>
    </w:lvl>
    <w:lvl w:ilvl="6">
      <w:numFmt w:val="bullet"/>
      <w:lvlText w:val=""/>
      <w:lvlJc w:val="left"/>
      <w:pPr>
        <w:ind w:left="2566" w:hanging="118"/>
      </w:pPr>
      <w:rPr>
        <w:rFonts w:ascii="Symbol" w:hAnsi="Symbol" w:cs="Symbol" w:hint="default"/>
      </w:rPr>
    </w:lvl>
    <w:lvl w:ilvl="7">
      <w:numFmt w:val="bullet"/>
      <w:lvlText w:val=""/>
      <w:lvlJc w:val="left"/>
      <w:pPr>
        <w:ind w:left="2977" w:hanging="118"/>
      </w:pPr>
      <w:rPr>
        <w:rFonts w:ascii="Symbol" w:hAnsi="Symbol" w:cs="Symbol" w:hint="default"/>
      </w:rPr>
    </w:lvl>
    <w:lvl w:ilvl="8">
      <w:numFmt w:val="bullet"/>
      <w:lvlText w:val=""/>
      <w:lvlJc w:val="left"/>
      <w:pPr>
        <w:ind w:left="3388" w:hanging="118"/>
      </w:pPr>
      <w:rPr>
        <w:rFonts w:ascii="Symbol" w:hAnsi="Symbol" w:cs="Symbol" w:hint="default"/>
      </w:rPr>
    </w:lvl>
  </w:abstractNum>
  <w:abstractNum w:abstractNumId="5" w15:restartNumberingAfterBreak="0">
    <w:nsid w:val="440E1949"/>
    <w:multiLevelType w:val="multilevel"/>
    <w:tmpl w:val="6B0AE6FC"/>
    <w:lvl w:ilvl="0">
      <w:start w:val="1"/>
      <w:numFmt w:val="lowerLetter"/>
      <w:lvlText w:val="%1)"/>
      <w:lvlJc w:val="left"/>
      <w:pPr>
        <w:ind w:left="2416" w:hanging="242"/>
      </w:pPr>
      <w:rPr>
        <w:rFonts w:ascii="Arial" w:eastAsia="Arial" w:hAnsi="Arial" w:cs="Arial"/>
        <w:b w:val="0"/>
        <w:sz w:val="24"/>
        <w:szCs w:val="24"/>
      </w:rPr>
    </w:lvl>
    <w:lvl w:ilvl="1">
      <w:numFmt w:val="bullet"/>
      <w:lvlText w:val=""/>
      <w:lvlJc w:val="left"/>
      <w:pPr>
        <w:ind w:left="3176" w:hanging="241"/>
      </w:pPr>
      <w:rPr>
        <w:rFonts w:ascii="Symbol" w:hAnsi="Symbol" w:cs="Symbol" w:hint="default"/>
      </w:rPr>
    </w:lvl>
    <w:lvl w:ilvl="2">
      <w:numFmt w:val="bullet"/>
      <w:lvlText w:val=""/>
      <w:lvlJc w:val="left"/>
      <w:pPr>
        <w:ind w:left="3933" w:hanging="242"/>
      </w:pPr>
      <w:rPr>
        <w:rFonts w:ascii="Symbol" w:hAnsi="Symbol" w:cs="Symbol" w:hint="default"/>
      </w:rPr>
    </w:lvl>
    <w:lvl w:ilvl="3">
      <w:numFmt w:val="bullet"/>
      <w:lvlText w:val=""/>
      <w:lvlJc w:val="left"/>
      <w:pPr>
        <w:ind w:left="4689" w:hanging="242"/>
      </w:pPr>
      <w:rPr>
        <w:rFonts w:ascii="Symbol" w:hAnsi="Symbol" w:cs="Symbol" w:hint="default"/>
      </w:rPr>
    </w:lvl>
    <w:lvl w:ilvl="4">
      <w:numFmt w:val="bullet"/>
      <w:lvlText w:val=""/>
      <w:lvlJc w:val="left"/>
      <w:pPr>
        <w:ind w:left="5446" w:hanging="242"/>
      </w:pPr>
      <w:rPr>
        <w:rFonts w:ascii="Symbol" w:hAnsi="Symbol" w:cs="Symbol" w:hint="default"/>
      </w:rPr>
    </w:lvl>
    <w:lvl w:ilvl="5">
      <w:numFmt w:val="bullet"/>
      <w:lvlText w:val=""/>
      <w:lvlJc w:val="left"/>
      <w:pPr>
        <w:ind w:left="6202" w:hanging="242"/>
      </w:pPr>
      <w:rPr>
        <w:rFonts w:ascii="Symbol" w:hAnsi="Symbol" w:cs="Symbol" w:hint="default"/>
      </w:rPr>
    </w:lvl>
    <w:lvl w:ilvl="6">
      <w:numFmt w:val="bullet"/>
      <w:lvlText w:val=""/>
      <w:lvlJc w:val="left"/>
      <w:pPr>
        <w:ind w:left="6959" w:hanging="242"/>
      </w:pPr>
      <w:rPr>
        <w:rFonts w:ascii="Symbol" w:hAnsi="Symbol" w:cs="Symbol" w:hint="default"/>
      </w:rPr>
    </w:lvl>
    <w:lvl w:ilvl="7">
      <w:numFmt w:val="bullet"/>
      <w:lvlText w:val=""/>
      <w:lvlJc w:val="left"/>
      <w:pPr>
        <w:ind w:left="7715" w:hanging="242"/>
      </w:pPr>
      <w:rPr>
        <w:rFonts w:ascii="Symbol" w:hAnsi="Symbol" w:cs="Symbol" w:hint="default"/>
      </w:rPr>
    </w:lvl>
    <w:lvl w:ilvl="8">
      <w:numFmt w:val="bullet"/>
      <w:lvlText w:val=""/>
      <w:lvlJc w:val="left"/>
      <w:pPr>
        <w:ind w:left="8472" w:hanging="242"/>
      </w:pPr>
      <w:rPr>
        <w:rFonts w:ascii="Symbol" w:hAnsi="Symbol" w:cs="Symbol" w:hint="default"/>
      </w:rPr>
    </w:lvl>
  </w:abstractNum>
  <w:abstractNum w:abstractNumId="6" w15:restartNumberingAfterBreak="0">
    <w:nsid w:val="65AB125A"/>
    <w:multiLevelType w:val="multilevel"/>
    <w:tmpl w:val="90101CCA"/>
    <w:lvl w:ilvl="0">
      <w:start w:val="16"/>
      <w:numFmt w:val="decimal"/>
      <w:lvlText w:val="%1"/>
      <w:lvlJc w:val="left"/>
      <w:pPr>
        <w:ind w:left="552" w:hanging="552"/>
      </w:pPr>
      <w:rPr>
        <w:sz w:val="22"/>
        <w:szCs w:val="22"/>
      </w:rPr>
    </w:lvl>
    <w:lvl w:ilvl="1">
      <w:start w:val="7"/>
      <w:numFmt w:val="decimal"/>
      <w:lvlText w:val="%1.%2"/>
      <w:lvlJc w:val="left"/>
      <w:pPr>
        <w:ind w:left="1119" w:hanging="552"/>
      </w:pPr>
      <w:rPr>
        <w:sz w:val="22"/>
        <w:szCs w:val="22"/>
      </w:rPr>
    </w:lvl>
    <w:lvl w:ilvl="2">
      <w:start w:val="5"/>
      <w:numFmt w:val="decimal"/>
      <w:lvlText w:val="%1.%2.%3"/>
      <w:lvlJc w:val="left"/>
      <w:pPr>
        <w:ind w:left="1854" w:hanging="720"/>
      </w:pPr>
      <w:rPr>
        <w:rFonts w:ascii="Times New Roman" w:hAnsi="Times New Roman"/>
        <w:b w:val="0"/>
        <w:sz w:val="22"/>
        <w:szCs w:val="22"/>
      </w:rPr>
    </w:lvl>
    <w:lvl w:ilvl="3">
      <w:start w:val="1"/>
      <w:numFmt w:val="decimal"/>
      <w:lvlText w:val="%1.%2.%3.%4"/>
      <w:lvlJc w:val="left"/>
      <w:pPr>
        <w:ind w:left="2421" w:hanging="720"/>
      </w:pPr>
      <w:rPr>
        <w:sz w:val="22"/>
        <w:szCs w:val="22"/>
      </w:rPr>
    </w:lvl>
    <w:lvl w:ilvl="4">
      <w:start w:val="1"/>
      <w:numFmt w:val="decimal"/>
      <w:lvlText w:val="%1.%2.%3.%4.%5"/>
      <w:lvlJc w:val="left"/>
      <w:pPr>
        <w:ind w:left="3348" w:hanging="1080"/>
      </w:pPr>
      <w:rPr>
        <w:sz w:val="22"/>
        <w:szCs w:val="22"/>
      </w:rPr>
    </w:lvl>
    <w:lvl w:ilvl="5">
      <w:start w:val="1"/>
      <w:numFmt w:val="decimal"/>
      <w:lvlText w:val="%1.%2.%3.%4.%5.%6"/>
      <w:lvlJc w:val="left"/>
      <w:pPr>
        <w:ind w:left="3915" w:hanging="1080"/>
      </w:pPr>
      <w:rPr>
        <w:sz w:val="22"/>
        <w:szCs w:val="22"/>
      </w:rPr>
    </w:lvl>
    <w:lvl w:ilvl="6">
      <w:start w:val="1"/>
      <w:numFmt w:val="decimal"/>
      <w:lvlText w:val="%1.%2.%3.%4.%5.%6.%7"/>
      <w:lvlJc w:val="left"/>
      <w:pPr>
        <w:ind w:left="4842" w:hanging="1440"/>
      </w:pPr>
      <w:rPr>
        <w:sz w:val="22"/>
        <w:szCs w:val="22"/>
      </w:rPr>
    </w:lvl>
    <w:lvl w:ilvl="7">
      <w:start w:val="1"/>
      <w:numFmt w:val="decimal"/>
      <w:lvlText w:val="%1.%2.%3.%4.%5.%6.%7.%8"/>
      <w:lvlJc w:val="left"/>
      <w:pPr>
        <w:ind w:left="5409" w:hanging="1440"/>
      </w:pPr>
      <w:rPr>
        <w:sz w:val="22"/>
        <w:szCs w:val="22"/>
      </w:rPr>
    </w:lvl>
    <w:lvl w:ilvl="8">
      <w:start w:val="1"/>
      <w:numFmt w:val="decimal"/>
      <w:lvlText w:val="%1.%2.%3.%4.%5.%6.%7.%8.%9"/>
      <w:lvlJc w:val="left"/>
      <w:pPr>
        <w:ind w:left="5976" w:hanging="1440"/>
      </w:pPr>
      <w:rPr>
        <w:sz w:val="22"/>
        <w:szCs w:val="22"/>
      </w:rPr>
    </w:lvl>
  </w:abstractNum>
  <w:abstractNum w:abstractNumId="7" w15:restartNumberingAfterBreak="0">
    <w:nsid w:val="71C8661E"/>
    <w:multiLevelType w:val="multilevel"/>
    <w:tmpl w:val="A336B6D8"/>
    <w:lvl w:ilvl="0">
      <w:start w:val="1"/>
      <w:numFmt w:val="decimal"/>
      <w:lvlText w:val="%1."/>
      <w:lvlJc w:val="left"/>
      <w:pPr>
        <w:ind w:left="1402" w:hanging="360"/>
      </w:pPr>
      <w:rPr>
        <w:rFonts w:ascii="Arial" w:eastAsia="Arial" w:hAnsi="Arial" w:cs="Arial"/>
        <w:b/>
        <w:sz w:val="24"/>
        <w:szCs w:val="24"/>
      </w:rPr>
    </w:lvl>
    <w:lvl w:ilvl="1">
      <w:start w:val="1"/>
      <w:numFmt w:val="decimal"/>
      <w:lvlText w:val="%1.%2."/>
      <w:lvlJc w:val="left"/>
      <w:pPr>
        <w:ind w:left="1834" w:hanging="432"/>
      </w:pPr>
      <w:rPr>
        <w:rFonts w:ascii="Arial" w:eastAsia="Arial" w:hAnsi="Arial" w:cs="Arial"/>
        <w:b w:val="0"/>
        <w:sz w:val="24"/>
        <w:szCs w:val="24"/>
      </w:rPr>
    </w:lvl>
    <w:lvl w:ilvl="2">
      <w:start w:val="1"/>
      <w:numFmt w:val="decimal"/>
      <w:lvlText w:val="%1.%2.%3."/>
      <w:lvlJc w:val="left"/>
      <w:pPr>
        <w:ind w:left="2266" w:hanging="720"/>
      </w:pPr>
      <w:rPr>
        <w:rFonts w:ascii="Arial" w:eastAsia="Arial" w:hAnsi="Arial" w:cs="Arial"/>
        <w:b w:val="0"/>
        <w:sz w:val="24"/>
        <w:szCs w:val="24"/>
      </w:rPr>
    </w:lvl>
    <w:lvl w:ilvl="3">
      <w:start w:val="1"/>
      <w:numFmt w:val="lowerLetter"/>
      <w:lvlText w:val="%4)"/>
      <w:lvlJc w:val="left"/>
      <w:pPr>
        <w:ind w:left="2770" w:hanging="648"/>
      </w:pPr>
      <w:rPr>
        <w:rFonts w:ascii="Arial" w:eastAsia="Arial" w:hAnsi="Arial" w:cs="Arial"/>
        <w:b w:val="0"/>
        <w:sz w:val="24"/>
        <w:szCs w:val="24"/>
      </w:rPr>
    </w:lvl>
    <w:lvl w:ilvl="4">
      <w:numFmt w:val="bullet"/>
      <w:lvlText w:val=""/>
      <w:lvlJc w:val="left"/>
      <w:pPr>
        <w:ind w:left="2260" w:hanging="648"/>
      </w:pPr>
      <w:rPr>
        <w:rFonts w:ascii="Symbol" w:hAnsi="Symbol" w:cs="Symbol" w:hint="default"/>
      </w:rPr>
    </w:lvl>
    <w:lvl w:ilvl="5">
      <w:numFmt w:val="bullet"/>
      <w:lvlText w:val=""/>
      <w:lvlJc w:val="left"/>
      <w:pPr>
        <w:ind w:left="2480" w:hanging="648"/>
      </w:pPr>
      <w:rPr>
        <w:rFonts w:ascii="Symbol" w:hAnsi="Symbol" w:cs="Symbol" w:hint="default"/>
      </w:rPr>
    </w:lvl>
    <w:lvl w:ilvl="6">
      <w:numFmt w:val="bullet"/>
      <w:lvlText w:val=""/>
      <w:lvlJc w:val="left"/>
      <w:pPr>
        <w:ind w:left="2780" w:hanging="648"/>
      </w:pPr>
      <w:rPr>
        <w:rFonts w:ascii="Symbol" w:hAnsi="Symbol" w:cs="Symbol" w:hint="default"/>
      </w:rPr>
    </w:lvl>
    <w:lvl w:ilvl="7">
      <w:numFmt w:val="bullet"/>
      <w:lvlText w:val=""/>
      <w:lvlJc w:val="left"/>
      <w:pPr>
        <w:ind w:left="4581" w:hanging="648"/>
      </w:pPr>
      <w:rPr>
        <w:rFonts w:ascii="Symbol" w:hAnsi="Symbol" w:cs="Symbol" w:hint="default"/>
      </w:rPr>
    </w:lvl>
    <w:lvl w:ilvl="8">
      <w:numFmt w:val="bullet"/>
      <w:lvlText w:val=""/>
      <w:lvlJc w:val="left"/>
      <w:pPr>
        <w:ind w:left="6382" w:hanging="647"/>
      </w:pPr>
      <w:rPr>
        <w:rFonts w:ascii="Symbol" w:hAnsi="Symbol" w:cs="Symbol" w:hint="default"/>
      </w:rPr>
    </w:lvl>
  </w:abstractNum>
  <w:abstractNum w:abstractNumId="8" w15:restartNumberingAfterBreak="0">
    <w:nsid w:val="73A7143B"/>
    <w:multiLevelType w:val="multilevel"/>
    <w:tmpl w:val="AE9C2E8E"/>
    <w:lvl w:ilvl="0">
      <w:start w:val="6"/>
      <w:numFmt w:val="decimal"/>
      <w:lvlText w:val="%1"/>
      <w:lvlJc w:val="left"/>
      <w:pPr>
        <w:ind w:left="2770" w:hanging="1081"/>
      </w:pPr>
    </w:lvl>
    <w:lvl w:ilvl="1">
      <w:start w:val="2"/>
      <w:numFmt w:val="decimal"/>
      <w:lvlText w:val="%1.%2"/>
      <w:lvlJc w:val="left"/>
      <w:pPr>
        <w:ind w:left="2770" w:hanging="1081"/>
      </w:pPr>
    </w:lvl>
    <w:lvl w:ilvl="2">
      <w:start w:val="2"/>
      <w:numFmt w:val="decimal"/>
      <w:lvlText w:val="%1.%2.%3"/>
      <w:lvlJc w:val="left"/>
      <w:pPr>
        <w:ind w:left="2770" w:hanging="1081"/>
      </w:pPr>
    </w:lvl>
    <w:lvl w:ilvl="3">
      <w:start w:val="1"/>
      <w:numFmt w:val="decimal"/>
      <w:lvlText w:val="%1.%2.%3.%4."/>
      <w:lvlJc w:val="left"/>
      <w:pPr>
        <w:ind w:left="2770" w:hanging="1081"/>
      </w:pPr>
      <w:rPr>
        <w:rFonts w:ascii="Arial" w:eastAsia="Arial" w:hAnsi="Arial" w:cs="Arial"/>
        <w:b w:val="0"/>
        <w:sz w:val="24"/>
        <w:szCs w:val="24"/>
      </w:rPr>
    </w:lvl>
    <w:lvl w:ilvl="4">
      <w:start w:val="1"/>
      <w:numFmt w:val="decimal"/>
      <w:lvlText w:val="%1.%2.%3.%4.%5."/>
      <w:lvlJc w:val="left"/>
      <w:pPr>
        <w:ind w:left="3274" w:hanging="1441"/>
      </w:pPr>
      <w:rPr>
        <w:rFonts w:ascii="Arial" w:eastAsia="Arial" w:hAnsi="Arial" w:cs="Arial"/>
        <w:b w:val="0"/>
        <w:sz w:val="24"/>
        <w:szCs w:val="24"/>
      </w:rPr>
    </w:lvl>
    <w:lvl w:ilvl="5">
      <w:numFmt w:val="bullet"/>
      <w:lvlText w:val=""/>
      <w:lvlJc w:val="left"/>
      <w:pPr>
        <w:ind w:left="6260" w:hanging="1441"/>
      </w:pPr>
      <w:rPr>
        <w:rFonts w:ascii="Symbol" w:hAnsi="Symbol" w:cs="Symbol" w:hint="default"/>
      </w:rPr>
    </w:lvl>
    <w:lvl w:ilvl="6">
      <w:numFmt w:val="bullet"/>
      <w:lvlText w:val=""/>
      <w:lvlJc w:val="left"/>
      <w:pPr>
        <w:ind w:left="7005" w:hanging="1441"/>
      </w:pPr>
      <w:rPr>
        <w:rFonts w:ascii="Symbol" w:hAnsi="Symbol" w:cs="Symbol" w:hint="default"/>
      </w:rPr>
    </w:lvl>
    <w:lvl w:ilvl="7">
      <w:numFmt w:val="bullet"/>
      <w:lvlText w:val=""/>
      <w:lvlJc w:val="left"/>
      <w:pPr>
        <w:ind w:left="7750" w:hanging="1441"/>
      </w:pPr>
      <w:rPr>
        <w:rFonts w:ascii="Symbol" w:hAnsi="Symbol" w:cs="Symbol" w:hint="default"/>
      </w:rPr>
    </w:lvl>
    <w:lvl w:ilvl="8">
      <w:numFmt w:val="bullet"/>
      <w:lvlText w:val=""/>
      <w:lvlJc w:val="left"/>
      <w:pPr>
        <w:ind w:left="8495" w:hanging="1441"/>
      </w:pPr>
      <w:rPr>
        <w:rFonts w:ascii="Symbol" w:hAnsi="Symbol" w:cs="Symbol" w:hint="default"/>
      </w:rPr>
    </w:lvl>
  </w:abstractNum>
  <w:abstractNum w:abstractNumId="9" w15:restartNumberingAfterBreak="0">
    <w:nsid w:val="73C11350"/>
    <w:multiLevelType w:val="multilevel"/>
    <w:tmpl w:val="14707FBA"/>
    <w:lvl w:ilvl="0">
      <w:start w:val="2"/>
      <w:numFmt w:val="decimal"/>
      <w:lvlText w:val="%1"/>
      <w:lvlJc w:val="left"/>
      <w:pPr>
        <w:ind w:left="2770" w:hanging="1081"/>
      </w:pPr>
    </w:lvl>
    <w:lvl w:ilvl="1">
      <w:start w:val="2"/>
      <w:numFmt w:val="decimal"/>
      <w:lvlText w:val="%1.%2"/>
      <w:lvlJc w:val="left"/>
      <w:pPr>
        <w:ind w:left="2770" w:hanging="1081"/>
      </w:pPr>
    </w:lvl>
    <w:lvl w:ilvl="2">
      <w:start w:val="3"/>
      <w:numFmt w:val="decimal"/>
      <w:lvlText w:val="%1.%2.%3"/>
      <w:lvlJc w:val="left"/>
      <w:pPr>
        <w:ind w:left="2770" w:hanging="1081"/>
      </w:pPr>
    </w:lvl>
    <w:lvl w:ilvl="3">
      <w:start w:val="1"/>
      <w:numFmt w:val="decimal"/>
      <w:lvlText w:val="%1.%2.%3.%4."/>
      <w:lvlJc w:val="left"/>
      <w:pPr>
        <w:ind w:left="2770" w:hanging="1081"/>
      </w:pPr>
      <w:rPr>
        <w:rFonts w:ascii="Arial" w:eastAsia="Arial" w:hAnsi="Arial" w:cs="Arial"/>
        <w:b w:val="0"/>
        <w:sz w:val="24"/>
        <w:szCs w:val="24"/>
      </w:rPr>
    </w:lvl>
    <w:lvl w:ilvl="4">
      <w:numFmt w:val="bullet"/>
      <w:lvlText w:val=""/>
      <w:lvlJc w:val="left"/>
      <w:pPr>
        <w:ind w:left="5662" w:hanging="1081"/>
      </w:pPr>
      <w:rPr>
        <w:rFonts w:ascii="Symbol" w:hAnsi="Symbol" w:cs="Symbol" w:hint="default"/>
      </w:rPr>
    </w:lvl>
    <w:lvl w:ilvl="5">
      <w:numFmt w:val="bullet"/>
      <w:lvlText w:val=""/>
      <w:lvlJc w:val="left"/>
      <w:pPr>
        <w:ind w:left="6382" w:hanging="1081"/>
      </w:pPr>
      <w:rPr>
        <w:rFonts w:ascii="Symbol" w:hAnsi="Symbol" w:cs="Symbol" w:hint="default"/>
      </w:rPr>
    </w:lvl>
    <w:lvl w:ilvl="6">
      <w:numFmt w:val="bullet"/>
      <w:lvlText w:val=""/>
      <w:lvlJc w:val="left"/>
      <w:pPr>
        <w:ind w:left="7103" w:hanging="1081"/>
      </w:pPr>
      <w:rPr>
        <w:rFonts w:ascii="Symbol" w:hAnsi="Symbol" w:cs="Symbol" w:hint="default"/>
      </w:rPr>
    </w:lvl>
    <w:lvl w:ilvl="7">
      <w:numFmt w:val="bullet"/>
      <w:lvlText w:val=""/>
      <w:lvlJc w:val="left"/>
      <w:pPr>
        <w:ind w:left="7823" w:hanging="1081"/>
      </w:pPr>
      <w:rPr>
        <w:rFonts w:ascii="Symbol" w:hAnsi="Symbol" w:cs="Symbol" w:hint="default"/>
      </w:rPr>
    </w:lvl>
    <w:lvl w:ilvl="8">
      <w:numFmt w:val="bullet"/>
      <w:lvlText w:val=""/>
      <w:lvlJc w:val="left"/>
      <w:pPr>
        <w:ind w:left="8544" w:hanging="1081"/>
      </w:pPr>
      <w:rPr>
        <w:rFonts w:ascii="Symbol" w:hAnsi="Symbol" w:cs="Symbol" w:hint="default"/>
      </w:rPr>
    </w:lvl>
  </w:abstractNum>
  <w:num w:numId="1">
    <w:abstractNumId w:val="2"/>
  </w:num>
  <w:num w:numId="2">
    <w:abstractNumId w:val="0"/>
  </w:num>
  <w:num w:numId="3">
    <w:abstractNumId w:val="3"/>
  </w:num>
  <w:num w:numId="4">
    <w:abstractNumId w:val="8"/>
  </w:num>
  <w:num w:numId="5">
    <w:abstractNumId w:val="5"/>
  </w:num>
  <w:num w:numId="6">
    <w:abstractNumId w:val="9"/>
  </w:num>
  <w:num w:numId="7">
    <w:abstractNumId w:val="4"/>
  </w:num>
  <w:num w:numId="8">
    <w:abstractNumId w:val="6"/>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E25"/>
    <w:rsid w:val="00277921"/>
    <w:rsid w:val="00406970"/>
    <w:rsid w:val="00443E35"/>
    <w:rsid w:val="00797BEB"/>
    <w:rsid w:val="00936B82"/>
    <w:rsid w:val="00967E25"/>
    <w:rsid w:val="00A939AE"/>
    <w:rsid w:val="00C34DFB"/>
    <w:rsid w:val="00D8701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F41B32"/>
  <w15:docId w15:val="{73EDB3CF-52A4-40A9-97B9-EF10C7623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PT"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lang w:eastAsia="en-US" w:bidi="ar-SA"/>
    </w:rPr>
  </w:style>
  <w:style w:type="paragraph" w:styleId="Ttulo1">
    <w:name w:val="heading 1"/>
    <w:basedOn w:val="LO-normal"/>
    <w:next w:val="LO-normal"/>
    <w:uiPriority w:val="1"/>
    <w:qFormat/>
    <w:pPr>
      <w:ind w:left="1402" w:hanging="360"/>
      <w:outlineLvl w:val="0"/>
    </w:pPr>
    <w:rPr>
      <w:b/>
      <w:bCs/>
      <w:sz w:val="24"/>
      <w:szCs w:val="24"/>
      <w:lang w:eastAsia="en-US" w:bidi="ar-SA"/>
    </w:rPr>
  </w:style>
  <w:style w:type="paragraph" w:styleId="Ttulo2">
    <w:name w:val="heading 2"/>
    <w:basedOn w:val="LO-normal"/>
    <w:next w:val="LO-normal"/>
    <w:uiPriority w:val="1"/>
    <w:qFormat/>
    <w:pPr>
      <w:ind w:left="2266"/>
      <w:jc w:val="both"/>
      <w:outlineLvl w:val="1"/>
    </w:pPr>
    <w:rPr>
      <w:sz w:val="24"/>
      <w:szCs w:val="24"/>
      <w:lang w:eastAsia="en-US" w:bidi="ar-SA"/>
    </w:rPr>
  </w:style>
  <w:style w:type="paragraph" w:styleId="Ttulo3">
    <w:name w:val="heading 3"/>
    <w:basedOn w:val="LO-normal"/>
    <w:next w:val="LO-normal"/>
    <w:uiPriority w:val="1"/>
    <w:qFormat/>
    <w:pPr>
      <w:ind w:left="1193" w:hanging="722"/>
      <w:outlineLvl w:val="2"/>
    </w:pPr>
    <w:rPr>
      <w:b/>
      <w:bCs/>
      <w:lang w:eastAsia="en-US" w:bidi="ar-SA"/>
    </w:rPr>
  </w:style>
  <w:style w:type="paragraph" w:styleId="Ttulo4">
    <w:name w:val="heading 4"/>
    <w:basedOn w:val="LO-normal"/>
    <w:next w:val="LO-normal"/>
    <w:qFormat/>
    <w:pPr>
      <w:keepNext/>
      <w:keepLines/>
      <w:spacing w:before="240" w:after="40"/>
      <w:outlineLvl w:val="3"/>
    </w:pPr>
    <w:rPr>
      <w:b/>
      <w:sz w:val="24"/>
      <w:szCs w:val="24"/>
    </w:rPr>
  </w:style>
  <w:style w:type="paragraph" w:styleId="Ttulo5">
    <w:name w:val="heading 5"/>
    <w:basedOn w:val="LO-normal"/>
    <w:next w:val="LO-normal"/>
    <w:qFormat/>
    <w:pPr>
      <w:keepNext/>
      <w:keepLines/>
      <w:spacing w:before="220" w:after="40"/>
      <w:outlineLvl w:val="4"/>
    </w:pPr>
    <w:rPr>
      <w:b/>
    </w:rPr>
  </w:style>
  <w:style w:type="paragraph" w:styleId="Ttulo6">
    <w:name w:val="heading 6"/>
    <w:basedOn w:val="LO-normal"/>
    <w:next w:val="LO-normal"/>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stLabel1">
    <w:name w:val="ListLabel 1"/>
    <w:qFormat/>
    <w:rPr>
      <w:b w:val="0"/>
      <w:i w:val="0"/>
      <w:sz w:val="22"/>
      <w:szCs w:val="22"/>
    </w:rPr>
  </w:style>
  <w:style w:type="character" w:customStyle="1" w:styleId="ListLabel2">
    <w:name w:val="ListLabel 2"/>
    <w:qFormat/>
    <w:rPr>
      <w:rFonts w:ascii="Times New Roman" w:hAnsi="Times New Roman"/>
      <w:b w:val="0"/>
      <w:i w:val="0"/>
      <w:sz w:val="22"/>
      <w:szCs w:val="22"/>
    </w:rPr>
  </w:style>
  <w:style w:type="character" w:customStyle="1" w:styleId="ListLabel3">
    <w:name w:val="ListLabel 3"/>
    <w:qFormat/>
    <w:rPr>
      <w:b w:val="0"/>
      <w:i w:val="0"/>
      <w:sz w:val="22"/>
      <w:szCs w:val="22"/>
    </w:rPr>
  </w:style>
  <w:style w:type="character" w:customStyle="1" w:styleId="ListLabel4">
    <w:name w:val="ListLabel 4"/>
    <w:qFormat/>
    <w:rPr>
      <w:b w:val="0"/>
      <w:i w:val="0"/>
      <w:sz w:val="22"/>
      <w:szCs w:val="22"/>
    </w:rPr>
  </w:style>
  <w:style w:type="character" w:customStyle="1" w:styleId="ListLabel5">
    <w:name w:val="ListLabel 5"/>
    <w:qFormat/>
    <w:rPr>
      <w:b w:val="0"/>
      <w:i w:val="0"/>
      <w:sz w:val="22"/>
      <w:szCs w:val="22"/>
    </w:rPr>
  </w:style>
  <w:style w:type="character" w:customStyle="1" w:styleId="ListLabel6">
    <w:name w:val="ListLabel 6"/>
    <w:qFormat/>
    <w:rPr>
      <w:b w:val="0"/>
      <w:i w:val="0"/>
      <w:sz w:val="22"/>
      <w:szCs w:val="22"/>
    </w:rPr>
  </w:style>
  <w:style w:type="character" w:customStyle="1" w:styleId="ListLabel7">
    <w:name w:val="ListLabel 7"/>
    <w:qFormat/>
    <w:rPr>
      <w:b w:val="0"/>
      <w:i w:val="0"/>
      <w:sz w:val="22"/>
      <w:szCs w:val="22"/>
    </w:rPr>
  </w:style>
  <w:style w:type="character" w:customStyle="1" w:styleId="ListLabel8">
    <w:name w:val="ListLabel 8"/>
    <w:qFormat/>
    <w:rPr>
      <w:b w:val="0"/>
      <w:i w:val="0"/>
      <w:sz w:val="22"/>
      <w:szCs w:val="22"/>
    </w:rPr>
  </w:style>
  <w:style w:type="character" w:customStyle="1" w:styleId="ListLabel9">
    <w:name w:val="ListLabel 9"/>
    <w:qFormat/>
    <w:rPr>
      <w:b w:val="0"/>
      <w:i w:val="0"/>
      <w:sz w:val="22"/>
      <w:szCs w:val="22"/>
    </w:rPr>
  </w:style>
  <w:style w:type="character" w:customStyle="1" w:styleId="ListLabel10">
    <w:name w:val="ListLabel 10"/>
    <w:qFormat/>
    <w:rPr>
      <w:rFonts w:ascii="Arial" w:eastAsia="Arial" w:hAnsi="Arial" w:cs="Arial"/>
      <w:b/>
      <w:sz w:val="24"/>
      <w:szCs w:val="24"/>
    </w:rPr>
  </w:style>
  <w:style w:type="character" w:customStyle="1" w:styleId="ListLabel11">
    <w:name w:val="ListLabel 11"/>
    <w:qFormat/>
    <w:rPr>
      <w:rFonts w:ascii="Arial" w:eastAsia="Arial" w:hAnsi="Arial" w:cs="Arial"/>
      <w:b w:val="0"/>
      <w:sz w:val="24"/>
      <w:szCs w:val="24"/>
    </w:rPr>
  </w:style>
  <w:style w:type="character" w:customStyle="1" w:styleId="ListLabel12">
    <w:name w:val="ListLabel 12"/>
    <w:qFormat/>
    <w:rPr>
      <w:rFonts w:ascii="Arial" w:eastAsia="Arial" w:hAnsi="Arial" w:cs="Arial"/>
      <w:b w:val="0"/>
      <w:sz w:val="24"/>
      <w:szCs w:val="24"/>
    </w:rPr>
  </w:style>
  <w:style w:type="character" w:customStyle="1" w:styleId="ListLabel13">
    <w:name w:val="ListLabel 13"/>
    <w:qFormat/>
    <w:rPr>
      <w:rFonts w:ascii="Arial" w:eastAsia="Arial" w:hAnsi="Arial" w:cs="Arial"/>
      <w:b w:val="0"/>
      <w:sz w:val="24"/>
      <w:szCs w:val="24"/>
    </w:rPr>
  </w:style>
  <w:style w:type="character" w:customStyle="1" w:styleId="ListLabel14">
    <w:name w:val="ListLabel 14"/>
    <w:qFormat/>
    <w:rPr>
      <w:rFonts w:ascii="Arial" w:eastAsia="Arial" w:hAnsi="Arial" w:cs="Arial"/>
      <w:b w:val="0"/>
      <w:sz w:val="24"/>
      <w:szCs w:val="24"/>
    </w:rPr>
  </w:style>
  <w:style w:type="character" w:customStyle="1" w:styleId="ListLabel15">
    <w:name w:val="ListLabel 15"/>
    <w:qFormat/>
    <w:rPr>
      <w:rFonts w:ascii="Arial" w:eastAsia="Arial" w:hAnsi="Arial" w:cs="Arial"/>
      <w:b w:val="0"/>
      <w:sz w:val="24"/>
      <w:szCs w:val="24"/>
    </w:rPr>
  </w:style>
  <w:style w:type="character" w:customStyle="1" w:styleId="ListLabel16">
    <w:name w:val="ListLabel 16"/>
    <w:qFormat/>
    <w:rPr>
      <w:rFonts w:ascii="Calibri" w:eastAsia="Arial" w:hAnsi="Calibri" w:cs="Arial"/>
      <w:sz w:val="22"/>
      <w:szCs w:val="22"/>
    </w:rPr>
  </w:style>
  <w:style w:type="character" w:customStyle="1" w:styleId="ListLabel17">
    <w:name w:val="ListLabel 17"/>
    <w:qFormat/>
    <w:rPr>
      <w:sz w:val="22"/>
      <w:szCs w:val="22"/>
    </w:rPr>
  </w:style>
  <w:style w:type="character" w:customStyle="1" w:styleId="ListLabel18">
    <w:name w:val="ListLabel 18"/>
    <w:qFormat/>
    <w:rPr>
      <w:sz w:val="22"/>
      <w:szCs w:val="22"/>
    </w:rPr>
  </w:style>
  <w:style w:type="character" w:customStyle="1" w:styleId="ListLabel19">
    <w:name w:val="ListLabel 19"/>
    <w:qFormat/>
    <w:rPr>
      <w:rFonts w:ascii="Times New Roman" w:hAnsi="Times New Roman"/>
      <w:b w:val="0"/>
      <w:sz w:val="22"/>
      <w:szCs w:val="22"/>
    </w:rPr>
  </w:style>
  <w:style w:type="character" w:customStyle="1" w:styleId="ListLabel20">
    <w:name w:val="ListLabel 20"/>
    <w:qFormat/>
    <w:rPr>
      <w:sz w:val="22"/>
      <w:szCs w:val="22"/>
    </w:rPr>
  </w:style>
  <w:style w:type="character" w:customStyle="1" w:styleId="ListLabel21">
    <w:name w:val="ListLabel 21"/>
    <w:qFormat/>
    <w:rPr>
      <w:sz w:val="22"/>
      <w:szCs w:val="22"/>
    </w:rPr>
  </w:style>
  <w:style w:type="character" w:customStyle="1" w:styleId="ListLabel22">
    <w:name w:val="ListLabel 22"/>
    <w:qFormat/>
    <w:rPr>
      <w:sz w:val="22"/>
      <w:szCs w:val="22"/>
    </w:rPr>
  </w:style>
  <w:style w:type="character" w:customStyle="1" w:styleId="ListLabel23">
    <w:name w:val="ListLabel 23"/>
    <w:qFormat/>
    <w:rPr>
      <w:sz w:val="22"/>
      <w:szCs w:val="22"/>
    </w:rPr>
  </w:style>
  <w:style w:type="character" w:customStyle="1" w:styleId="ListLabel24">
    <w:name w:val="ListLabel 24"/>
    <w:qFormat/>
    <w:rPr>
      <w:sz w:val="22"/>
      <w:szCs w:val="22"/>
    </w:rPr>
  </w:style>
  <w:style w:type="character" w:customStyle="1" w:styleId="ListLabel25">
    <w:name w:val="ListLabel 25"/>
    <w:qFormat/>
    <w:rPr>
      <w:sz w:val="22"/>
      <w:szCs w:val="22"/>
    </w:rPr>
  </w:style>
  <w:style w:type="character" w:customStyle="1" w:styleId="ListLabel26">
    <w:name w:val="ListLabel 26"/>
    <w:qFormat/>
    <w:rPr>
      <w:rFonts w:ascii="Arial" w:eastAsia="Arial" w:hAnsi="Arial" w:cs="Arial"/>
      <w:b/>
      <w:sz w:val="24"/>
      <w:szCs w:val="24"/>
    </w:rPr>
  </w:style>
  <w:style w:type="character" w:customStyle="1" w:styleId="ListLabel27">
    <w:name w:val="ListLabel 27"/>
    <w:qFormat/>
    <w:rPr>
      <w:rFonts w:ascii="Arial" w:eastAsia="Arial" w:hAnsi="Arial" w:cs="Arial"/>
      <w:b w:val="0"/>
      <w:sz w:val="24"/>
      <w:szCs w:val="24"/>
    </w:rPr>
  </w:style>
  <w:style w:type="character" w:customStyle="1" w:styleId="ListLabel28">
    <w:name w:val="ListLabel 28"/>
    <w:qFormat/>
    <w:rPr>
      <w:rFonts w:ascii="Arial" w:eastAsia="Arial" w:hAnsi="Arial" w:cs="Arial"/>
      <w:b w:val="0"/>
      <w:sz w:val="24"/>
      <w:szCs w:val="24"/>
    </w:rPr>
  </w:style>
  <w:style w:type="character" w:customStyle="1" w:styleId="ListLabel29">
    <w:name w:val="ListLabel 29"/>
    <w:qFormat/>
    <w:rPr>
      <w:rFonts w:ascii="Arial" w:eastAsia="Arial" w:hAnsi="Arial" w:cs="Arial"/>
      <w:b w:val="0"/>
      <w:sz w:val="24"/>
      <w:szCs w:val="24"/>
    </w:rPr>
  </w:style>
  <w:style w:type="character" w:customStyle="1" w:styleId="ListLabel30">
    <w:name w:val="ListLabel 30"/>
    <w:qFormat/>
    <w:rPr>
      <w:sz w:val="20"/>
      <w:szCs w:val="20"/>
      <w:highlight w:val="yellow"/>
    </w:rPr>
  </w:style>
  <w:style w:type="character" w:customStyle="1" w:styleId="LinkdaInternet">
    <w:name w:val="Link da Internet"/>
    <w:rPr>
      <w:color w:val="000080"/>
      <w:u w:val="single"/>
    </w:rPr>
  </w:style>
  <w:style w:type="character" w:customStyle="1" w:styleId="ListLabel31">
    <w:name w:val="ListLabel 31"/>
    <w:qFormat/>
    <w:rPr>
      <w:rFonts w:ascii="Arial" w:eastAsia="Arial" w:hAnsi="Arial" w:cs="Arial"/>
      <w:b w:val="0"/>
      <w:i w:val="0"/>
      <w:caps w:val="0"/>
      <w:smallCaps w:val="0"/>
      <w:strike w:val="0"/>
      <w:dstrike w:val="0"/>
      <w:color w:val="000080"/>
      <w:position w:val="0"/>
      <w:sz w:val="24"/>
      <w:szCs w:val="24"/>
      <w:u w:val="single"/>
      <w:vertAlign w:val="baseline"/>
    </w:rPr>
  </w:style>
  <w:style w:type="character" w:customStyle="1" w:styleId="ListLabel32">
    <w:name w:val="ListLabel 32"/>
    <w:qFormat/>
    <w:rPr>
      <w:rFonts w:ascii="Arial" w:eastAsia="Arial" w:hAnsi="Arial" w:cs="Arial"/>
      <w:b w:val="0"/>
      <w:i w:val="0"/>
      <w:caps w:val="0"/>
      <w:smallCaps w:val="0"/>
      <w:strike w:val="0"/>
      <w:dstrike w:val="0"/>
      <w:color w:val="000000"/>
      <w:position w:val="0"/>
      <w:sz w:val="24"/>
      <w:szCs w:val="24"/>
      <w:u w:val="none"/>
      <w:vertAlign w:val="baseline"/>
    </w:rPr>
  </w:style>
  <w:style w:type="character" w:customStyle="1" w:styleId="ListLabel33">
    <w:name w:val="ListLabel 33"/>
    <w:qFormat/>
    <w:rPr>
      <w:rFonts w:ascii="Times New Roman" w:eastAsia="Times New Roman" w:hAnsi="Times New Roman" w:cs="Times New Roman"/>
      <w:color w:val="0000FF"/>
      <w:u w:val="single"/>
    </w:rPr>
  </w:style>
  <w:style w:type="paragraph" w:styleId="Ttulo">
    <w:name w:val="Title"/>
    <w:basedOn w:val="LO-normal"/>
    <w:next w:val="Corpodetexto"/>
    <w:qFormat/>
    <w:pPr>
      <w:keepNext/>
      <w:keepLines/>
      <w:spacing w:before="480" w:after="120"/>
    </w:pPr>
    <w:rPr>
      <w:b/>
      <w:sz w:val="72"/>
      <w:szCs w:val="72"/>
    </w:rPr>
  </w:style>
  <w:style w:type="paragraph" w:styleId="Corpodetexto">
    <w:name w:val="Body Text"/>
    <w:basedOn w:val="LO-normal"/>
    <w:uiPriority w:val="1"/>
    <w:qFormat/>
    <w:rPr>
      <w:lang w:eastAsia="en-US" w:bidi="ar-SA"/>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LO-normal">
    <w:name w:val="LO-normal"/>
    <w:qFormat/>
  </w:style>
  <w:style w:type="paragraph" w:styleId="PargrafodaLista">
    <w:name w:val="List Paragraph"/>
    <w:basedOn w:val="LO-normal"/>
    <w:uiPriority w:val="1"/>
    <w:qFormat/>
    <w:pPr>
      <w:ind w:left="468" w:hanging="10"/>
      <w:jc w:val="both"/>
    </w:pPr>
    <w:rPr>
      <w:lang w:eastAsia="en-US" w:bidi="ar-SA"/>
    </w:rPr>
  </w:style>
  <w:style w:type="paragraph" w:customStyle="1" w:styleId="TableParagraph">
    <w:name w:val="Table Paragraph"/>
    <w:basedOn w:val="LO-normal"/>
    <w:uiPriority w:val="1"/>
    <w:qFormat/>
    <w:rPr>
      <w:lang w:eastAsia="en-US" w:bidi="ar-SA"/>
    </w:rPr>
  </w:style>
  <w:style w:type="paragraph" w:styleId="Subttulo">
    <w:name w:val="Subtitle"/>
    <w:basedOn w:val="LO-normal"/>
    <w:next w:val="LO-normal"/>
    <w:qFormat/>
    <w:pPr>
      <w:keepNext/>
      <w:keepLines/>
      <w:spacing w:before="360" w:after="80"/>
    </w:pPr>
    <w:rPr>
      <w:rFonts w:ascii="Georgia" w:eastAsia="Georgia" w:hAnsi="Georgia" w:cs="Georgia"/>
      <w:i/>
      <w:color w:val="666666"/>
      <w:sz w:val="48"/>
      <w:szCs w:val="48"/>
    </w:rPr>
  </w:style>
  <w:style w:type="paragraph" w:styleId="Rodap">
    <w:name w:val="footer"/>
    <w:basedOn w:val="Normal"/>
  </w:style>
  <w:style w:type="paragraph" w:customStyle="1" w:styleId="Contedodoquadro">
    <w:name w:val="Conteúdo do quadro"/>
    <w:basedOn w:val="Normal"/>
    <w:qFormat/>
  </w:style>
  <w:style w:type="paragraph" w:styleId="Cabealho">
    <w:name w:val="header"/>
    <w:basedOn w:val="Normal"/>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ortaldatransparencia.gov.br/ceis" TargetMode="External"/><Relationship Id="rId18" Type="http://schemas.openxmlformats.org/officeDocument/2006/relationships/footer" Target="footer3.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footer" Target="footer2.xm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20" Type="http://schemas.openxmlformats.org/officeDocument/2006/relationships/hyperlink" Target="http://www.portaltransparencia.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prasnet.gov.br/seguro/loginPortal.asp" TargetMode="Externa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cnj.jus.br/improbidade_adm/consultar_requerido.php" TargetMode="External"/><Relationship Id="rId22" Type="http://schemas.openxmlformats.org/officeDocument/2006/relationships/footer" Target="footer5.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zzglDlG6TaGhg89Si+hG33jiwGA==">AMUW2mXouOhlYA202jzb/oymJ6p0NYzwB7X5aCVJKVvHoHxNEuxvPZyqwTWmxyU724Xa1z20h4co1WZ4rIeyRs/IDrqQGeIqEZubdq9pOI0N6g7lWuv7vyQTS7KLxvxxkoiEA8UfN3xFQ9CHCcCyRxr42cTd+QusxMScuVg8znjSojMo2GCPg2YtFEzGp38Y2WfQHP6AqTBFQNHgKC0XKivYEuozYeUOPg==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68</Pages>
  <Words>15774</Words>
  <Characters>85182</Characters>
  <Application>Microsoft Office Word</Application>
  <DocSecurity>0</DocSecurity>
  <Lines>709</Lines>
  <Paragraphs>201</Paragraphs>
  <ScaleCrop>false</ScaleCrop>
  <Company/>
  <LinksUpToDate>false</LinksUpToDate>
  <CharactersWithSpaces>100755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Filipe M Azevedo</cp:lastModifiedBy>
  <cp:revision>6</cp:revision>
  <dcterms:created xsi:type="dcterms:W3CDTF">2022-05-23T18:58:00Z</dcterms:created>
  <dcterms:modified xsi:type="dcterms:W3CDTF">2022-05-25T20:04:00Z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2022-05-23T00:00:00Z</vt:filetime>
  </property>
  <property fmtid="{D5CDD505-2E9C-101B-9397-08002B2CF9AE}" pid="3" name="LastSaved">
    <vt:filetime>2022-05-23T00:00:00Z</vt:filetime>
  </property>
</Properties>
</file>