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76"/>
        <w:jc w:val="center"/>
        <w:rPr>
          <w:rFonts w:cs="Arial"/>
          <w:b/>
          <w:b/>
          <w:bCs/>
          <w:color w:val="000000" w:themeColor="text1"/>
          <w:szCs w:val="20"/>
        </w:rPr>
      </w:pPr>
      <w:r>
        <w:rPr>
          <w:rFonts w:cs="Arial"/>
          <w:b/>
          <w:bCs/>
          <w:color w:val="000000" w:themeColor="text1"/>
          <w:szCs w:val="20"/>
        </w:rPr>
      </w:r>
    </w:p>
    <w:p>
      <w:pPr>
        <w:pStyle w:val="Normal"/>
        <w:spacing w:lineRule="auto" w:line="276"/>
        <w:jc w:val="center"/>
        <w:rPr>
          <w:rFonts w:cs="Arial"/>
          <w:b/>
          <w:b/>
          <w:bCs/>
          <w:color w:val="000000" w:themeColor="text1"/>
          <w:szCs w:val="20"/>
        </w:rPr>
      </w:pPr>
      <w:r>
        <w:rPr>
          <w:rFonts w:cs="Arial"/>
          <w:b/>
          <w:bCs/>
          <w:color w:val="000000" w:themeColor="text1"/>
          <w:szCs w:val="20"/>
        </w:rPr>
        <w:t xml:space="preserve">AVISO DE DISPENSA ELETRÔNICA Nº </w:t>
      </w:r>
      <w:r>
        <w:rPr>
          <w:rFonts w:cs="Arial"/>
          <w:b/>
          <w:bCs/>
          <w:color w:val="000000" w:themeColor="text1"/>
          <w:szCs w:val="20"/>
        </w:rPr>
        <w:t>13/</w:t>
      </w:r>
      <w:r>
        <w:rPr>
          <w:rFonts w:cs="Arial"/>
          <w:b/>
          <w:bCs/>
          <w:color w:val="000000" w:themeColor="text1"/>
          <w:szCs w:val="20"/>
        </w:rPr>
        <w:t>2026</w:t>
      </w:r>
    </w:p>
    <w:p>
      <w:pPr>
        <w:pStyle w:val="Normal"/>
        <w:spacing w:lineRule="auto" w:line="276" w:before="0" w:after="120"/>
        <w:ind w:right="-15" w:hanging="0"/>
        <w:jc w:val="center"/>
        <w:rPr>
          <w:rFonts w:cs="Arial"/>
          <w:b/>
          <w:b/>
          <w:bCs/>
          <w:color w:val="000000"/>
          <w:szCs w:val="20"/>
        </w:rPr>
      </w:pPr>
      <w:r>
        <w:rPr>
          <w:rFonts w:cs="Arial"/>
          <w:b/>
          <w:bCs/>
          <w:color w:val="000000" w:themeColor="text1"/>
          <w:szCs w:val="20"/>
        </w:rPr>
        <w:t>(Processo Administrativ</w:t>
      </w:r>
      <w:r>
        <w:rPr>
          <w:rFonts w:cs="Arial"/>
          <w:b/>
          <w:bCs/>
          <w:color w:val="auto"/>
          <w:szCs w:val="20"/>
        </w:rPr>
        <w:t xml:space="preserve">o n.° </w:t>
      </w:r>
      <w:r>
        <w:rPr>
          <w:rFonts w:cs="Arial"/>
          <w:b/>
          <w:bCs/>
          <w:i w:val="false"/>
          <w:caps w:val="false"/>
          <w:smallCaps w:val="false"/>
          <w:color w:val="auto"/>
          <w:spacing w:val="0"/>
          <w:sz w:val="21"/>
          <w:szCs w:val="20"/>
        </w:rPr>
        <w:t>23544.000542/2026-88</w:t>
      </w:r>
      <w:r>
        <w:rPr>
          <w:rFonts w:cs="Arial"/>
          <w:b/>
          <w:bCs/>
          <w:color w:val="auto"/>
          <w:szCs w:val="20"/>
        </w:rPr>
        <w:t>)</w:t>
      </w:r>
    </w:p>
    <w:p>
      <w:pPr>
        <w:pStyle w:val="Normal"/>
        <w:rPr>
          <w:rFonts w:cs="Arial"/>
        </w:rPr>
      </w:pPr>
      <w:r>
        <w:rPr>
          <w:rFonts w:cs="Arial"/>
        </w:rPr>
      </w:r>
    </w:p>
    <w:p>
      <w:pPr>
        <w:pStyle w:val="Normal"/>
        <w:snapToGrid w:val="false"/>
        <w:spacing w:lineRule="auto" w:line="276" w:before="0" w:after="120"/>
        <w:ind w:right="-30" w:firstLine="540"/>
        <w:jc w:val="both"/>
        <w:rPr>
          <w:rFonts w:cs="Arial"/>
          <w:color w:val="000000"/>
          <w:szCs w:val="20"/>
        </w:rPr>
      </w:pPr>
      <w:r>
        <w:rPr>
          <w:rFonts w:cs="Arial"/>
          <w:color w:val="000000" w:themeColor="text1"/>
          <w:szCs w:val="20"/>
        </w:rPr>
        <w:t xml:space="preserve">Torna-se público que o(a) Instituto Federal do Espírito Santo, por meio do(a)  Coordenadoria de Licitações e Compras, realizará Dispensa Eletrônica, </w:t>
      </w:r>
      <w:r>
        <w:rPr>
          <w:rFonts w:cs="Arial"/>
          <w:bCs/>
          <w:color w:val="000000" w:themeColor="text1"/>
          <w:szCs w:val="20"/>
        </w:rPr>
        <w:t>com critério de julgamento menor preço</w:t>
      </w:r>
      <w:r>
        <w:rPr>
          <w:rFonts w:cs="Arial"/>
          <w:b/>
          <w:bCs/>
          <w:i/>
          <w:color w:val="auto"/>
          <w:szCs w:val="20"/>
        </w:rPr>
        <w:t>,</w:t>
      </w:r>
      <w:r>
        <w:rPr>
          <w:rFonts w:cs="Arial"/>
          <w:b/>
          <w:bCs/>
          <w:i/>
          <w:color w:val="FF0000"/>
          <w:szCs w:val="20"/>
        </w:rPr>
        <w:t xml:space="preserve"> </w:t>
      </w:r>
      <w:r>
        <w:rPr>
          <w:rFonts w:cs="Arial"/>
          <w:color w:val="000000" w:themeColor="text1"/>
          <w:szCs w:val="20"/>
        </w:rPr>
        <w:t>na hipóte</w:t>
      </w:r>
      <w:r>
        <w:rPr>
          <w:rFonts w:cs="Arial"/>
          <w:i w:val="false"/>
          <w:iCs w:val="false"/>
          <w:color w:val="auto"/>
          <w:szCs w:val="20"/>
        </w:rPr>
        <w:t xml:space="preserve">se do art. 75, inciso </w:t>
      </w:r>
      <w:r>
        <w:rPr>
          <w:rFonts w:cs="Arial"/>
          <w:b/>
          <w:i w:val="false"/>
          <w:iCs w:val="false"/>
          <w:color w:val="auto"/>
          <w:szCs w:val="20"/>
        </w:rPr>
        <w:t>II</w:t>
      </w:r>
      <w:r>
        <w:rPr>
          <w:rFonts w:cs="Arial"/>
          <w:i w:val="false"/>
          <w:iCs w:val="false"/>
          <w:color w:val="auto"/>
          <w:szCs w:val="20"/>
        </w:rPr>
        <w:t xml:space="preserve">, </w:t>
      </w:r>
      <w:r>
        <w:rPr>
          <w:rFonts w:cs="Arial"/>
          <w:bCs/>
          <w:i w:val="false"/>
          <w:iCs w:val="false"/>
          <w:color w:val="auto"/>
          <w:szCs w:val="20"/>
        </w:rPr>
        <w:t>nos term</w:t>
      </w:r>
      <w:r>
        <w:rPr>
          <w:rFonts w:cs="Arial"/>
          <w:bCs/>
          <w:szCs w:val="20"/>
        </w:rPr>
        <w:t>os da Lei nº 14.133, de 1º de abril de 2021, da Instrução Normativa SEGES/ME nº 67/2021 e demais legislação aplicável</w:t>
      </w:r>
      <w:r>
        <w:rPr>
          <w:rFonts w:cs="Arial"/>
          <w:color w:val="000000"/>
          <w:szCs w:val="20"/>
        </w:rPr>
        <w:t>.</w:t>
      </w:r>
    </w:p>
    <w:p>
      <w:pPr>
        <w:pStyle w:val="Normal"/>
        <w:spacing w:lineRule="auto" w:line="276"/>
        <w:jc w:val="both"/>
        <w:rPr>
          <w:rFonts w:cs="Arial"/>
          <w:color w:val="000000" w:themeColor="text1"/>
          <w:szCs w:val="20"/>
        </w:rPr>
      </w:pPr>
      <w:r>
        <w:rPr>
          <w:rFonts w:cs="Arial"/>
          <w:color w:val="000000" w:themeColor="text1"/>
          <w:szCs w:val="20"/>
        </w:rPr>
      </w:r>
    </w:p>
    <w:p>
      <w:pPr>
        <w:pStyle w:val="Normal"/>
        <w:spacing w:lineRule="auto" w:line="276"/>
        <w:jc w:val="both"/>
        <w:rPr>
          <w:highlight w:val="none"/>
          <w:shd w:fill="auto" w:val="clear"/>
        </w:rPr>
      </w:pPr>
      <w:r>
        <w:rPr>
          <w:rFonts w:cs="Arial"/>
          <w:color w:val="000000" w:themeColor="text1"/>
          <w:szCs w:val="20"/>
          <w:shd w:fill="auto" w:val="clear"/>
        </w:rPr>
        <w:t>Data de início de recebimento de propostas: 15/05/2026, às 12:00</w:t>
      </w:r>
    </w:p>
    <w:p>
      <w:pPr>
        <w:pStyle w:val="Normal"/>
        <w:rPr>
          <w:highlight w:val="none"/>
          <w:shd w:fill="auto" w:val="clear"/>
        </w:rPr>
      </w:pPr>
      <w:r>
        <w:rPr>
          <w:rFonts w:cs="Arial"/>
          <w:color w:val="000000" w:themeColor="text1"/>
          <w:szCs w:val="20"/>
          <w:shd w:fill="auto" w:val="clear"/>
        </w:rPr>
        <w:t xml:space="preserve">Link: </w:t>
      </w:r>
      <w:r>
        <w:rPr>
          <w:rFonts w:cs="Arial"/>
          <w:i w:val="false"/>
          <w:iCs w:val="false"/>
          <w:color w:val="000000"/>
          <w:szCs w:val="20"/>
          <w:shd w:fill="auto" w:val="clear"/>
        </w:rPr>
        <w:t xml:space="preserve"> </w:t>
      </w:r>
      <w:r>
        <w:rPr>
          <w:rFonts w:cs="Arial" w:ascii="ArialMT" w:hAnsi="ArialMT"/>
          <w:i w:val="false"/>
          <w:iCs w:val="false"/>
          <w:color w:val="000000" w:themeColor="text1"/>
          <w:sz w:val="20"/>
          <w:szCs w:val="20"/>
          <w:shd w:fill="auto" w:val="clear"/>
        </w:rPr>
        <w:t>https://www.gov.br/compras/pt-br</w:t>
      </w:r>
    </w:p>
    <w:p>
      <w:pPr>
        <w:pStyle w:val="Normal"/>
        <w:rPr>
          <w:highlight w:val="none"/>
          <w:shd w:fill="auto" w:val="clear"/>
        </w:rPr>
      </w:pPr>
      <w:r>
        <w:rPr>
          <w:shd w:fill="auto" w:val="clear"/>
        </w:rPr>
        <w:t>Horário da Fase de Lances: 12:00 do dia 15/05 às 12:00 do dia 20/05</w:t>
      </w:r>
    </w:p>
    <w:p>
      <w:pPr>
        <w:pStyle w:val="PADRO"/>
        <w:keepNext w:val="false"/>
        <w:widowControl/>
        <w:shd w:val="clear" w:color="auto" w:fill="auto"/>
        <w:spacing w:before="120" w:after="120"/>
        <w:ind w:left="360" w:hanging="0"/>
        <w:rPr>
          <w:rFonts w:ascii="Arial" w:hAnsi="Arial" w:cs="Arial"/>
          <w:b/>
          <w:b/>
        </w:rPr>
      </w:pPr>
      <w:r>
        <w:rPr>
          <w:rFonts w:cs="Arial" w:ascii="Arial" w:hAnsi="Arial"/>
          <w:b/>
        </w:rPr>
      </w:r>
    </w:p>
    <w:p>
      <w:pPr>
        <w:pStyle w:val="PADRO"/>
        <w:keepNext w:val="false"/>
        <w:widowControl/>
        <w:numPr>
          <w:ilvl w:val="0"/>
          <w:numId w:val="1"/>
        </w:numPr>
        <w:shd w:val="clear" w:color="auto" w:fill="auto"/>
        <w:spacing w:before="120" w:after="120"/>
        <w:rPr>
          <w:rFonts w:ascii="Arial" w:hAnsi="Arial" w:cs="Arial"/>
          <w:b/>
          <w:b/>
        </w:rPr>
      </w:pPr>
      <w:r>
        <w:rPr>
          <w:rFonts w:cs="Arial" w:ascii="Arial" w:hAnsi="Arial"/>
          <w:b/>
        </w:rPr>
        <w:t>OBJETO DA CONTRATAÇÃO DIRETA</w:t>
      </w:r>
      <w:bookmarkStart w:id="0" w:name="_GoBack"/>
      <w:bookmarkEnd w:id="0"/>
    </w:p>
    <w:p>
      <w:pPr>
        <w:pStyle w:val="PADRO"/>
        <w:widowControl/>
        <w:numPr>
          <w:ilvl w:val="1"/>
          <w:numId w:val="1"/>
        </w:numPr>
        <w:shd w:val="clear" w:color="auto" w:fill="auto"/>
        <w:spacing w:before="120" w:after="120"/>
        <w:rPr>
          <w:rFonts w:ascii="Arial" w:hAnsi="Arial" w:cs="Arial"/>
          <w:szCs w:val="20"/>
        </w:rPr>
      </w:pPr>
      <w:r>
        <w:rPr>
          <w:rFonts w:cs="Arial" w:ascii="Arial" w:hAnsi="Arial"/>
          <w:color w:val="000000" w:themeColor="text1"/>
          <w:szCs w:val="20"/>
        </w:rPr>
        <w:t>O objeto da presente disp</w:t>
      </w:r>
      <w:r>
        <w:rPr>
          <w:rFonts w:eastAsia="WenQuanYi Micro Hei" w:cs="Arial" w:ascii="Arial" w:hAnsi="Arial"/>
          <w:color w:val="000000" w:themeColor="text1"/>
          <w:kern w:val="0"/>
          <w:sz w:val="20"/>
          <w:szCs w:val="20"/>
          <w:lang w:val="pt-BR" w:eastAsia="zh-CN" w:bidi="hi-IN"/>
        </w:rPr>
        <w:t xml:space="preserve">ensa é a Contratação de empresa para fornecimento de Serviço de Telefonia Fixa Comutada - STFC (fixo-fixo e fixo-móvel), através de Tronco SIP com integração com a rede PSTN, para atender às necessidades de comunicação do Ifes Campus Centro-Serrano, nos termos da tabela abaixo, </w:t>
      </w:r>
      <w:r>
        <w:rPr>
          <w:rFonts w:cs="Arial" w:ascii="Arial" w:hAnsi="Arial"/>
          <w:color w:val="000000" w:themeColor="text1"/>
          <w:szCs w:val="20"/>
        </w:rPr>
        <w:t>conforme as condições e exigências detalhadas</w:t>
      </w:r>
      <w:r>
        <w:rPr>
          <w:rFonts w:eastAsia="WenQuanYi Micro Hei" w:cs="Arial" w:ascii="Arial" w:hAnsi="Arial"/>
          <w:color w:val="000000" w:themeColor="text1"/>
          <w:kern w:val="0"/>
          <w:sz w:val="20"/>
          <w:szCs w:val="20"/>
          <w:lang w:val="pt-BR" w:eastAsia="zh-CN" w:bidi="hi-IN"/>
        </w:rPr>
        <w:t xml:space="preserve"> ne</w:t>
      </w:r>
      <w:r>
        <w:rPr>
          <w:rFonts w:cs="Arial" w:ascii="Arial" w:hAnsi="Arial"/>
          <w:color w:val="000000" w:themeColor="text1"/>
          <w:szCs w:val="20"/>
        </w:rPr>
        <w:t>ste Aviso de Contratação Direta e seus anexos.</w:t>
      </w:r>
    </w:p>
    <w:p>
      <w:pPr>
        <w:pStyle w:val="PADRO"/>
        <w:keepNext w:val="false"/>
        <w:widowControl/>
        <w:numPr>
          <w:ilvl w:val="1"/>
          <w:numId w:val="1"/>
        </w:numPr>
        <w:shd w:val="clear" w:color="auto" w:fill="auto"/>
        <w:spacing w:before="120" w:after="120"/>
        <w:rPr>
          <w:rFonts w:ascii="Arial" w:hAnsi="Arial"/>
          <w:i w:val="false"/>
          <w:i w:val="false"/>
          <w:iCs w:val="false"/>
          <w:color w:val="auto"/>
        </w:rPr>
      </w:pPr>
      <w:r>
        <w:rPr>
          <w:rFonts w:cs="Arial" w:ascii="Arial" w:hAnsi="Arial"/>
          <w:i w:val="false"/>
          <w:iCs w:val="false"/>
          <w:color w:val="auto"/>
          <w:szCs w:val="20"/>
        </w:rPr>
        <w:t>A contratação se dará por item único</w:t>
      </w:r>
      <w:r>
        <w:rPr>
          <w:rFonts w:cs="Arial" w:ascii="Arial" w:hAnsi="Arial"/>
          <w:b/>
          <w:bCs/>
          <w:i w:val="false"/>
          <w:iCs w:val="false"/>
          <w:color w:val="auto"/>
          <w:szCs w:val="20"/>
        </w:rPr>
        <w:t>,</w:t>
      </w:r>
      <w:r>
        <w:rPr>
          <w:rFonts w:cs="Arial" w:ascii="Arial" w:hAnsi="Arial"/>
          <w:i w:val="false"/>
          <w:iCs w:val="false"/>
          <w:color w:val="auto"/>
          <w:szCs w:val="20"/>
        </w:rPr>
        <w:t xml:space="preserve"> conforme tabela constante abaixo.</w:t>
      </w:r>
    </w:p>
    <w:tbl>
      <w:tblPr>
        <w:tblW w:w="10088" w:type="dxa"/>
        <w:jc w:val="left"/>
        <w:tblInd w:w="-449" w:type="dxa"/>
        <w:tblLayout w:type="fixed"/>
        <w:tblCellMar>
          <w:top w:w="0" w:type="dxa"/>
          <w:left w:w="108" w:type="dxa"/>
          <w:bottom w:w="0" w:type="dxa"/>
          <w:right w:w="108" w:type="dxa"/>
        </w:tblCellMar>
        <w:tblLook w:firstRow="1" w:noVBand="1" w:lastRow="0" w:firstColumn="1" w:lastColumn="0" w:noHBand="0" w:val="04a0"/>
      </w:tblPr>
      <w:tblGrid>
        <w:gridCol w:w="850"/>
        <w:gridCol w:w="5095"/>
        <w:gridCol w:w="1028"/>
        <w:gridCol w:w="843"/>
        <w:gridCol w:w="1079"/>
        <w:gridCol w:w="1192"/>
      </w:tblGrid>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Arial" w:hAnsi="Arial"/>
                <w:sz w:val="16"/>
                <w:szCs w:val="16"/>
              </w:rPr>
            </w:pPr>
            <w:r>
              <w:rPr>
                <w:rFonts w:cs="Arial"/>
                <w:b/>
                <w:bCs/>
                <w:color w:val="000000"/>
                <w:sz w:val="16"/>
                <w:szCs w:val="16"/>
              </w:rPr>
              <w:t>ITEM</w:t>
            </w:r>
          </w:p>
        </w:tc>
        <w:tc>
          <w:tcPr>
            <w:tcW w:w="509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sz w:val="16"/>
                <w:szCs w:val="16"/>
              </w:rPr>
            </w:pPr>
            <w:r>
              <w:rPr>
                <w:rFonts w:cs="Arial"/>
                <w:b/>
                <w:bCs/>
                <w:color w:val="000000"/>
                <w:sz w:val="16"/>
                <w:szCs w:val="16"/>
              </w:rPr>
              <w:t>DESCRIÇÃO/ESPECIFICAÇÃO</w:t>
            </w:r>
          </w:p>
        </w:tc>
        <w:tc>
          <w:tcPr>
            <w:tcW w:w="10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Arial" w:hAnsi="Arial"/>
                <w:sz w:val="16"/>
                <w:szCs w:val="16"/>
              </w:rPr>
            </w:pPr>
            <w:r>
              <w:rPr>
                <w:rFonts w:cs="Arial"/>
                <w:b/>
                <w:bCs/>
                <w:color w:val="000000"/>
                <w:sz w:val="16"/>
                <w:szCs w:val="16"/>
              </w:rPr>
              <w:t>UNIDADE DE MEDIDA</w:t>
            </w:r>
          </w:p>
        </w:tc>
        <w:tc>
          <w:tcPr>
            <w:tcW w:w="8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Arial" w:hAnsi="Arial"/>
                <w:sz w:val="16"/>
                <w:szCs w:val="16"/>
              </w:rPr>
            </w:pPr>
            <w:r>
              <w:rPr>
                <w:rFonts w:cs="Arial"/>
                <w:b/>
                <w:bCs/>
                <w:color w:val="000000"/>
                <w:sz w:val="16"/>
                <w:szCs w:val="16"/>
              </w:rPr>
              <w:t>QUANT.</w:t>
            </w:r>
          </w:p>
        </w:tc>
        <w:tc>
          <w:tcPr>
            <w:tcW w:w="107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Arial" w:hAnsi="Arial"/>
                <w:sz w:val="16"/>
                <w:szCs w:val="16"/>
              </w:rPr>
            </w:pPr>
            <w:r>
              <w:rPr>
                <w:rFonts w:cs="Arial"/>
                <w:b/>
                <w:bCs/>
                <w:color w:val="000000"/>
                <w:sz w:val="16"/>
                <w:szCs w:val="16"/>
              </w:rPr>
              <w:t>VALOR UNITÁRIO ESTIMADO</w:t>
            </w:r>
          </w:p>
        </w:tc>
        <w:tc>
          <w:tcPr>
            <w:tcW w:w="11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Arial" w:hAnsi="Arial"/>
                <w:sz w:val="16"/>
                <w:szCs w:val="16"/>
              </w:rPr>
            </w:pPr>
            <w:r>
              <w:rPr>
                <w:rFonts w:cs="Arial"/>
                <w:b/>
                <w:bCs/>
                <w:color w:val="000000"/>
                <w:sz w:val="16"/>
                <w:szCs w:val="16"/>
              </w:rPr>
              <w:t>VALOR ESTIMADO TOTAL</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sz w:val="16"/>
                <w:szCs w:val="16"/>
              </w:rPr>
            </w:pPr>
            <w:r>
              <w:rPr>
                <w:rFonts w:cs="Arial"/>
                <w:b w:val="false"/>
                <w:bCs w:val="false"/>
                <w:color w:val="000000"/>
                <w:sz w:val="16"/>
                <w:szCs w:val="16"/>
              </w:rPr>
              <w:t>1</w:t>
            </w:r>
          </w:p>
        </w:tc>
        <w:tc>
          <w:tcPr>
            <w:tcW w:w="509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sz w:val="16"/>
                <w:szCs w:val="16"/>
              </w:rPr>
            </w:pPr>
            <w:r>
              <w:rPr>
                <w:sz w:val="16"/>
                <w:szCs w:val="16"/>
              </w:rPr>
              <w:t>Assinatura de ddr com range de no mímino 30 números com serviço de SIP Trunking para telefonia fixa DDR (Discagem Direta a Ramal) com mínimo de 10 canais. portabilidade de números atuais, permitindo realizar e receber ligações telefônicas, chamadas locais e nacionais ilimitadas, com destino a telefones fixos e móveis de qualquer operadora.</w:t>
            </w:r>
          </w:p>
        </w:tc>
        <w:tc>
          <w:tcPr>
            <w:tcW w:w="10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76" w:before="0" w:after="120"/>
              <w:jc w:val="center"/>
              <w:rPr>
                <w:rFonts w:ascii="Arial" w:hAnsi="Arial"/>
                <w:sz w:val="16"/>
                <w:szCs w:val="16"/>
              </w:rPr>
            </w:pPr>
            <w:r>
              <w:rPr>
                <w:sz w:val="16"/>
                <w:szCs w:val="16"/>
              </w:rPr>
              <w:t>Mensal</w:t>
            </w:r>
          </w:p>
        </w:tc>
        <w:tc>
          <w:tcPr>
            <w:tcW w:w="8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76" w:before="0" w:after="120"/>
              <w:jc w:val="center"/>
              <w:rPr>
                <w:rFonts w:ascii="Arial" w:hAnsi="Arial"/>
                <w:sz w:val="16"/>
                <w:szCs w:val="16"/>
              </w:rPr>
            </w:pPr>
            <w:r>
              <w:rPr>
                <w:rFonts w:cs="Arial"/>
                <w:b w:val="false"/>
                <w:bCs w:val="false"/>
                <w:color w:val="000000"/>
                <w:sz w:val="16"/>
                <w:szCs w:val="16"/>
              </w:rPr>
              <w:t>24</w:t>
            </w:r>
          </w:p>
        </w:tc>
        <w:tc>
          <w:tcPr>
            <w:tcW w:w="107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76" w:before="0" w:after="120"/>
              <w:jc w:val="center"/>
              <w:rPr>
                <w:rFonts w:ascii="Arial" w:hAnsi="Arial"/>
                <w:sz w:val="16"/>
                <w:szCs w:val="16"/>
              </w:rPr>
            </w:pPr>
            <w:r>
              <w:rPr>
                <w:rFonts w:cs="Arial"/>
                <w:b w:val="false"/>
                <w:bCs w:val="false"/>
                <w:color w:val="000000"/>
                <w:sz w:val="16"/>
                <w:szCs w:val="16"/>
              </w:rPr>
              <w:t>R$  399,60</w:t>
            </w:r>
          </w:p>
        </w:tc>
        <w:tc>
          <w:tcPr>
            <w:tcW w:w="11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76" w:before="0" w:after="120"/>
              <w:jc w:val="center"/>
              <w:rPr>
                <w:rFonts w:ascii="Arial" w:hAnsi="Arial"/>
                <w:sz w:val="16"/>
                <w:szCs w:val="16"/>
              </w:rPr>
            </w:pPr>
            <w:r>
              <w:rPr>
                <w:rFonts w:cs="Arial"/>
                <w:b w:val="false"/>
                <w:bCs w:val="false"/>
                <w:color w:val="000000"/>
                <w:sz w:val="16"/>
                <w:szCs w:val="16"/>
              </w:rPr>
              <w:t>R$  9.590,32</w:t>
            </w:r>
          </w:p>
        </w:tc>
      </w:tr>
      <w:tr>
        <w:trPr/>
        <w:tc>
          <w:tcPr>
            <w:tcW w:w="8895" w:type="dxa"/>
            <w:gridSpan w:val="5"/>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76" w:before="0" w:after="120"/>
              <w:jc w:val="center"/>
              <w:rPr>
                <w:rFonts w:ascii="Arial" w:hAnsi="Arial"/>
                <w:sz w:val="16"/>
                <w:szCs w:val="16"/>
              </w:rPr>
            </w:pPr>
            <w:r>
              <w:rPr>
                <w:rFonts w:cs="Arial"/>
                <w:b/>
                <w:bCs/>
                <w:color w:val="000000"/>
                <w:sz w:val="16"/>
                <w:szCs w:val="16"/>
              </w:rPr>
              <w:t>VALOR ESTIMADO TOTAL</w:t>
            </w:r>
          </w:p>
        </w:tc>
        <w:tc>
          <w:tcPr>
            <w:tcW w:w="1192"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76" w:before="0" w:after="120"/>
              <w:jc w:val="center"/>
              <w:rPr>
                <w:rFonts w:ascii="Arial" w:hAnsi="Arial"/>
                <w:sz w:val="16"/>
                <w:szCs w:val="16"/>
              </w:rPr>
            </w:pPr>
            <w:r>
              <w:rPr>
                <w:rFonts w:cs="Arial"/>
                <w:b/>
                <w:bCs/>
                <w:color w:val="000000"/>
                <w:sz w:val="16"/>
                <w:szCs w:val="16"/>
              </w:rPr>
              <w:t>R$  9.590,32</w:t>
            </w:r>
          </w:p>
        </w:tc>
      </w:tr>
    </w:tbl>
    <w:p>
      <w:pPr>
        <w:pStyle w:val="PADRO"/>
        <w:keepNext w:val="false"/>
        <w:widowControl/>
        <w:numPr>
          <w:ilvl w:val="2"/>
          <w:numId w:val="1"/>
        </w:numPr>
        <w:shd w:val="clear" w:color="auto" w:fill="auto"/>
        <w:spacing w:before="120" w:after="120"/>
        <w:rPr>
          <w:rFonts w:ascii="Arial" w:hAnsi="Arial" w:cs="Arial"/>
        </w:rPr>
      </w:pPr>
      <w:r>
        <w:rPr>
          <w:rFonts w:cs="Arial" w:ascii="Arial" w:hAnsi="Arial"/>
          <w:szCs w:val="20"/>
        </w:rPr>
        <w:t xml:space="preserve"> </w:t>
      </w:r>
      <w:r>
        <w:rPr>
          <w:rFonts w:cs="Arial" w:ascii="Arial" w:hAnsi="Arial"/>
          <w:szCs w:val="20"/>
        </w:rPr>
        <w:t>Havendo mais de item ou lote faculta-se ao fornecedor a participação em quantos forem de seu interesse. Entretanto, optando-se por participar de um lote, deve o fornecedo</w:t>
      </w:r>
      <w:r>
        <w:rPr>
          <w:rFonts w:cs="Arial" w:ascii="Arial" w:hAnsi="Arial"/>
          <w:i w:val="false"/>
          <w:iCs w:val="false"/>
          <w:color w:val="auto"/>
          <w:szCs w:val="20"/>
        </w:rPr>
        <w:t>r enviar proposta para todos os itens que o compõem.</w:t>
      </w:r>
    </w:p>
    <w:p>
      <w:pPr>
        <w:pStyle w:val="PADRO"/>
        <w:keepNext w:val="false"/>
        <w:widowControl/>
        <w:numPr>
          <w:ilvl w:val="1"/>
          <w:numId w:val="1"/>
        </w:numPr>
        <w:shd w:val="clear" w:color="auto" w:fill="auto"/>
        <w:spacing w:before="120" w:after="120"/>
        <w:rPr>
          <w:i w:val="false"/>
          <w:i w:val="false"/>
          <w:iCs w:val="false"/>
          <w:color w:val="auto"/>
        </w:rPr>
      </w:pPr>
      <w:r>
        <w:rPr>
          <w:rFonts w:cs="Arial" w:ascii="Arial" w:hAnsi="Arial"/>
          <w:i w:val="false"/>
          <w:iCs w:val="false"/>
          <w:color w:val="auto"/>
          <w:szCs w:val="20"/>
        </w:rPr>
        <w:t>O critério de julgamento adotado será o menor preço, observadas as exigências contidas neste Aviso de Contratação Direta e seus Anexos quanto às especificações do objeto.</w:t>
      </w:r>
    </w:p>
    <w:p>
      <w:pPr>
        <w:pStyle w:val="PADRO"/>
        <w:widowControl/>
        <w:numPr>
          <w:ilvl w:val="0"/>
          <w:numId w:val="0"/>
        </w:numPr>
        <w:shd w:val="clear" w:color="auto" w:fill="auto"/>
        <w:spacing w:before="120" w:after="120"/>
        <w:ind w:left="792" w:hanging="0"/>
        <w:rPr>
          <w:rFonts w:ascii="Arial" w:hAnsi="Arial" w:cs="Arial"/>
          <w:szCs w:val="20"/>
        </w:rPr>
      </w:pPr>
      <w:r>
        <w:rPr>
          <w:rFonts w:cs="Arial" w:ascii="Arial" w:hAnsi="Arial"/>
          <w:szCs w:val="20"/>
        </w:rPr>
      </w:r>
    </w:p>
    <w:p>
      <w:pPr>
        <w:pStyle w:val="PADRO"/>
        <w:keepNext w:val="false"/>
        <w:widowControl/>
        <w:numPr>
          <w:ilvl w:val="0"/>
          <w:numId w:val="1"/>
        </w:numPr>
        <w:shd w:val="clear" w:color="auto" w:fill="auto"/>
        <w:spacing w:before="120" w:after="120"/>
        <w:rPr>
          <w:rFonts w:ascii="Arial" w:hAnsi="Arial" w:cs="Arial"/>
          <w:b/>
          <w:b/>
        </w:rPr>
      </w:pPr>
      <w:r>
        <w:rPr>
          <w:rFonts w:cs="Arial" w:ascii="Arial" w:hAnsi="Arial"/>
          <w:b/>
        </w:rPr>
        <w:t>PARTICIPAÇÃO NA DISPENSA ELETRÔNICA</w:t>
      </w:r>
    </w:p>
    <w:p>
      <w:pPr>
        <w:pStyle w:val="Normal"/>
        <w:numPr>
          <w:ilvl w:val="1"/>
          <w:numId w:val="1"/>
        </w:numPr>
        <w:snapToGrid w:val="false"/>
        <w:spacing w:lineRule="auto" w:line="276" w:before="120" w:after="120"/>
        <w:ind w:left="425" w:hanging="0"/>
        <w:jc w:val="both"/>
        <w:rPr>
          <w:rFonts w:cs="Arial"/>
          <w:szCs w:val="20"/>
        </w:rPr>
      </w:pPr>
      <w:r>
        <w:rPr>
          <w:rFonts w:cs="Arial"/>
          <w:szCs w:val="20"/>
        </w:rPr>
        <w:t xml:space="preserve">A participação na presente dispensa eletrônica se dará mediante </w:t>
      </w:r>
      <w:r>
        <w:rPr>
          <w:rFonts w:cs="Arial"/>
          <w:bCs/>
          <w:szCs w:val="20"/>
        </w:rPr>
        <w:t>Sistema de Dispensa Eletrônica</w:t>
      </w:r>
      <w:r>
        <w:rPr>
          <w:rFonts w:cs="Arial"/>
          <w:szCs w:val="20"/>
        </w:rPr>
        <w:t xml:space="preserve"> integrante do Sistema de Compras do Governo Federal – Comprasnet 4.0, disponível no </w:t>
      </w:r>
      <w:r>
        <w:rPr>
          <w:rFonts w:cs="Arial"/>
          <w:bCs/>
          <w:szCs w:val="20"/>
        </w:rPr>
        <w:t xml:space="preserve">endereço eletrônico </w:t>
      </w:r>
      <w:r>
        <w:rPr>
          <w:rFonts w:cs="Arial" w:ascii="ArialMT" w:hAnsi="ArialMT"/>
          <w:bCs/>
          <w:i w:val="false"/>
          <w:iCs w:val="false"/>
          <w:color w:val="000000" w:themeColor="text1"/>
          <w:sz w:val="20"/>
          <w:szCs w:val="20"/>
        </w:rPr>
        <w:t>https://www.gov.br/compras/pt-br.</w:t>
      </w:r>
    </w:p>
    <w:p>
      <w:pPr>
        <w:pStyle w:val="Normal"/>
        <w:numPr>
          <w:ilvl w:val="2"/>
          <w:numId w:val="1"/>
        </w:numPr>
        <w:snapToGrid w:val="false"/>
        <w:spacing w:lineRule="auto" w:line="276" w:before="120" w:after="120"/>
        <w:jc w:val="both"/>
        <w:rPr>
          <w:rFonts w:cs="Arial"/>
          <w:szCs w:val="20"/>
        </w:rPr>
      </w:pPr>
      <w:r>
        <w:rPr>
          <w:rFonts w:cs="Arial"/>
          <w:szCs w:val="20"/>
        </w:rPr>
        <w:t xml:space="preserve"> </w:t>
      </w:r>
      <w:r>
        <w:rPr>
          <w:rFonts w:cs="Arial"/>
          <w:szCs w:val="20"/>
        </w:rPr>
        <w:t>os fornecedores deverão atender aos procedimentos previstos no Manual do Sistema de Dispensa Eletrônica, disponível no Portal de Compras do Governo Federal, para acesso ao sistema e operacionalização.</w:t>
      </w:r>
    </w:p>
    <w:p>
      <w:pPr>
        <w:pStyle w:val="Normal"/>
        <w:numPr>
          <w:ilvl w:val="2"/>
          <w:numId w:val="1"/>
        </w:numPr>
        <w:snapToGrid w:val="false"/>
        <w:spacing w:lineRule="auto" w:line="276" w:before="120" w:after="120"/>
        <w:jc w:val="both"/>
        <w:rPr>
          <w:rFonts w:cs="Arial"/>
          <w:szCs w:val="20"/>
        </w:rPr>
      </w:pPr>
      <w:r>
        <w:rPr>
          <w:rFonts w:cs="Arial"/>
          <w:szCs w:val="20"/>
        </w:rPr>
        <w:t xml:space="preserve"> </w:t>
      </w:r>
      <w:r>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76" w:before="120" w:after="120"/>
        <w:ind w:left="425" w:hanging="0"/>
        <w:jc w:val="both"/>
        <w:rPr>
          <w:rFonts w:cs="Arial"/>
          <w:color w:val="000000" w:themeColor="text1"/>
          <w:szCs w:val="20"/>
        </w:rPr>
      </w:pPr>
      <w:r>
        <w:rPr>
          <w:rFonts w:cs="Arial"/>
          <w:color w:val="000000" w:themeColor="text1"/>
          <w:szCs w:val="20"/>
        </w:rPr>
        <w:t>Não poderão participar desta dispensa os fornecedores: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 xml:space="preserve"> </w:t>
      </w:r>
      <w:r>
        <w:rPr>
          <w:rFonts w:cs="Arial"/>
          <w:color w:val="000000" w:themeColor="text1"/>
          <w:szCs w:val="20"/>
        </w:rPr>
        <w:t>que não atendam às condições deste Aviso de Contratação Direta e seu(s) anexo(s);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 xml:space="preserve"> </w:t>
      </w:r>
      <w:r>
        <w:rPr>
          <w:rFonts w:cs="Arial"/>
          <w:color w:val="000000" w:themeColor="text1"/>
          <w:szCs w:val="20"/>
        </w:rPr>
        <w:t>estrangeiros que não tenham representação legal no Brasil com poderes expressos para receber citação e responder administrativa ou judicialmente;</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 xml:space="preserve"> </w:t>
      </w:r>
      <w:r>
        <w:rPr>
          <w:rFonts w:cs="Arial"/>
          <w:color w:val="000000" w:themeColor="text1"/>
          <w:szCs w:val="20"/>
        </w:rPr>
        <w:t>que se enquadrem nas seguintes vedações:</w:t>
      </w:r>
    </w:p>
    <w:p>
      <w:pPr>
        <w:pStyle w:val="Normal"/>
        <w:numPr>
          <w:ilvl w:val="3"/>
          <w:numId w:val="5"/>
        </w:numPr>
        <w:spacing w:lineRule="auto" w:line="276" w:before="120" w:after="120"/>
        <w:jc w:val="both"/>
        <w:rPr>
          <w:rFonts w:cs="Arial"/>
          <w:color w:val="000000" w:themeColor="text1"/>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pPr>
        <w:pStyle w:val="Normal"/>
        <w:numPr>
          <w:ilvl w:val="3"/>
          <w:numId w:val="5"/>
        </w:numPr>
        <w:spacing w:lineRule="auto" w:line="276" w:before="120" w:after="120"/>
        <w:jc w:val="both"/>
        <w:rPr>
          <w:rFonts w:cs="Arial"/>
          <w:color w:val="000000" w:themeColor="text1"/>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5"/>
        </w:numPr>
        <w:spacing w:lineRule="auto" w:line="276" w:before="120" w:after="120"/>
        <w:jc w:val="both"/>
        <w:rPr>
          <w:rFonts w:cs="Arial"/>
          <w:color w:val="000000" w:themeColor="text1"/>
          <w:szCs w:val="20"/>
        </w:rPr>
      </w:pPr>
      <w:r>
        <w:rPr>
          <w:rFonts w:cs="Arial"/>
          <w:color w:val="000000"/>
          <w:szCs w:val="20"/>
        </w:rPr>
        <w:t>pessoa física ou jurídica que se encontre, ao tempo da contratação, impossibilitada de contratar em decorrência de sanção que lhe foi imposta;</w:t>
      </w:r>
    </w:p>
    <w:p>
      <w:pPr>
        <w:pStyle w:val="Normal"/>
        <w:numPr>
          <w:ilvl w:val="3"/>
          <w:numId w:val="5"/>
        </w:numPr>
        <w:spacing w:lineRule="auto" w:line="276" w:before="120" w:after="120"/>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5"/>
        </w:numPr>
        <w:spacing w:lineRule="auto" w:line="276" w:before="120" w:after="120"/>
        <w:jc w:val="both"/>
        <w:rPr>
          <w:rFonts w:cs="Arial"/>
          <w:color w:val="000000" w:themeColor="text1"/>
          <w:szCs w:val="20"/>
        </w:rPr>
      </w:pPr>
      <w:r>
        <w:rPr>
          <w:rFonts w:cs="Arial"/>
          <w:color w:val="000000"/>
          <w:szCs w:val="20"/>
        </w:rPr>
        <w:t>empresas controladoras, controladas ou coligadas, nos termos da </w:t>
      </w:r>
      <w:hyperlink r:id="rId2">
        <w:r>
          <w:rPr>
            <w:rStyle w:val="LinkdaInternet"/>
            <w:rFonts w:eastAsia="Calibri" w:cs="Arial"/>
            <w:szCs w:val="20"/>
          </w:rPr>
          <w:t>Lei nº 6.404, de 15 de dezembro de 1976</w:t>
        </w:r>
      </w:hyperlink>
      <w:r>
        <w:rPr>
          <w:rFonts w:cs="Arial"/>
          <w:color w:val="000000"/>
          <w:szCs w:val="20"/>
        </w:rPr>
        <w:t>, concorrendo entre si;</w:t>
      </w:r>
    </w:p>
    <w:p>
      <w:pPr>
        <w:pStyle w:val="Normal"/>
        <w:numPr>
          <w:ilvl w:val="3"/>
          <w:numId w:val="5"/>
        </w:numPr>
        <w:spacing w:lineRule="auto" w:line="276" w:before="120" w:after="120"/>
        <w:jc w:val="both"/>
        <w:rPr>
          <w:rFonts w:cs="Arial"/>
          <w:color w:val="000000" w:themeColor="text1"/>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120" w:after="120"/>
        <w:jc w:val="both"/>
        <w:rPr>
          <w:rFonts w:cs="Arial"/>
          <w:color w:val="000000" w:themeColor="text1"/>
          <w:szCs w:val="20"/>
        </w:rPr>
      </w:pPr>
      <w:r>
        <w:rPr>
          <w:rFonts w:cs="Arial"/>
          <w:color w:val="000000"/>
          <w:szCs w:val="20"/>
        </w:rPr>
        <w:t>equiparam-se aos autores do projeto as empresas integrantes do mesmo grupo econômico;</w:t>
      </w:r>
    </w:p>
    <w:p>
      <w:pPr>
        <w:pStyle w:val="Normal"/>
        <w:numPr>
          <w:ilvl w:val="3"/>
          <w:numId w:val="1"/>
        </w:numPr>
        <w:spacing w:lineRule="auto" w:line="276" w:before="120" w:after="120"/>
        <w:jc w:val="both"/>
        <w:rPr>
          <w:rFonts w:cs="Arial"/>
          <w:color w:val="000000" w:themeColor="text1"/>
          <w:szCs w:val="20"/>
        </w:rPr>
      </w:pPr>
      <w:r>
        <w:rPr>
          <w:rFonts w:cs="Arial"/>
          <w:color w:val="000000"/>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120" w:after="120"/>
        <w:jc w:val="both"/>
        <w:rPr>
          <w:rFonts w:cs="Arial"/>
          <w:color w:val="000000" w:themeColor="text1"/>
          <w:szCs w:val="20"/>
        </w:rPr>
      </w:pPr>
      <w:r>
        <w:rPr>
          <w:rFonts w:cs="Arial"/>
          <w:color w:val="000000"/>
          <w:szCs w:val="20"/>
        </w:rPr>
        <w:t xml:space="preserve"> </w:t>
      </w:r>
      <w:r>
        <w:rPr>
          <w:rFonts w:cs="Arial"/>
          <w:color w:val="000000"/>
          <w:szCs w:val="20"/>
        </w:rPr>
        <w:t>organizações da Sociedade Civil de Interesse Público - OSCIP, atuando nessa condição (Acórdão nº 746/2014-TCU-Plenário); e</w:t>
      </w:r>
    </w:p>
    <w:p>
      <w:pPr>
        <w:pStyle w:val="Normal"/>
        <w:numPr>
          <w:ilvl w:val="2"/>
          <w:numId w:val="1"/>
        </w:numPr>
        <w:spacing w:lineRule="auto" w:line="276" w:before="120" w:after="120"/>
        <w:jc w:val="both"/>
        <w:rPr>
          <w:i w:val="false"/>
          <w:i w:val="false"/>
          <w:iCs w:val="false"/>
          <w:color w:val="auto"/>
        </w:rPr>
      </w:pPr>
      <w:r>
        <w:rPr>
          <w:rFonts w:cs="Arial"/>
          <w:i w:val="false"/>
          <w:iCs w:val="false"/>
          <w:color w:val="auto"/>
          <w:szCs w:val="20"/>
        </w:rPr>
        <w:t xml:space="preserve"> </w:t>
      </w:r>
      <w:r>
        <w:rPr>
          <w:rFonts w:cs="Arial"/>
          <w:i w:val="false"/>
          <w:iCs w:val="false"/>
          <w:color w:val="auto"/>
          <w:szCs w:val="20"/>
        </w:rPr>
        <w:t>sociedades cooperativas.</w:t>
      </w:r>
    </w:p>
    <w:p>
      <w:pPr>
        <w:pStyle w:val="Normal"/>
        <w:numPr>
          <w:ilvl w:val="0"/>
          <w:numId w:val="0"/>
        </w:numPr>
        <w:spacing w:lineRule="auto" w:line="276" w:before="120" w:after="120"/>
        <w:ind w:left="1224" w:hanging="0"/>
        <w:jc w:val="both"/>
        <w:rPr>
          <w:rFonts w:cs="Arial"/>
          <w:szCs w:val="20"/>
        </w:rPr>
      </w:pPr>
      <w:r>
        <w:rPr>
          <w:rFonts w:cs="Arial"/>
          <w:szCs w:val="20"/>
        </w:rPr>
      </w:r>
    </w:p>
    <w:p>
      <w:pPr>
        <w:pStyle w:val="PADRO"/>
        <w:keepNext w:val="false"/>
        <w:widowControl/>
        <w:numPr>
          <w:ilvl w:val="0"/>
          <w:numId w:val="1"/>
        </w:numPr>
        <w:shd w:val="clear" w:color="auto" w:fill="auto"/>
        <w:spacing w:before="120" w:after="120"/>
        <w:rPr>
          <w:rFonts w:ascii="Arial" w:hAnsi="Arial" w:cs="Arial"/>
          <w:b/>
          <w:b/>
        </w:rPr>
      </w:pPr>
      <w:r>
        <w:rPr>
          <w:rFonts w:cs="Arial" w:ascii="Arial" w:hAnsi="Arial"/>
          <w:b/>
        </w:rPr>
        <w:t>INGRESSO NA DISPENSA ELETRÔNICA E CADASTRAMENTO DA PROPOSTA INICIAL</w:t>
      </w:r>
    </w:p>
    <w:p>
      <w:pPr>
        <w:pStyle w:val="Normal"/>
        <w:numPr>
          <w:ilvl w:val="1"/>
          <w:numId w:val="1"/>
        </w:numPr>
        <w:snapToGrid w:val="false"/>
        <w:spacing w:lineRule="auto" w:line="276" w:before="120" w:after="120"/>
        <w:ind w:left="425" w:hanging="0"/>
        <w:jc w:val="both"/>
        <w:rPr>
          <w:rFonts w:cs="Arial"/>
        </w:rPr>
      </w:pPr>
      <w:r>
        <w:rPr>
          <w:rFonts w:cs="Arial"/>
          <w:color w:val="000000" w:themeColor="text1"/>
          <w:szCs w:val="20"/>
        </w:rPr>
        <w:t>O ingresso do fornecedor na disputa da dispensa eletrônica se dará com o cadastramento de sua proposta inicial, na forma deste item.</w:t>
      </w:r>
    </w:p>
    <w:p>
      <w:pPr>
        <w:pStyle w:val="Normal"/>
        <w:numPr>
          <w:ilvl w:val="1"/>
          <w:numId w:val="1"/>
        </w:numPr>
        <w:snapToGrid w:val="false"/>
        <w:spacing w:lineRule="auto" w:line="276" w:before="120" w:after="120"/>
        <w:ind w:left="425" w:hanging="0"/>
        <w:jc w:val="both"/>
        <w:rPr>
          <w:rFonts w:cs="Arial"/>
          <w:color w:val="000000" w:themeColor="text1"/>
          <w:szCs w:val="20"/>
        </w:rPr>
      </w:pPr>
      <w:r>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numPr>
          <w:ilvl w:val="2"/>
          <w:numId w:val="1"/>
        </w:numPr>
        <w:spacing w:lineRule="auto" w:line="276" w:before="120" w:after="120"/>
        <w:jc w:val="both"/>
        <w:rPr>
          <w:rFonts w:cs="Arial"/>
          <w:szCs w:val="20"/>
        </w:rPr>
      </w:pPr>
      <w:r>
        <w:rPr>
          <w:rFonts w:cs="Arial"/>
          <w:szCs w:val="20"/>
        </w:rPr>
        <w:t xml:space="preserve"> </w:t>
      </w:r>
      <w:r>
        <w:rPr>
          <w:rFonts w:cs="Arial"/>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1"/>
          <w:numId w:val="1"/>
        </w:numPr>
        <w:spacing w:lineRule="auto" w:line="276" w:before="120" w:after="120"/>
        <w:ind w:left="425" w:hanging="0"/>
        <w:jc w:val="both"/>
        <w:rPr>
          <w:rFonts w:cs="Arial"/>
          <w:szCs w:val="20"/>
        </w:rPr>
      </w:pPr>
      <w:r>
        <w:rPr>
          <w:rFonts w:cs="Arial"/>
          <w:szCs w:val="20"/>
        </w:rPr>
        <w:t xml:space="preserve">Todas as especificações do </w:t>
      </w:r>
      <w:r>
        <w:rPr>
          <w:rFonts w:cs="Arial"/>
          <w:color w:val="000000" w:themeColor="text1"/>
          <w:szCs w:val="20"/>
        </w:rPr>
        <w:t>objeto</w:t>
      </w:r>
      <w:r>
        <w:rPr>
          <w:rFonts w:cs="Arial"/>
          <w:szCs w:val="20"/>
        </w:rPr>
        <w:t xml:space="preserve"> contidas na proposta, em especial o preço, vinculam a Contratada.</w:t>
      </w:r>
    </w:p>
    <w:p>
      <w:pPr>
        <w:pStyle w:val="Normal"/>
        <w:numPr>
          <w:ilvl w:val="1"/>
          <w:numId w:val="1"/>
        </w:numPr>
        <w:spacing w:lineRule="auto" w:line="276" w:before="120" w:after="120"/>
        <w:ind w:left="425" w:hanging="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1"/>
        </w:numPr>
        <w:spacing w:lineRule="auto" w:line="276" w:before="120" w:after="120"/>
        <w:jc w:val="both"/>
        <w:rPr>
          <w:rFonts w:cs="Arial"/>
          <w:szCs w:val="20"/>
        </w:rPr>
      </w:pPr>
      <w:r>
        <w:rPr>
          <w:rFonts w:cs="Arial"/>
          <w:szCs w:val="20"/>
        </w:rPr>
        <w:t xml:space="preserve"> </w:t>
      </w: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120" w:after="120"/>
        <w:ind w:left="425" w:hanging="0"/>
        <w:jc w:val="both"/>
        <w:rPr>
          <w:rFonts w:cs="Arial"/>
          <w:szCs w:val="20"/>
        </w:rPr>
      </w:pPr>
      <w:r>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1"/>
        </w:numPr>
        <w:spacing w:lineRule="auto" w:line="276" w:before="120" w:after="120"/>
        <w:ind w:left="425" w:hanging="0"/>
        <w:jc w:val="both"/>
        <w:rPr>
          <w:rFonts w:cs="Arial"/>
          <w:szCs w:val="20"/>
        </w:rPr>
      </w:pPr>
      <w:r>
        <w:rPr>
          <w:rFonts w:cs="Arial"/>
          <w:szCs w:val="20"/>
        </w:rPr>
        <w:t>Independentemente do percentual de tributo inserido na planilha, no pagamento serão retidos na fonte os percentuais estabelecidos na legislação vigente.</w:t>
      </w:r>
    </w:p>
    <w:p>
      <w:pPr>
        <w:pStyle w:val="Normal"/>
        <w:numPr>
          <w:ilvl w:val="1"/>
          <w:numId w:val="1"/>
        </w:numPr>
        <w:spacing w:lineRule="auto" w:line="276" w:before="120" w:after="120"/>
        <w:ind w:left="425" w:hanging="0"/>
        <w:jc w:val="both"/>
        <w:rPr>
          <w:rFonts w:cs="Arial"/>
          <w:szCs w:val="20"/>
        </w:rPr>
      </w:pPr>
      <w:r>
        <w:rPr>
          <w:rFonts w:cs="Arial"/>
          <w:szCs w:val="20"/>
        </w:rPr>
        <w:t>A apresentação das propostas implica obrigatoriedade do cumprimento das disposições nelas contidas, em conformidade com o que dis</w:t>
      </w:r>
      <w:r>
        <w:rPr>
          <w:rFonts w:cs="Arial"/>
          <w:i w:val="false"/>
          <w:iCs w:val="false"/>
          <w:color w:val="auto"/>
          <w:szCs w:val="20"/>
        </w:rPr>
        <w:t>põe o Termo de Referência,</w:t>
      </w:r>
      <w:r>
        <w:rPr>
          <w:rFonts w:cs="Arial"/>
          <w:szCs w:val="20"/>
        </w:rPr>
        <w:t xml:space="preserve">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76" w:before="120" w:after="120"/>
        <w:ind w:left="425" w:hanging="0"/>
        <w:jc w:val="both"/>
        <w:rPr>
          <w:rFonts w:cs="Arial"/>
          <w:color w:val="000000" w:themeColor="text1"/>
          <w:szCs w:val="20"/>
        </w:rPr>
      </w:pPr>
      <w:r>
        <w:rPr>
          <w:rFonts w:cs="Arial"/>
          <w:szCs w:val="20"/>
        </w:rPr>
        <w:t xml:space="preserve">Uma vez enviada a proposta no sistema, os fornecedores </w:t>
      </w:r>
      <w:r>
        <w:rPr>
          <w:rFonts w:cs="Arial"/>
          <w:b/>
          <w:bCs/>
          <w:szCs w:val="20"/>
        </w:rPr>
        <w:t>NÃO</w:t>
      </w:r>
      <w:r>
        <w:rPr>
          <w:rFonts w:cs="Arial"/>
          <w:szCs w:val="20"/>
        </w:rPr>
        <w:t xml:space="preserve"> poderão retirá-la, substituí-la ou modificá-la</w:t>
      </w:r>
      <w:r>
        <w:rPr>
          <w:rFonts w:cs="Arial"/>
          <w:color w:val="000000"/>
          <w:szCs w:val="20"/>
        </w:rPr>
        <w:t>;</w:t>
      </w:r>
    </w:p>
    <w:p>
      <w:pPr>
        <w:pStyle w:val="Normal"/>
        <w:numPr>
          <w:ilvl w:val="1"/>
          <w:numId w:val="1"/>
        </w:numPr>
        <w:spacing w:lineRule="auto" w:line="276" w:before="120" w:after="120"/>
        <w:ind w:left="425" w:hanging="0"/>
        <w:jc w:val="both"/>
        <w:rPr>
          <w:rFonts w:cs="Arial"/>
          <w:color w:val="000000" w:themeColor="text1"/>
          <w:szCs w:val="20"/>
        </w:rPr>
      </w:pPr>
      <w:r>
        <w:rPr>
          <w:rFonts w:cs="Arial"/>
          <w:color w:val="000000"/>
          <w:szCs w:val="20"/>
        </w:rPr>
        <w:t xml:space="preserve">No cadastramento da proposta inicial, o fornecedor deverá, também, assinalar “sim” ou “não” em campo </w:t>
      </w:r>
      <w:r>
        <w:rPr>
          <w:rFonts w:cs="Arial"/>
          <w:szCs w:val="20"/>
        </w:rPr>
        <w:t>próprio</w:t>
      </w:r>
      <w:r>
        <w:rPr>
          <w:rFonts w:cs="Arial"/>
          <w:color w:val="000000"/>
          <w:szCs w:val="20"/>
        </w:rPr>
        <w:t xml:space="preserve"> do sistema eletrônico, às seguintes declarações:</w:t>
      </w:r>
      <w:r>
        <w:rPr>
          <w:rFonts w:eastAsia="Zurich BT" w:cs="Arial"/>
          <w:color w:val="000000"/>
          <w:szCs w:val="20"/>
        </w:rPr>
        <w:t xml:space="preserve"> </w:t>
      </w:r>
    </w:p>
    <w:p>
      <w:pPr>
        <w:pStyle w:val="ListParagraph"/>
        <w:numPr>
          <w:ilvl w:val="0"/>
          <w:numId w:val="2"/>
        </w:numPr>
        <w:tabs>
          <w:tab w:val="clear" w:pos="708"/>
          <w:tab w:val="left" w:pos="1440" w:leader="none"/>
        </w:tabs>
        <w:snapToGrid w:val="false"/>
        <w:spacing w:lineRule="auto" w:line="276" w:before="120" w:after="120"/>
        <w:contextualSpacing/>
        <w:jc w:val="both"/>
        <w:rPr>
          <w:rFonts w:cs="Arial"/>
          <w:bCs/>
          <w:vanish/>
          <w:color w:val="000000"/>
          <w:szCs w:val="20"/>
        </w:rPr>
      </w:pPr>
      <w:r>
        <w:rPr>
          <w:rFonts w:cs="Arial"/>
          <w:bCs/>
          <w:vanish/>
          <w:color w:val="000000"/>
          <w:szCs w:val="20"/>
        </w:rPr>
      </w:r>
    </w:p>
    <w:p>
      <w:pPr>
        <w:pStyle w:val="ListParagraph"/>
        <w:numPr>
          <w:ilvl w:val="1"/>
          <w:numId w:val="2"/>
        </w:numPr>
        <w:tabs>
          <w:tab w:val="clear" w:pos="708"/>
          <w:tab w:val="left" w:pos="1440" w:leader="none"/>
        </w:tabs>
        <w:snapToGrid w:val="false"/>
        <w:spacing w:lineRule="auto" w:line="276" w:before="120" w:after="120"/>
        <w:contextualSpacing/>
        <w:jc w:val="both"/>
        <w:rPr>
          <w:rFonts w:cs="Arial"/>
          <w:bCs/>
          <w:vanish/>
          <w:color w:val="000000"/>
          <w:szCs w:val="20"/>
        </w:rPr>
      </w:pPr>
      <w:r>
        <w:rPr>
          <w:rFonts w:cs="Arial"/>
          <w:bCs/>
          <w:vanish/>
          <w:color w:val="000000"/>
          <w:szCs w:val="20"/>
        </w:rPr>
      </w:r>
    </w:p>
    <w:p>
      <w:pPr>
        <w:pStyle w:val="ListParagraph"/>
        <w:numPr>
          <w:ilvl w:val="1"/>
          <w:numId w:val="2"/>
        </w:numPr>
        <w:tabs>
          <w:tab w:val="clear" w:pos="708"/>
          <w:tab w:val="left" w:pos="1440" w:leader="none"/>
        </w:tabs>
        <w:snapToGrid w:val="false"/>
        <w:spacing w:lineRule="auto" w:line="276" w:before="120" w:after="120"/>
        <w:contextualSpacing/>
        <w:jc w:val="both"/>
        <w:rPr>
          <w:rFonts w:cs="Arial"/>
          <w:bCs/>
          <w:vanish/>
          <w:color w:val="000000"/>
          <w:szCs w:val="20"/>
        </w:rPr>
      </w:pPr>
      <w:r>
        <w:rPr>
          <w:rFonts w:cs="Arial"/>
          <w:bCs/>
          <w:vanish/>
          <w:color w:val="000000"/>
          <w:szCs w:val="20"/>
        </w:rPr>
      </w:r>
    </w:p>
    <w:p>
      <w:pPr>
        <w:pStyle w:val="ListParagraph"/>
        <w:numPr>
          <w:ilvl w:val="1"/>
          <w:numId w:val="2"/>
        </w:numPr>
        <w:tabs>
          <w:tab w:val="clear" w:pos="708"/>
          <w:tab w:val="left" w:pos="1440" w:leader="none"/>
        </w:tabs>
        <w:snapToGrid w:val="false"/>
        <w:spacing w:lineRule="auto" w:line="276" w:before="120" w:after="120"/>
        <w:contextualSpacing/>
        <w:jc w:val="both"/>
        <w:rPr>
          <w:rFonts w:cs="Arial"/>
          <w:bCs/>
          <w:vanish/>
          <w:color w:val="000000"/>
          <w:szCs w:val="20"/>
        </w:rPr>
      </w:pPr>
      <w:r>
        <w:rPr>
          <w:rFonts w:cs="Arial"/>
          <w:bCs/>
          <w:vanish/>
          <w:color w:val="000000"/>
          <w:szCs w:val="20"/>
        </w:rPr>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 xml:space="preserve"> </w:t>
      </w:r>
      <w:r>
        <w:rPr>
          <w:rFonts w:cs="Arial"/>
          <w:color w:val="000000" w:themeColor="text1"/>
          <w:szCs w:val="20"/>
        </w:rPr>
        <w:t>que inexistem fatos impeditivos para sua habilitação no certame, ciente da obrigatoriedade de declarar ocorrências posteriores;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 xml:space="preserve"> </w:t>
      </w:r>
      <w:r>
        <w:rPr>
          <w:rFonts w:cs="Arial"/>
          <w:color w:val="000000" w:themeColor="text1"/>
          <w:szCs w:val="20"/>
        </w:rPr>
        <w:t xml:space="preserve">que </w:t>
      </w:r>
      <w:r>
        <w:rPr>
          <w:rFonts w:cs="Arial"/>
          <w:color w:val="000000"/>
          <w:szCs w:val="20"/>
        </w:rPr>
        <w:t>cumpre</w:t>
      </w:r>
      <w:r>
        <w:rPr>
          <w:rFonts w:cs="Arial"/>
          <w:color w:val="000000" w:themeColor="text1"/>
          <w:szCs w:val="20"/>
        </w:rPr>
        <w:t xml:space="preserve"> os requisitos estabelecidos no artigo 3° da Lei Complementar nº 123, de 2006, estando apto a usufruir do tratamento favorecido estabelecido em seus arts. 42 a 49.</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 xml:space="preserve"> </w:t>
      </w:r>
      <w:r>
        <w:rPr>
          <w:rFonts w:cs="Arial"/>
          <w:color w:val="000000" w:themeColor="text1"/>
          <w:szCs w:val="20"/>
        </w:rPr>
        <w:t>que está ciente e concorda com as condições contidas no Aviso de Contratação Direta e seus anexos;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 xml:space="preserve"> </w:t>
      </w:r>
      <w:r>
        <w:rPr>
          <w:rFonts w:cs="Arial"/>
          <w:color w:val="000000" w:themeColor="text1"/>
          <w:szCs w:val="20"/>
        </w:rPr>
        <w:t>que assume a responsabilidade pelas transações que forem efetuadas no sistema, assumindo como firmes e verdadeiras;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 xml:space="preserve"> </w:t>
      </w:r>
      <w:r>
        <w:rPr>
          <w:rFonts w:cs="Arial"/>
          <w:color w:val="000000" w:themeColor="text1"/>
          <w:szCs w:val="20"/>
        </w:rPr>
        <w:t>que cumpre as exigências de reserva de cargos para pessoa com deficiência e para reabilitado da Previdência Social, de que trata o art. 93 da Lei nº 8.213/91.</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 xml:space="preserve"> </w:t>
      </w:r>
      <w:r>
        <w:rPr>
          <w:rFonts w:cs="Arial"/>
          <w:color w:val="000000" w:themeColor="text1"/>
          <w:szCs w:val="20"/>
        </w:rPr>
        <w:t>que não emprega menor de 18 anos em trabalho noturno, perigoso ou insalubre e não emprega menor de 16 anos, salvo menor, a partir de 14 anos, na condição de aprendiz, nos termos do artigo 7°, XXXIII, da Constituição;</w:t>
      </w:r>
    </w:p>
    <w:p>
      <w:pPr>
        <w:pStyle w:val="Normal"/>
        <w:numPr>
          <w:ilvl w:val="0"/>
          <w:numId w:val="0"/>
        </w:numPr>
        <w:spacing w:lineRule="auto" w:line="276" w:before="120" w:after="120"/>
        <w:ind w:left="1224" w:hanging="0"/>
        <w:jc w:val="both"/>
        <w:rPr>
          <w:rFonts w:cs="Arial"/>
          <w:color w:val="000000" w:themeColor="text1"/>
          <w:szCs w:val="20"/>
        </w:rPr>
      </w:pPr>
      <w:r>
        <w:rPr>
          <w:rFonts w:cs="Arial"/>
          <w:color w:val="000000" w:themeColor="text1"/>
          <w:szCs w:val="20"/>
        </w:rPr>
      </w:r>
    </w:p>
    <w:p>
      <w:pPr>
        <w:pStyle w:val="PADRO"/>
        <w:keepNext w:val="false"/>
        <w:widowControl/>
        <w:numPr>
          <w:ilvl w:val="0"/>
          <w:numId w:val="1"/>
        </w:numPr>
        <w:shd w:val="clear" w:color="auto" w:fill="auto"/>
        <w:spacing w:before="120" w:after="120"/>
        <w:rPr>
          <w:rFonts w:ascii="Arial" w:hAnsi="Arial" w:cs="Arial"/>
          <w:b/>
          <w:b/>
        </w:rPr>
      </w:pPr>
      <w:r>
        <w:rPr>
          <w:rFonts w:cs="Arial" w:ascii="Arial" w:hAnsi="Arial"/>
          <w:b/>
        </w:rPr>
        <w:t>FASE DE LANCES</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 xml:space="preserve">A partir das 12:00h da data estabelecida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sendo encerrado no horário de finalização de lances também já previsto neste aviso.</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120" w:after="120"/>
        <w:contextualSpacing/>
        <w:jc w:val="both"/>
        <w:rPr>
          <w:i w:val="false"/>
          <w:i w:val="false"/>
          <w:iCs w:val="false"/>
          <w:color w:val="auto"/>
        </w:rPr>
      </w:pPr>
      <w:r>
        <w:rPr>
          <w:rFonts w:cs="Arial"/>
          <w:i w:val="false"/>
          <w:iCs w:val="false"/>
          <w:color w:val="auto"/>
          <w:szCs w:val="20"/>
        </w:rPr>
        <w:t xml:space="preserve"> </w:t>
      </w:r>
      <w:r>
        <w:rPr>
          <w:rFonts w:cs="Arial"/>
          <w:i w:val="false"/>
          <w:iCs w:val="false"/>
          <w:color w:val="auto"/>
          <w:szCs w:val="20"/>
        </w:rPr>
        <w:t>o lance deverá ser ofertado pelo valor total do item.</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O fornecedor somente poderá oferecer valor inferior ou maior percentual de desconto em relação ao último lance por ele ofertado e registrado pelo sistema.</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 xml:space="preserve"> </w:t>
      </w:r>
      <w:r>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szCs w:val="20"/>
        </w:rPr>
        <w:t xml:space="preserve"> </w:t>
      </w:r>
      <w:r>
        <w:rPr>
          <w:rFonts w:cs="Arial"/>
          <w:szCs w:val="20"/>
        </w:rPr>
        <w:t>o intervalo mínimo de diferença de valores ou percentuais entre os lances, que incidirá tanto em relação aos lances intermediários quanto em relação ao que cobrir a melhor oferta é de R$ 1,00 (um real</w:t>
      </w:r>
      <w:r>
        <w:rPr>
          <w:rFonts w:cs="Arial"/>
          <w:i w:val="false"/>
          <w:iCs w:val="false"/>
          <w:color w:val="auto"/>
          <w:szCs w:val="20"/>
        </w:rPr>
        <w:t>).</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Durante o procedimento, os fornecedores serão informados, em tempo real, do valor do menor lance registrado, vedada a identificação do fornecedor.</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120" w:after="120"/>
        <w:contextualSpacing/>
        <w:jc w:val="both"/>
        <w:rPr>
          <w:rFonts w:cs="Arial"/>
        </w:rPr>
      </w:pPr>
      <w:r>
        <w:rPr>
          <w:rFonts w:cs="Arial"/>
          <w:color w:val="000000" w:themeColor="text1"/>
          <w:szCs w:val="20"/>
          <w:lang w:eastAsia="en-US"/>
        </w:rPr>
        <w:t xml:space="preserve"> </w:t>
      </w:r>
      <w:r>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pPr>
        <w:pStyle w:val="ListParagraph"/>
        <w:numPr>
          <w:ilvl w:val="0"/>
          <w:numId w:val="0"/>
        </w:numPr>
        <w:spacing w:lineRule="auto" w:line="276" w:before="120" w:after="120"/>
        <w:ind w:left="1224" w:hanging="0"/>
        <w:contextualSpacing/>
        <w:jc w:val="both"/>
        <w:rPr>
          <w:rFonts w:cs="Arial"/>
        </w:rPr>
      </w:pPr>
      <w:r>
        <w:rPr>
          <w:rFonts w:cs="Arial"/>
        </w:rPr>
      </w:r>
    </w:p>
    <w:p>
      <w:pPr>
        <w:pStyle w:val="PADRO"/>
        <w:keepNext w:val="false"/>
        <w:widowControl/>
        <w:numPr>
          <w:ilvl w:val="0"/>
          <w:numId w:val="1"/>
        </w:numPr>
        <w:shd w:val="clear" w:color="auto" w:fill="auto"/>
        <w:spacing w:before="120" w:after="120"/>
        <w:rPr>
          <w:rFonts w:ascii="Arial" w:hAnsi="Arial" w:cs="Arial"/>
          <w:b/>
          <w:b/>
        </w:rPr>
      </w:pPr>
      <w:r>
        <w:rPr>
          <w:rFonts w:cs="Arial" w:ascii="Arial" w:hAnsi="Arial"/>
          <w:b/>
        </w:rPr>
        <w:t>JULGAMENTO DAS PROPOSTAS DE PREÇO</w:t>
      </w:r>
    </w:p>
    <w:p>
      <w:pPr>
        <w:pStyle w:val="ListParagraph"/>
        <w:numPr>
          <w:ilvl w:val="1"/>
          <w:numId w:val="1"/>
        </w:numPr>
        <w:spacing w:lineRule="auto" w:line="276" w:before="120" w:after="120"/>
        <w:contextualSpacing/>
        <w:jc w:val="both"/>
        <w:rPr>
          <w:rFonts w:cs="Arial"/>
        </w:rPr>
      </w:pPr>
      <w:r>
        <w:rPr>
          <w:rFonts w:cs="Arial"/>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76" w:before="120" w:after="120"/>
        <w:contextualSpacing/>
        <w:jc w:val="both"/>
        <w:rPr>
          <w:rFonts w:cs="Arial"/>
        </w:rPr>
      </w:pPr>
      <w:r>
        <w:rPr>
          <w:rFonts w:cs="Arial"/>
        </w:rPr>
        <w:t>No caso de o preço da proposta vencedora estar acima do estimado pela Administração, poderá haver a negociação de condições mais vantajosas.</w:t>
      </w:r>
    </w:p>
    <w:p>
      <w:pPr>
        <w:pStyle w:val="ListParagraph"/>
        <w:numPr>
          <w:ilvl w:val="2"/>
          <w:numId w:val="1"/>
        </w:numPr>
        <w:spacing w:lineRule="auto" w:line="276" w:before="120" w:after="120"/>
        <w:contextualSpacing/>
        <w:jc w:val="both"/>
        <w:rPr>
          <w:rFonts w:cs="Arial"/>
        </w:rPr>
      </w:pPr>
      <w:r>
        <w:rPr>
          <w:rFonts w:cs="Arial"/>
          <w:color w:val="000000"/>
          <w:szCs w:val="20"/>
        </w:rPr>
        <w:t xml:space="preserve"> </w:t>
      </w:r>
      <w:r>
        <w:rPr>
          <w:rFonts w:cs="Arial"/>
          <w:color w:val="000000"/>
          <w:szCs w:val="20"/>
        </w:rPr>
        <w:t>neste caso, será encaminhada contraproposta ao fornecedor que tenha apresentado o melhor preço, para que seja obtida melhor proposta com preço compatível ao estimado pela Administração.</w:t>
      </w:r>
    </w:p>
    <w:p>
      <w:pPr>
        <w:pStyle w:val="ListParagraph"/>
        <w:numPr>
          <w:ilvl w:val="2"/>
          <w:numId w:val="1"/>
        </w:numPr>
        <w:spacing w:lineRule="auto" w:line="276" w:before="120" w:after="120"/>
        <w:contextualSpacing/>
        <w:jc w:val="both"/>
        <w:rPr>
          <w:rFonts w:cs="Arial"/>
        </w:rPr>
      </w:pPr>
      <w:r>
        <w:rPr>
          <w:rFonts w:cs="Arial"/>
        </w:rPr>
        <w:t xml:space="preserve"> </w:t>
      </w:r>
      <w:r>
        <w:rPr>
          <w:rFonts w:cs="Arial"/>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1"/>
        </w:numPr>
        <w:spacing w:lineRule="auto" w:line="276" w:before="120" w:after="120"/>
        <w:contextualSpacing/>
        <w:jc w:val="both"/>
        <w:rPr>
          <w:rFonts w:cs="Arial"/>
        </w:rPr>
      </w:pPr>
      <w:r>
        <w:rPr>
          <w:rFonts w:cs="Arial"/>
        </w:rPr>
        <w:t xml:space="preserve"> </w:t>
      </w:r>
      <w:r>
        <w:rPr>
          <w:rFonts w:cs="Arial"/>
        </w:rPr>
        <w:t>em qualquer caso, concluída a negociação, o resultado será registrado na ata do procedimento da dispensa eletrônica.</w:t>
      </w:r>
    </w:p>
    <w:p>
      <w:pPr>
        <w:pStyle w:val="ListParagraph"/>
        <w:numPr>
          <w:ilvl w:val="1"/>
          <w:numId w:val="1"/>
        </w:numPr>
        <w:spacing w:lineRule="auto" w:line="276" w:before="120" w:after="120"/>
        <w:contextualSpacing/>
        <w:jc w:val="both"/>
        <w:rPr>
          <w:rFonts w:cs="Arial"/>
        </w:rPr>
      </w:pPr>
      <w:r>
        <w:rPr>
          <w:rFonts w:cs="Arial"/>
        </w:rPr>
        <w:t>Estando o preço compatível, será solicitado o envio da proposta e, se necessário, de documentos complementares, adequada ao último lance.</w:t>
      </w:r>
    </w:p>
    <w:p>
      <w:pPr>
        <w:pStyle w:val="Normal"/>
        <w:numPr>
          <w:ilvl w:val="1"/>
          <w:numId w:val="1"/>
        </w:numPr>
        <w:spacing w:lineRule="auto" w:line="276" w:before="120" w:after="120"/>
        <w:jc w:val="both"/>
        <w:rPr>
          <w:rFonts w:cs="Arial"/>
          <w:color w:val="000000" w:themeColor="text1"/>
          <w:szCs w:val="20"/>
        </w:rPr>
      </w:pPr>
      <w:r>
        <w:rPr>
          <w:rFonts w:cs="Arial"/>
          <w:color w:val="000000" w:themeColor="text1"/>
          <w:szCs w:val="20"/>
        </w:rPr>
        <w:t xml:space="preserve">O prazo de validade </w:t>
      </w:r>
      <w:r>
        <w:rPr>
          <w:rFonts w:cs="Arial"/>
          <w:szCs w:val="20"/>
        </w:rPr>
        <w:t>da</w:t>
      </w:r>
      <w:r>
        <w:rPr>
          <w:rFonts w:cs="Arial"/>
          <w:color w:val="000000" w:themeColor="text1"/>
          <w:szCs w:val="20"/>
        </w:rPr>
        <w:t xml:space="preserve"> proposta não será inferior a 30 (trinta) dias</w:t>
      </w:r>
      <w:r>
        <w:rPr>
          <w:rFonts w:cs="Arial"/>
          <w:b/>
          <w:bCs/>
          <w:color w:val="000000" w:themeColor="text1"/>
          <w:szCs w:val="20"/>
        </w:rPr>
        <w:t>,</w:t>
      </w:r>
      <w:r>
        <w:rPr>
          <w:rFonts w:cs="Arial"/>
          <w:color w:val="000000" w:themeColor="text1"/>
          <w:szCs w:val="20"/>
        </w:rPr>
        <w:t xml:space="preserve"> a contar da data de sua apresentação.</w:t>
      </w:r>
    </w:p>
    <w:p>
      <w:pPr>
        <w:pStyle w:val="ListParagraph"/>
        <w:numPr>
          <w:ilvl w:val="1"/>
          <w:numId w:val="1"/>
        </w:numPr>
        <w:spacing w:lineRule="auto" w:line="276" w:before="120" w:after="120"/>
        <w:contextualSpacing/>
        <w:jc w:val="both"/>
        <w:rPr>
          <w:rFonts w:cs="Arial"/>
          <w:i/>
          <w:i/>
          <w:color w:val="000000" w:themeColor="text1"/>
          <w:szCs w:val="20"/>
        </w:rPr>
      </w:pPr>
      <w:r>
        <w:rPr>
          <w:rFonts w:cs="Arial"/>
          <w:color w:val="000000" w:themeColor="text1"/>
          <w:szCs w:val="20"/>
          <w:lang w:eastAsia="en-US"/>
        </w:rPr>
        <w:t xml:space="preserve">Será desclassificada a proposta vencedora que: </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 xml:space="preserve"> </w:t>
      </w:r>
      <w:r>
        <w:rPr>
          <w:rFonts w:cs="Arial"/>
          <w:color w:val="000000"/>
          <w:szCs w:val="20"/>
        </w:rPr>
        <w:t>contiver vícios insanáveis</w:t>
      </w:r>
      <w:r>
        <w:rPr>
          <w:rFonts w:cs="Arial"/>
          <w:iCs/>
          <w:color w:val="000000" w:themeColor="text1"/>
          <w:szCs w:val="20"/>
        </w:rPr>
        <w:t>;</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 xml:space="preserve"> </w:t>
      </w:r>
      <w:r>
        <w:rPr>
          <w:rFonts w:cs="Arial"/>
          <w:color w:val="000000"/>
          <w:szCs w:val="20"/>
        </w:rPr>
        <w:t>não obedecer às especificações técnicas pormenorizadas neste aviso ou em seus anexos</w:t>
      </w:r>
      <w:r>
        <w:rPr>
          <w:rFonts w:cs="Arial"/>
          <w:iCs/>
          <w:color w:val="000000" w:themeColor="text1"/>
          <w:szCs w:val="20"/>
        </w:rPr>
        <w:t>;</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 xml:space="preserve"> </w:t>
      </w:r>
      <w:r>
        <w:rPr>
          <w:rFonts w:cs="Arial"/>
          <w:color w:val="000000"/>
          <w:szCs w:val="20"/>
        </w:rPr>
        <w:t>apresentar preços inexequíveis ou permanecerem acima do preço máximo definido para a contratação;</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 xml:space="preserve"> </w:t>
      </w:r>
      <w:r>
        <w:rPr>
          <w:rFonts w:cs="Arial"/>
          <w:color w:val="000000"/>
          <w:szCs w:val="20"/>
        </w:rPr>
        <w:t>não tiverem sua exequibilidade demonstrada, quando exigido pela Administração</w:t>
      </w:r>
      <w:r>
        <w:rPr>
          <w:rFonts w:cs="Arial"/>
          <w:iCs/>
          <w:color w:val="000000" w:themeColor="text1"/>
          <w:szCs w:val="20"/>
        </w:rPr>
        <w:t>;</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 xml:space="preserve"> </w:t>
      </w:r>
      <w:r>
        <w:rPr>
          <w:rFonts w:cs="Arial"/>
          <w:color w:val="000000"/>
          <w:szCs w:val="20"/>
        </w:rPr>
        <w:t>apresentar desconformidade com quaisquer outras exigências deste aviso ou seus anexos, desde que insanável.</w:t>
      </w:r>
    </w:p>
    <w:p>
      <w:pPr>
        <w:pStyle w:val="ListParagraph"/>
        <w:numPr>
          <w:ilvl w:val="1"/>
          <w:numId w:val="1"/>
        </w:numPr>
        <w:spacing w:lineRule="auto" w:line="276" w:before="120" w:after="120"/>
        <w:contextualSpacing/>
        <w:jc w:val="both"/>
        <w:rPr>
          <w:rFonts w:cs="Arial"/>
          <w:i/>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76" w:before="120" w:after="120"/>
        <w:contextualSpacing/>
        <w:jc w:val="both"/>
        <w:rPr>
          <w:rFonts w:cs="Arial"/>
          <w:i/>
          <w:i/>
          <w:color w:val="000000" w:themeColor="text1"/>
          <w:szCs w:val="20"/>
        </w:rPr>
      </w:pPr>
      <w:r>
        <w:rPr>
          <w:rFonts w:cs="Arial"/>
          <w:szCs w:val="20"/>
        </w:rPr>
        <w:t xml:space="preserve"> </w:t>
      </w: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76" w:before="120" w:after="120"/>
        <w:contextualSpacing/>
        <w:jc w:val="both"/>
        <w:rPr>
          <w:rFonts w:cs="Arial"/>
          <w:color w:val="000000" w:themeColor="text1"/>
          <w:szCs w:val="20"/>
        </w:rPr>
      </w:pPr>
      <w:r>
        <w:rPr>
          <w:rFonts w:cs="Arial"/>
          <w:szCs w:val="20"/>
        </w:rPr>
        <w:t xml:space="preserve"> </w:t>
      </w: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1"/>
        </w:numPr>
        <w:spacing w:lineRule="auto" w:line="276" w:before="120" w:after="120"/>
        <w:ind w:left="792" w:right="-15" w:hanging="432"/>
        <w:contextualSpacing/>
        <w:jc w:val="both"/>
        <w:rPr>
          <w:rFonts w:cs="Arial"/>
          <w:color w:val="000000" w:themeColor="text1"/>
          <w:szCs w:val="20"/>
          <w:lang w:eastAsia="en-US"/>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xml:space="preserve">, poderão ser efetuadas diligências, para que a empresa comprove a exequibilidade da proposta. </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 xml:space="preserve">Erros no preenchimento da planilha não constituem motivo para a desclassificação da proposta. A planilha </w:t>
      </w:r>
      <w:r>
        <w:rPr>
          <w:rFonts w:cs="Arial"/>
          <w:szCs w:val="20"/>
        </w:rPr>
        <w:t>poderá</w:t>
      </w:r>
      <w:r>
        <w:rPr>
          <w:rFonts w:cs="Arial"/>
          <w:color w:val="000000" w:themeColor="text1"/>
          <w:szCs w:val="20"/>
          <w:lang w:eastAsia="en-US"/>
        </w:rPr>
        <w:t xml:space="preserve"> ser ajustada pelo fornecedor, no prazo indicado pelo sistema, desde que não haja majoração do preço.</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 xml:space="preserve"> </w:t>
      </w:r>
      <w:r>
        <w:rPr>
          <w:rFonts w:cs="Arial"/>
          <w:color w:val="000000" w:themeColor="text1"/>
          <w:szCs w:val="20"/>
          <w:lang w:eastAsia="en-US"/>
        </w:rPr>
        <w:t>o ajuste de que trata este dispositivo se limita a sanar erros ou falhas que não alterem a substância das propostas;</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 xml:space="preserve"> </w:t>
      </w:r>
      <w:r>
        <w:rPr>
          <w:rFonts w:cs="Arial"/>
          <w:color w:val="000000" w:themeColor="text1"/>
          <w:szCs w:val="20"/>
          <w:lang w:eastAsia="en-US"/>
        </w:rPr>
        <w:t>considera-se erro no preenchimento da planilha passível de correção a indicação de recolhimento de impostos e contribuições na forma do Simples Nacional, quando não cabível esse regime.</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Encerrada a análise quanto à aceitação da proposta, se iniciará a fase de habilitação, observado o disposto neste Aviso de Contratação Direta.</w:t>
      </w:r>
    </w:p>
    <w:p>
      <w:pPr>
        <w:pStyle w:val="ListParagraph"/>
        <w:numPr>
          <w:ilvl w:val="0"/>
          <w:numId w:val="0"/>
        </w:numPr>
        <w:spacing w:lineRule="auto" w:line="276" w:before="120" w:after="120"/>
        <w:ind w:left="792" w:hanging="0"/>
        <w:contextualSpacing/>
        <w:jc w:val="both"/>
        <w:rPr>
          <w:rFonts w:cs="Arial"/>
          <w:color w:val="000000" w:themeColor="text1"/>
          <w:szCs w:val="20"/>
          <w:lang w:eastAsia="en-US"/>
        </w:rPr>
      </w:pPr>
      <w:r>
        <w:rPr>
          <w:rFonts w:cs="Arial"/>
          <w:color w:val="000000" w:themeColor="text1"/>
          <w:szCs w:val="20"/>
          <w:lang w:eastAsia="en-US"/>
        </w:rPr>
      </w:r>
    </w:p>
    <w:p>
      <w:pPr>
        <w:pStyle w:val="PADRO"/>
        <w:keepNext w:val="false"/>
        <w:widowControl/>
        <w:numPr>
          <w:ilvl w:val="0"/>
          <w:numId w:val="1"/>
        </w:numPr>
        <w:shd w:val="clear" w:color="auto" w:fill="auto"/>
        <w:spacing w:before="120" w:after="120"/>
        <w:rPr>
          <w:rFonts w:ascii="Arial" w:hAnsi="Arial" w:cs="Arial"/>
          <w:b/>
          <w:b/>
        </w:rPr>
      </w:pPr>
      <w:r>
        <w:rPr>
          <w:rFonts w:cs="Arial" w:ascii="Arial" w:hAnsi="Arial"/>
          <w:b/>
        </w:rPr>
        <w:t>HABILITAÇÃO</w:t>
      </w:r>
    </w:p>
    <w:p>
      <w:pPr>
        <w:pStyle w:val="ListParagraph"/>
        <w:numPr>
          <w:ilvl w:val="1"/>
          <w:numId w:val="1"/>
        </w:numPr>
        <w:spacing w:lineRule="auto" w:line="276" w:before="120" w:after="120"/>
        <w:ind w:left="792" w:hanging="574"/>
        <w:contextualSpacing/>
        <w:jc w:val="both"/>
        <w:rPr>
          <w:rFonts w:cs="Arial"/>
          <w:b/>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 constam do </w:t>
      </w:r>
      <w:r>
        <w:rPr>
          <w:rFonts w:cs="Arial"/>
          <w:b/>
          <w:szCs w:val="20"/>
          <w:lang w:eastAsia="ar-SA"/>
        </w:rPr>
        <w:t xml:space="preserve">ANEXO I – DOCUMENTAÇÃO EXIGIDA PARA HABILITAÇÃO </w:t>
      </w:r>
      <w:r>
        <w:rPr>
          <w:rFonts w:cs="Arial"/>
          <w:szCs w:val="20"/>
          <w:lang w:eastAsia="ar-SA"/>
        </w:rPr>
        <w:t>deste aviso e serão solicitados do fornecedor mais bem classificado da fase de lances.</w:t>
      </w:r>
    </w:p>
    <w:p>
      <w:pPr>
        <w:pStyle w:val="ListParagraph"/>
        <w:numPr>
          <w:ilvl w:val="1"/>
          <w:numId w:val="1"/>
        </w:numPr>
        <w:spacing w:lineRule="auto" w:line="276" w:before="120" w:after="120"/>
        <w:ind w:left="792" w:hanging="574"/>
        <w:contextualSpacing/>
        <w:jc w:val="both"/>
        <w:rPr>
          <w:rFonts w:cs="Arial"/>
          <w:b/>
          <w:b/>
          <w:szCs w:val="20"/>
          <w:lang w:eastAsia="ar-SA"/>
        </w:rPr>
      </w:pPr>
      <w:r>
        <w:rPr>
          <w:rFonts w:cs="Arial"/>
          <w:szCs w:val="20"/>
          <w:lang w:eastAsia="ar-SA"/>
        </w:rPr>
        <w:t xml:space="preserve">Como </w:t>
      </w:r>
      <w:r>
        <w:rPr>
          <w:rFonts w:cs="Arial"/>
          <w:color w:val="000000"/>
          <w:szCs w:val="20"/>
        </w:rPr>
        <w:t>condição</w:t>
      </w:r>
      <w:r>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pPr>
        <w:pStyle w:val="ListParagraph"/>
        <w:spacing w:lineRule="auto" w:line="276" w:before="120" w:after="120"/>
        <w:ind w:left="1134" w:hanging="0"/>
        <w:contextualSpacing/>
        <w:jc w:val="both"/>
        <w:rPr>
          <w:rFonts w:cs="Arial"/>
          <w:szCs w:val="20"/>
          <w:lang w:eastAsia="ar-SA"/>
        </w:rPr>
      </w:pPr>
      <w:r>
        <w:rPr>
          <w:rFonts w:cs="Arial"/>
          <w:szCs w:val="20"/>
          <w:lang w:eastAsia="ar-SA"/>
        </w:rPr>
        <w:t>a) SICAF;</w:t>
      </w:r>
    </w:p>
    <w:p>
      <w:pPr>
        <w:pStyle w:val="ListParagraph"/>
        <w:spacing w:lineRule="auto" w:line="276" w:before="120" w:after="120"/>
        <w:ind w:left="1134" w:hanging="0"/>
        <w:contextualSpacing/>
        <w:jc w:val="both"/>
        <w:rPr>
          <w:rFonts w:cs="Arial"/>
          <w:szCs w:val="20"/>
          <w:lang w:eastAsia="ar-SA"/>
        </w:rPr>
      </w:pPr>
      <w:r>
        <w:rPr>
          <w:rFonts w:cs="Arial"/>
          <w:szCs w:val="20"/>
          <w:lang w:eastAsia="ar-SA"/>
        </w:rPr>
        <w:t>b) Cadastro Nacional de Empresas Inidôneas e Suspensas - CEIS, mantido pela Controladoria-Geral da União (</w:t>
      </w:r>
      <w:hyperlink r:id="rId3">
        <w:r>
          <w:rPr>
            <w:rStyle w:val="LinkdaInternet"/>
            <w:rFonts w:eastAsia="Calibri" w:cs="Arial"/>
            <w:lang w:eastAsia="ar-SA"/>
          </w:rPr>
          <w:t>www.portaldatransparencia.gov.br/ceis</w:t>
        </w:r>
      </w:hyperlink>
      <w:r>
        <w:rPr>
          <w:rFonts w:cs="Arial"/>
          <w:szCs w:val="20"/>
          <w:lang w:eastAsia="ar-SA"/>
        </w:rPr>
        <w:t>);</w:t>
      </w:r>
    </w:p>
    <w:p>
      <w:pPr>
        <w:pStyle w:val="ListParagraph"/>
        <w:spacing w:lineRule="auto" w:line="276" w:before="120" w:after="120"/>
        <w:ind w:left="1134" w:hanging="0"/>
        <w:contextualSpacing/>
        <w:jc w:val="both"/>
        <w:rPr>
          <w:rFonts w:cs="Arial"/>
          <w:szCs w:val="20"/>
          <w:lang w:eastAsia="ar-SA"/>
        </w:rPr>
      </w:pPr>
      <w:r>
        <w:rPr>
          <w:rFonts w:cs="Arial"/>
          <w:szCs w:val="20"/>
          <w:lang w:eastAsia="ar-SA"/>
        </w:rPr>
        <w:t>c) Cadastro Nacional de Condenações Cíveis por Atos de Improbidade Administrativa, mantido pelo Conselho Nacional de Justiça (</w:t>
      </w:r>
      <w:hyperlink r:id="rId4">
        <w:r>
          <w:rPr>
            <w:rStyle w:val="LinkdaInternet"/>
            <w:rFonts w:eastAsia="Calibri" w:cs="Arial"/>
            <w:lang w:eastAsia="ar-SA"/>
          </w:rPr>
          <w:t>www.cnj.jus.br/improbidade_adm/consultar_requerido.php</w:t>
        </w:r>
      </w:hyperlink>
      <w:r>
        <w:rPr>
          <w:rFonts w:cs="Arial"/>
          <w:szCs w:val="20"/>
          <w:lang w:eastAsia="ar-SA"/>
        </w:rPr>
        <w:t>).</w:t>
      </w:r>
    </w:p>
    <w:p>
      <w:pPr>
        <w:pStyle w:val="ListParagraph"/>
        <w:spacing w:lineRule="auto" w:line="276" w:before="120" w:after="120"/>
        <w:ind w:left="1134" w:hanging="0"/>
        <w:contextualSpacing/>
        <w:jc w:val="both"/>
        <w:rPr>
          <w:rFonts w:cs="Arial"/>
          <w:szCs w:val="20"/>
          <w:lang w:eastAsia="ar-SA"/>
        </w:rPr>
      </w:pPr>
      <w:r>
        <w:rPr>
          <w:rFonts w:cs="Arial"/>
          <w:szCs w:val="20"/>
          <w:lang w:eastAsia="ar-SA"/>
        </w:rPr>
        <w:t xml:space="preserve">d) Lista de Inidôneos mantida pelo Tribunal de Contas da União - TCU; </w:t>
      </w:r>
    </w:p>
    <w:p>
      <w:pPr>
        <w:pStyle w:val="ListParagraph"/>
        <w:numPr>
          <w:ilvl w:val="2"/>
          <w:numId w:val="1"/>
        </w:numPr>
        <w:spacing w:lineRule="auto" w:line="276" w:before="120" w:after="120"/>
        <w:contextualSpacing/>
        <w:jc w:val="both"/>
        <w:rPr>
          <w:rFonts w:cs="Arial"/>
          <w:b/>
          <w:b/>
          <w:szCs w:val="20"/>
        </w:rPr>
      </w:pPr>
      <w:r>
        <w:rPr>
          <w:rFonts w:cs="Arial"/>
          <w:szCs w:val="20"/>
          <w:lang w:eastAsia="ar-SA"/>
        </w:rPr>
        <w:t xml:space="preserve"> </w:t>
      </w:r>
      <w:r>
        <w:rPr>
          <w:rFonts w:cs="Arial"/>
          <w:szCs w:val="20"/>
          <w:lang w:eastAsia="ar-SA"/>
        </w:rPr>
        <w:t xml:space="preserve">para a consulta de </w:t>
      </w:r>
      <w:r>
        <w:rPr>
          <w:rFonts w:cs="Arial"/>
          <w:color w:val="000000" w:themeColor="text1"/>
          <w:szCs w:val="20"/>
        </w:rPr>
        <w:t>fornecedores</w:t>
      </w:r>
      <w:r>
        <w:rPr>
          <w:rFonts w:cs="Arial"/>
          <w:szCs w:val="20"/>
          <w:lang w:eastAsia="ar-SA"/>
        </w:rPr>
        <w:t xml:space="preserve"> pessoa jurídica poderá haver a substituição das consultas das alíneas “b”, “c” e “d” acima pela Consulta Consolidada de Pessoa Jurídica do TCU (https://certidoesapf.apps.tcu.gov.br/)</w:t>
      </w:r>
      <w:r>
        <w:rPr>
          <w:rFonts w:cs="Arial"/>
          <w:szCs w:val="24"/>
          <w:lang w:eastAsia="ar-SA"/>
        </w:rPr>
        <w:t>.</w:t>
      </w:r>
    </w:p>
    <w:p>
      <w:pPr>
        <w:pStyle w:val="ListParagraph"/>
        <w:numPr>
          <w:ilvl w:val="2"/>
          <w:numId w:val="1"/>
        </w:numPr>
        <w:spacing w:lineRule="auto" w:line="276" w:before="120" w:after="120"/>
        <w:contextualSpacing/>
        <w:jc w:val="both"/>
        <w:rPr>
          <w:rFonts w:cs="Arial"/>
          <w:szCs w:val="20"/>
        </w:rPr>
      </w:pPr>
      <w:r>
        <w:rPr>
          <w:rFonts w:cs="Arial"/>
          <w:color w:val="000000" w:themeColor="text1"/>
          <w:szCs w:val="20"/>
        </w:rPr>
        <w:t xml:space="preserve"> </w:t>
      </w:r>
      <w:r>
        <w:rPr>
          <w:rFonts w:cs="Arial"/>
          <w:color w:val="000000" w:themeColor="text1"/>
          <w:szCs w:val="20"/>
        </w:rPr>
        <w:t xml:space="preserve">a consulta aos </w:t>
      </w:r>
      <w:r>
        <w:rPr>
          <w:rFonts w:cs="Arial"/>
          <w:szCs w:val="20"/>
          <w:lang w:eastAsia="ar-SA"/>
        </w:rPr>
        <w:t>cadastros</w:t>
      </w:r>
      <w:r>
        <w:rPr>
          <w:rFonts w:cs="Arial"/>
          <w:color w:val="000000" w:themeColor="text1"/>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1"/>
        </w:numPr>
        <w:spacing w:lineRule="auto" w:line="276" w:before="120" w:after="120"/>
        <w:contextualSpacing/>
        <w:jc w:val="both"/>
        <w:rPr>
          <w:rFonts w:cs="Arial"/>
          <w:szCs w:val="20"/>
        </w:rPr>
      </w:pPr>
      <w:r>
        <w:rPr>
          <w:rFonts w:cs="Arial"/>
          <w:color w:val="000000" w:themeColor="text1"/>
          <w:szCs w:val="20"/>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1"/>
        </w:numPr>
        <w:spacing w:lineRule="auto" w:line="276" w:before="120" w:after="120"/>
        <w:contextualSpacing/>
        <w:jc w:val="both"/>
        <w:rPr>
          <w:rFonts w:cs="Arial"/>
          <w:color w:val="000000" w:themeColor="text1"/>
          <w:szCs w:val="20"/>
        </w:rPr>
      </w:pPr>
      <w:r>
        <w:rPr>
          <w:rFonts w:cs="Arial"/>
          <w:color w:val="000000" w:themeColor="text1"/>
          <w:szCs w:val="20"/>
        </w:rPr>
        <w:t>a tentativa de burla será verificada por meio dos vínculos societários, linhas de fornecimento similares, dentre outros.</w:t>
      </w:r>
    </w:p>
    <w:p>
      <w:pPr>
        <w:pStyle w:val="ListParagraph"/>
        <w:numPr>
          <w:ilvl w:val="4"/>
          <w:numId w:val="1"/>
        </w:numPr>
        <w:spacing w:lineRule="auto" w:line="276" w:before="120" w:after="120"/>
        <w:contextualSpacing/>
        <w:jc w:val="both"/>
        <w:rPr>
          <w:rFonts w:cs="Arial"/>
          <w:szCs w:val="20"/>
        </w:rPr>
      </w:pPr>
      <w:r>
        <w:rPr>
          <w:rFonts w:cs="Arial"/>
          <w:color w:val="000000" w:themeColor="text1"/>
          <w:szCs w:val="20"/>
        </w:rPr>
        <w:t>o fornecedor será convocado para manifestação previamente à sua desclassificação</w:t>
      </w:r>
    </w:p>
    <w:p>
      <w:pPr>
        <w:pStyle w:val="ListParagraph"/>
        <w:numPr>
          <w:ilvl w:val="2"/>
          <w:numId w:val="1"/>
        </w:numPr>
        <w:spacing w:lineRule="auto" w:line="276" w:before="120" w:after="120"/>
        <w:contextualSpacing/>
        <w:jc w:val="both"/>
        <w:rPr>
          <w:rFonts w:cs="Arial"/>
          <w:szCs w:val="20"/>
        </w:rPr>
      </w:pPr>
      <w:r>
        <w:rPr>
          <w:rFonts w:cs="Arial"/>
          <w:color w:val="000000" w:themeColor="text1"/>
          <w:szCs w:val="20"/>
        </w:rPr>
        <w:t xml:space="preserve"> </w:t>
      </w:r>
      <w:r>
        <w:rPr>
          <w:rFonts w:cs="Arial"/>
          <w:color w:val="000000" w:themeColor="text1"/>
          <w:szCs w:val="20"/>
        </w:rPr>
        <w:t>constatada a existência de sanção, o fornecedor será reputado inabilitado, por falta de condição de participação.</w:t>
      </w:r>
    </w:p>
    <w:p>
      <w:pPr>
        <w:pStyle w:val="ListParagraph"/>
        <w:numPr>
          <w:ilvl w:val="1"/>
          <w:numId w:val="1"/>
        </w:numPr>
        <w:spacing w:lineRule="auto" w:line="276" w:before="120" w:after="120"/>
        <w:ind w:left="792" w:hanging="574"/>
        <w:contextualSpacing/>
        <w:jc w:val="both"/>
        <w:rPr>
          <w:rFonts w:cs="Arial"/>
          <w:szCs w:val="20"/>
        </w:rPr>
      </w:pPr>
      <w:r>
        <w:rPr>
          <w:rFonts w:cs="Arial"/>
          <w:color w:val="000000" w:themeColor="text1"/>
          <w:szCs w:val="20"/>
        </w:rPr>
        <w:t xml:space="preserve">Caso atendidas as condições de participação, </w:t>
      </w:r>
      <w:r>
        <w:rPr>
          <w:rFonts w:cs="Arial"/>
          <w:szCs w:val="20"/>
        </w:rPr>
        <w:t>a habilitação dos fornecedores será verificada por meio do SICAF, nos documentos por ele abrangidos</w:t>
      </w:r>
      <w:r>
        <w:rPr>
          <w:rFonts w:cs="Arial"/>
          <w:color w:val="000000" w:themeColor="text1"/>
          <w:szCs w:val="20"/>
        </w:rPr>
        <w:t>.</w:t>
      </w:r>
    </w:p>
    <w:p>
      <w:pPr>
        <w:pStyle w:val="ListParagraph"/>
        <w:numPr>
          <w:ilvl w:val="2"/>
          <w:numId w:val="1"/>
        </w:numPr>
        <w:spacing w:lineRule="auto" w:line="276" w:before="120" w:after="120"/>
        <w:contextualSpacing/>
        <w:jc w:val="both"/>
        <w:rPr>
          <w:rFonts w:cs="Arial"/>
          <w:color w:val="000000" w:themeColor="text1"/>
          <w:szCs w:val="20"/>
        </w:rPr>
      </w:pPr>
      <w:r>
        <w:rPr>
          <w:rFonts w:cs="Arial"/>
          <w:color w:val="000000" w:themeColor="text1"/>
          <w:szCs w:val="20"/>
        </w:rPr>
        <w:t xml:space="preserve"> </w:t>
      </w:r>
      <w:r>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spacing w:lineRule="auto" w:line="276" w:before="120" w:after="120"/>
        <w:contextualSpacing/>
        <w:jc w:val="both"/>
        <w:rPr>
          <w:rFonts w:cs="Arial"/>
          <w:color w:val="000000" w:themeColor="text1"/>
          <w:szCs w:val="20"/>
        </w:rPr>
      </w:pPr>
      <w:r>
        <w:rPr>
          <w:rFonts w:cs="Arial"/>
          <w:color w:val="000000" w:themeColor="text1"/>
          <w:szCs w:val="20"/>
        </w:rPr>
        <w:t xml:space="preserve"> </w:t>
      </w:r>
      <w:r>
        <w:rPr>
          <w:rFonts w:cs="Arial"/>
          <w:color w:val="000000" w:themeColor="text1"/>
          <w:szCs w:val="20"/>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1"/>
        </w:numPr>
        <w:spacing w:lineRule="auto" w:line="276" w:before="120" w:after="120"/>
        <w:ind w:left="792" w:hanging="574"/>
        <w:contextualSpacing/>
        <w:jc w:val="both"/>
        <w:rPr>
          <w:rFonts w:cs="Arial"/>
          <w:color w:val="000000" w:themeColor="text1"/>
          <w:szCs w:val="20"/>
        </w:rPr>
      </w:pPr>
      <w:r>
        <w:rPr>
          <w:rFonts w:cs="Arial"/>
          <w:color w:val="000000" w:themeColor="text1"/>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1"/>
        </w:numPr>
        <w:spacing w:lineRule="auto" w:line="276" w:before="120" w:after="120"/>
        <w:ind w:left="792" w:hanging="574"/>
        <w:contextualSpacing/>
        <w:jc w:val="both"/>
        <w:rPr>
          <w:rFonts w:cs="Arial"/>
          <w:color w:val="000000" w:themeColor="text1"/>
          <w:szCs w:val="20"/>
        </w:rPr>
      </w:pPr>
      <w:r>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1"/>
        </w:numPr>
        <w:spacing w:lineRule="auto" w:line="276" w:before="120" w:after="120"/>
        <w:ind w:left="792" w:hanging="574"/>
        <w:contextualSpacing/>
        <w:jc w:val="both"/>
        <w:rPr>
          <w:rFonts w:cs="Arial"/>
          <w:b/>
          <w:b/>
          <w:bCs/>
          <w:szCs w:val="20"/>
        </w:rPr>
      </w:pPr>
      <w:r>
        <w:rPr>
          <w:rFonts w:cs="Arial"/>
          <w:bCs/>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1"/>
          <w:numId w:val="1"/>
        </w:numPr>
        <w:spacing w:lineRule="auto" w:line="276" w:before="120" w:after="120"/>
        <w:ind w:left="792" w:hanging="574"/>
        <w:contextualSpacing/>
        <w:jc w:val="both"/>
        <w:rPr>
          <w:rFonts w:cs="Arial"/>
          <w:bCs/>
          <w:szCs w:val="20"/>
        </w:rPr>
      </w:pPr>
      <w:r>
        <w:rPr>
          <w:rFonts w:cs="Arial"/>
          <w:bCs/>
          <w:szCs w:val="20"/>
        </w:rPr>
        <w:t xml:space="preserve">Havendo </w:t>
      </w:r>
      <w:r>
        <w:rPr>
          <w:rFonts w:cs="Arial"/>
          <w:iCs/>
          <w:lang w:eastAsia="en-US"/>
        </w:rPr>
        <w:t>necessidade</w:t>
      </w:r>
      <w:r>
        <w:rPr>
          <w:rFonts w:cs="Arial"/>
          <w:bCs/>
          <w:szCs w:val="20"/>
        </w:rPr>
        <w:t xml:space="preserve"> de analisar minuciosamente os documentos exigidos, a sessão será suspensa, sendo informada a nova data e horário para a sua continuidade.</w:t>
      </w:r>
    </w:p>
    <w:p>
      <w:pPr>
        <w:pStyle w:val="ListParagraph"/>
        <w:numPr>
          <w:ilvl w:val="1"/>
          <w:numId w:val="1"/>
        </w:numPr>
        <w:spacing w:lineRule="auto" w:line="276" w:before="120" w:after="120"/>
        <w:ind w:left="792" w:hanging="574"/>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lang w:eastAsia="en-U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pPr>
        <w:pStyle w:val="ListParagraph"/>
        <w:numPr>
          <w:ilvl w:val="2"/>
          <w:numId w:val="1"/>
        </w:numPr>
        <w:spacing w:lineRule="auto" w:line="276" w:before="120" w:after="120"/>
        <w:contextualSpacing/>
        <w:jc w:val="both"/>
        <w:rPr>
          <w:rFonts w:cs="Arial"/>
          <w:color w:val="000000"/>
          <w:szCs w:val="20"/>
        </w:rPr>
      </w:pPr>
      <w:r>
        <w:rPr>
          <w:rFonts w:cs="Arial"/>
          <w:color w:val="000000"/>
          <w:szCs w:val="20"/>
        </w:rPr>
        <w:t xml:space="preserve"> </w:t>
      </w: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spacing w:lineRule="auto" w:line="276" w:before="120" w:after="120"/>
        <w:ind w:left="792" w:hanging="574"/>
        <w:contextualSpacing/>
        <w:jc w:val="both"/>
        <w:rPr>
          <w:rFonts w:cs="Arial"/>
          <w:iCs/>
          <w:lang w:eastAsia="en-US"/>
        </w:rPr>
      </w:pPr>
      <w:r>
        <w:rPr>
          <w:rFonts w:cs="Arial"/>
          <w:iCs/>
          <w:lang w:eastAsia="en-US"/>
        </w:rPr>
        <w:t>Constatado o atendimento às exigências de habilitação, o fornecedor será habilitado.</w:t>
      </w:r>
    </w:p>
    <w:p>
      <w:pPr>
        <w:pStyle w:val="ListParagraph"/>
        <w:numPr>
          <w:ilvl w:val="0"/>
          <w:numId w:val="0"/>
        </w:numPr>
        <w:spacing w:lineRule="auto" w:line="276" w:before="120" w:after="120"/>
        <w:ind w:left="792" w:hanging="0"/>
        <w:contextualSpacing/>
        <w:jc w:val="both"/>
        <w:rPr>
          <w:rFonts w:cs="Arial"/>
          <w:iCs/>
          <w:lang w:eastAsia="en-US"/>
        </w:rPr>
      </w:pPr>
      <w:r>
        <w:rPr>
          <w:rFonts w:cs="Arial"/>
          <w:iCs/>
          <w:lang w:eastAsia="en-US"/>
        </w:rPr>
      </w:r>
    </w:p>
    <w:p>
      <w:pPr>
        <w:pStyle w:val="PADRO"/>
        <w:keepNext w:val="false"/>
        <w:widowControl/>
        <w:numPr>
          <w:ilvl w:val="0"/>
          <w:numId w:val="1"/>
        </w:numPr>
        <w:shd w:val="clear" w:color="auto" w:fill="auto"/>
        <w:spacing w:before="120" w:after="120"/>
        <w:rPr>
          <w:rFonts w:ascii="Arial" w:hAnsi="Arial" w:cs="Arial"/>
          <w:b/>
          <w:b/>
        </w:rPr>
      </w:pPr>
      <w:r>
        <w:rPr>
          <w:rFonts w:cs="Arial" w:ascii="Arial" w:hAnsi="Arial"/>
          <w:b/>
        </w:rPr>
        <w:t>CONTRATAÇÃO</w:t>
      </w:r>
    </w:p>
    <w:p>
      <w:pPr>
        <w:pStyle w:val="Normal"/>
        <w:numPr>
          <w:ilvl w:val="1"/>
          <w:numId w:val="1"/>
        </w:numPr>
        <w:spacing w:lineRule="auto" w:line="276" w:before="120" w:after="120"/>
        <w:ind w:left="425" w:hanging="0"/>
        <w:jc w:val="both"/>
        <w:rPr>
          <w:rFonts w:eastAsia="Arial" w:cs="Arial"/>
          <w:color w:val="000000"/>
          <w:szCs w:val="20"/>
        </w:rPr>
      </w:pPr>
      <w:r>
        <w:rPr>
          <w:rFonts w:eastAsia="Arial" w:cs="Arial"/>
          <w:color w:val="000000"/>
          <w:szCs w:val="20"/>
        </w:rPr>
        <w:t>Após a homologação e adjudicação, caso se conclua pela contratação, será firmado Termo de Contrato ou emitido instrumento equivalente.</w:t>
      </w:r>
    </w:p>
    <w:p>
      <w:pPr>
        <w:pStyle w:val="Normal"/>
        <w:numPr>
          <w:ilvl w:val="1"/>
          <w:numId w:val="1"/>
        </w:numPr>
        <w:spacing w:lineRule="auto" w:line="276" w:before="120" w:after="120"/>
        <w:ind w:left="425" w:hanging="0"/>
        <w:jc w:val="both"/>
        <w:rPr>
          <w:rFonts w:eastAsia="Arial" w:cs="Arial"/>
          <w:color w:val="000000"/>
          <w:szCs w:val="20"/>
        </w:rPr>
      </w:pPr>
      <w:r>
        <w:rPr>
          <w:rFonts w:eastAsia="Arial" w:cs="Arial"/>
          <w:color w:val="000000"/>
          <w:szCs w:val="20"/>
        </w:rPr>
        <w:t>O adjudicatário terá o prazo de 05 (</w:t>
      </w:r>
      <w:r>
        <w:rPr>
          <w:rFonts w:eastAsia="Arial" w:cs="Arial"/>
          <w:color w:val="auto"/>
          <w:szCs w:val="20"/>
        </w:rPr>
        <w:t>cinco) dias úteis, contados a partir da data de sua convocação, para assinar o Termo de Contrato ou aceitar instrumento equivalente, conforme o caso (Nota de Empenho/Carta Contrato/Autorização), sob p</w:t>
      </w:r>
      <w:r>
        <w:rPr>
          <w:rFonts w:eastAsia="Arial" w:cs="Arial"/>
          <w:color w:val="000000"/>
          <w:szCs w:val="20"/>
        </w:rPr>
        <w:t xml:space="preserve">ena de decair do direito à contratação, sem prejuízo das sanções previstas neste Aviso de Contratação Direta. </w:t>
      </w:r>
    </w:p>
    <w:p>
      <w:pPr>
        <w:pStyle w:val="Normal"/>
        <w:numPr>
          <w:ilvl w:val="2"/>
          <w:numId w:val="1"/>
        </w:numPr>
        <w:spacing w:lineRule="auto" w:line="276" w:before="120" w:after="120"/>
        <w:jc w:val="both"/>
        <w:rPr>
          <w:rFonts w:eastAsia="Arial" w:cs="Arial"/>
          <w:color w:val="000000"/>
          <w:szCs w:val="20"/>
        </w:rPr>
      </w:pPr>
      <w:r>
        <w:rPr>
          <w:rFonts w:eastAsia="Arial" w:cs="Arial"/>
          <w:color w:val="000000"/>
          <w:szCs w:val="20"/>
        </w:rPr>
        <w:t xml:space="preserve"> </w:t>
      </w:r>
      <w:r>
        <w:rPr>
          <w:rFonts w:eastAsia="Arial" w:cs="Arial"/>
          <w:color w:val="000000"/>
          <w:szCs w:val="20"/>
        </w:rPr>
        <w:t xml:space="preserve">o prazo previsto para assinatura do contrato ou aceitação da nota de empenho ou instrumento equivalente poderá ser prorrogado </w:t>
      </w:r>
      <w:r>
        <w:rPr>
          <w:rFonts w:cs="Times New Roman"/>
          <w:bCs/>
        </w:rPr>
        <w:t>1 (uma) vez</w:t>
      </w:r>
      <w:r>
        <w:rPr>
          <w:rFonts w:eastAsia="Arial" w:cs="Arial"/>
          <w:szCs w:val="20"/>
        </w:rPr>
        <w:t xml:space="preserve">, </w:t>
      </w:r>
      <w:r>
        <w:rPr>
          <w:rFonts w:eastAsia="Arial" w:cs="Arial"/>
          <w:color w:val="000000"/>
          <w:szCs w:val="20"/>
        </w:rPr>
        <w:t xml:space="preserve">por igual período, </w:t>
      </w:r>
      <w:r>
        <w:rPr>
          <w:rFonts w:eastAsia="Arial" w:cs="Arial"/>
          <w:i w:val="false"/>
          <w:iCs w:val="false"/>
          <w:color w:val="000000"/>
          <w:szCs w:val="20"/>
        </w:rPr>
        <w:t>por solicitação justificada do adjudicatário e aceita pela Administração.</w:t>
      </w:r>
    </w:p>
    <w:p>
      <w:pPr>
        <w:pStyle w:val="Normal"/>
        <w:numPr>
          <w:ilvl w:val="1"/>
          <w:numId w:val="1"/>
        </w:numPr>
        <w:spacing w:lineRule="auto" w:line="276" w:before="120" w:after="120"/>
        <w:ind w:left="425" w:hanging="0"/>
        <w:jc w:val="both"/>
        <w:rPr>
          <w:i w:val="false"/>
          <w:i w:val="false"/>
          <w:iCs w:val="false"/>
        </w:rPr>
      </w:pPr>
      <w:r>
        <w:rPr>
          <w:rFonts w:eastAsia="Arial" w:cs="Arial"/>
          <w:i w:val="false"/>
          <w:iCs w:val="false"/>
          <w:color w:val="auto"/>
          <w:szCs w:val="20"/>
        </w:rPr>
        <w:t>O Aceite da Nota de Empenho ou do instrumento equivalente, emitida à empresa adjudicada, implica no reconhecimento de que:</w:t>
      </w:r>
    </w:p>
    <w:p>
      <w:pPr>
        <w:pStyle w:val="Normal"/>
        <w:numPr>
          <w:ilvl w:val="2"/>
          <w:numId w:val="1"/>
        </w:numPr>
        <w:spacing w:lineRule="auto" w:line="276" w:before="120" w:after="120"/>
        <w:jc w:val="both"/>
        <w:rPr>
          <w:i w:val="false"/>
          <w:i w:val="false"/>
          <w:iCs w:val="false"/>
        </w:rPr>
      </w:pPr>
      <w:r>
        <w:rPr>
          <w:rFonts w:eastAsia="Arial" w:cs="Arial"/>
          <w:i w:val="false"/>
          <w:iCs w:val="false"/>
          <w:color w:val="auto"/>
          <w:szCs w:val="20"/>
        </w:rPr>
        <w:t xml:space="preserve"> </w:t>
      </w:r>
      <w:r>
        <w:rPr>
          <w:rFonts w:eastAsia="Arial" w:cs="Arial"/>
          <w:i w:val="false"/>
          <w:iCs w:val="false"/>
          <w:color w:val="auto"/>
          <w:szCs w:val="20"/>
        </w:rPr>
        <w:t>referida Nota está substituindo o contrato, aplicando-se à relação de negócios ali estabelecida as disposições da Lei nº 14.133, de 2021;</w:t>
      </w:r>
    </w:p>
    <w:p>
      <w:pPr>
        <w:pStyle w:val="Normal"/>
        <w:numPr>
          <w:ilvl w:val="2"/>
          <w:numId w:val="1"/>
        </w:numPr>
        <w:spacing w:lineRule="auto" w:line="276" w:before="120" w:after="120"/>
        <w:jc w:val="both"/>
        <w:rPr>
          <w:i w:val="false"/>
          <w:i w:val="false"/>
          <w:iCs w:val="false"/>
        </w:rPr>
      </w:pPr>
      <w:r>
        <w:rPr>
          <w:rFonts w:eastAsia="Arial" w:cs="Arial"/>
          <w:i w:val="false"/>
          <w:iCs w:val="false"/>
          <w:color w:val="auto"/>
          <w:szCs w:val="20"/>
        </w:rPr>
        <w:t xml:space="preserve"> </w:t>
      </w:r>
      <w:r>
        <w:rPr>
          <w:rFonts w:eastAsia="Arial" w:cs="Arial"/>
          <w:i w:val="false"/>
          <w:iCs w:val="false"/>
          <w:color w:val="auto"/>
          <w:szCs w:val="20"/>
        </w:rPr>
        <w:t>a contratada se vincula à sua proposta e às previsões contidas no Aviso de Contratação Direta e seus anexos;</w:t>
      </w:r>
    </w:p>
    <w:p>
      <w:pPr>
        <w:pStyle w:val="Normal"/>
        <w:numPr>
          <w:ilvl w:val="2"/>
          <w:numId w:val="1"/>
        </w:numPr>
        <w:spacing w:lineRule="auto" w:line="276" w:before="120" w:after="120"/>
        <w:jc w:val="both"/>
        <w:rPr>
          <w:i w:val="false"/>
          <w:i w:val="false"/>
          <w:iCs w:val="false"/>
        </w:rPr>
      </w:pPr>
      <w:r>
        <w:rPr>
          <w:rFonts w:eastAsia="Arial" w:cs="Arial"/>
          <w:i w:val="false"/>
          <w:iCs w:val="false"/>
          <w:color w:val="auto"/>
          <w:szCs w:val="20"/>
        </w:rPr>
        <w:t xml:space="preserve"> </w:t>
      </w:r>
      <w:r>
        <w:rPr>
          <w:rFonts w:eastAsia="Arial" w:cs="Arial"/>
          <w:i w:val="false"/>
          <w:iCs w:val="false"/>
          <w:color w:val="auto"/>
          <w:szCs w:val="20"/>
        </w:rPr>
        <w:t>a contratada reconhece que as hipóteses de rescisão são aquelas previstas nos artigos 137 e 138 da Lei nº 14.133/21 e reconhece os direitos da Administração previstos nos artigos 137 a 139 da mesma Lei.</w:t>
      </w:r>
    </w:p>
    <w:p>
      <w:pPr>
        <w:pStyle w:val="Normal"/>
        <w:numPr>
          <w:ilvl w:val="1"/>
          <w:numId w:val="1"/>
        </w:numPr>
        <w:spacing w:lineRule="auto" w:line="276" w:before="120" w:after="120"/>
        <w:ind w:left="425" w:hanging="0"/>
        <w:jc w:val="both"/>
        <w:rPr>
          <w:rFonts w:eastAsia="Arial" w:cs="Arial"/>
          <w:color w:val="000000"/>
          <w:szCs w:val="20"/>
        </w:rPr>
      </w:pPr>
      <w:r>
        <w:rPr>
          <w:rFonts w:eastAsia="Arial" w:cs="Arial"/>
          <w:color w:val="000000"/>
          <w:szCs w:val="20"/>
        </w:rPr>
        <w:t xml:space="preserve">O prazo de vigência da contratação será conforme previsão nos anexos a este Aviso de Contratação Direta. </w:t>
      </w:r>
    </w:p>
    <w:p>
      <w:pPr>
        <w:pStyle w:val="Normal"/>
        <w:numPr>
          <w:ilvl w:val="1"/>
          <w:numId w:val="1"/>
        </w:numPr>
        <w:spacing w:lineRule="auto" w:line="276" w:before="120" w:after="120"/>
        <w:ind w:left="425" w:hanging="0"/>
        <w:jc w:val="both"/>
        <w:rPr>
          <w:rFonts w:eastAsia="Arial" w:cs="Arial"/>
          <w:color w:val="000000"/>
          <w:szCs w:val="20"/>
        </w:rPr>
      </w:pPr>
      <w:r>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pPr>
        <w:pStyle w:val="Normal"/>
        <w:numPr>
          <w:ilvl w:val="0"/>
          <w:numId w:val="0"/>
        </w:numPr>
        <w:spacing w:lineRule="auto" w:line="276" w:before="120" w:after="120"/>
        <w:ind w:left="425" w:hanging="0"/>
        <w:jc w:val="both"/>
        <w:rPr>
          <w:rFonts w:eastAsia="Arial" w:cs="Arial"/>
          <w:color w:val="000000"/>
          <w:szCs w:val="20"/>
        </w:rPr>
      </w:pPr>
      <w:r>
        <w:rPr>
          <w:rFonts w:eastAsia="Arial" w:cs="Arial"/>
          <w:color w:val="000000"/>
          <w:szCs w:val="20"/>
        </w:rPr>
      </w:r>
    </w:p>
    <w:p>
      <w:pPr>
        <w:pStyle w:val="PADRO"/>
        <w:keepNext w:val="false"/>
        <w:widowControl/>
        <w:numPr>
          <w:ilvl w:val="0"/>
          <w:numId w:val="1"/>
        </w:numPr>
        <w:shd w:val="clear" w:color="auto" w:fill="auto"/>
        <w:spacing w:before="120" w:after="120"/>
        <w:rPr>
          <w:rFonts w:ascii="Arial" w:hAnsi="Arial" w:cs="Arial"/>
          <w:b/>
          <w:b/>
        </w:rPr>
      </w:pPr>
      <w:r>
        <w:rPr>
          <w:rFonts w:cs="Arial" w:ascii="Arial" w:hAnsi="Arial"/>
          <w:b/>
        </w:rPr>
        <w:t>SANÇÕES</w:t>
      </w:r>
    </w:p>
    <w:p>
      <w:pPr>
        <w:pStyle w:val="Normal"/>
        <w:numPr>
          <w:ilvl w:val="1"/>
          <w:numId w:val="1"/>
        </w:numPr>
        <w:spacing w:lineRule="auto" w:line="276" w:before="120" w:after="120"/>
        <w:ind w:left="425" w:hanging="0"/>
        <w:jc w:val="both"/>
        <w:rPr>
          <w:rFonts w:cs="Arial"/>
          <w:b/>
          <w:b/>
        </w:rPr>
      </w:pPr>
      <w:r>
        <w:rPr>
          <w:rFonts w:cs="Arial"/>
        </w:rPr>
        <w:t xml:space="preserve">Comete infração administrativa o fornecedor que cometer quaisquer das infrações previstas no art. 155 da Lei nº 14.133, de 2021, quais sejam: </w:t>
      </w:r>
    </w:p>
    <w:p>
      <w:pPr>
        <w:pStyle w:val="Normal"/>
        <w:numPr>
          <w:ilvl w:val="2"/>
          <w:numId w:val="1"/>
        </w:numPr>
        <w:spacing w:lineRule="auto" w:line="276" w:before="120" w:after="120"/>
        <w:jc w:val="both"/>
        <w:rPr>
          <w:rFonts w:cs="Arial"/>
        </w:rPr>
      </w:pPr>
      <w:r>
        <w:rPr>
          <w:rFonts w:cs="Arial"/>
          <w:color w:val="000000"/>
          <w:szCs w:val="20"/>
        </w:rPr>
        <w:t xml:space="preserve"> </w:t>
      </w:r>
      <w:r>
        <w:rPr>
          <w:rFonts w:cs="Arial"/>
          <w:color w:val="000000"/>
          <w:szCs w:val="20"/>
        </w:rPr>
        <w:t>dar causa à inexecução parcial do contrato</w:t>
      </w:r>
      <w:r>
        <w:rPr>
          <w:rFonts w:cs="Arial"/>
        </w:rPr>
        <w:t>;</w:t>
      </w:r>
    </w:p>
    <w:p>
      <w:pPr>
        <w:pStyle w:val="Normal"/>
        <w:numPr>
          <w:ilvl w:val="2"/>
          <w:numId w:val="1"/>
        </w:numPr>
        <w:spacing w:lineRule="auto" w:line="276" w:before="120" w:after="120"/>
        <w:jc w:val="both"/>
        <w:rPr>
          <w:rFonts w:cs="Arial"/>
        </w:rPr>
      </w:pPr>
      <w:r>
        <w:rPr>
          <w:rFonts w:cs="Arial"/>
          <w:color w:val="000000"/>
          <w:szCs w:val="20"/>
        </w:rPr>
        <w:t xml:space="preserve"> </w:t>
      </w:r>
      <w:r>
        <w:rPr>
          <w:rFonts w:cs="Arial"/>
          <w:color w:val="000000"/>
          <w:szCs w:val="20"/>
        </w:rPr>
        <w:t>dar causa à inexecução parcial do contrato que cause grave dano à Administração, ao funcionamento dos serviços públicos ou ao interesse coletivo;</w:t>
      </w:r>
    </w:p>
    <w:p>
      <w:pPr>
        <w:pStyle w:val="Normal"/>
        <w:numPr>
          <w:ilvl w:val="2"/>
          <w:numId w:val="1"/>
        </w:numPr>
        <w:spacing w:lineRule="auto" w:line="276" w:before="120" w:after="120"/>
        <w:jc w:val="both"/>
        <w:rPr>
          <w:rFonts w:cs="Arial"/>
        </w:rPr>
      </w:pPr>
      <w:r>
        <w:rPr>
          <w:rFonts w:cs="Arial"/>
          <w:color w:val="000000"/>
          <w:szCs w:val="20"/>
        </w:rPr>
        <w:t xml:space="preserve"> </w:t>
      </w:r>
      <w:r>
        <w:rPr>
          <w:rFonts w:cs="Arial"/>
          <w:color w:val="000000"/>
          <w:szCs w:val="20"/>
        </w:rPr>
        <w:t>dar causa à inexecução total do contrato;</w:t>
      </w:r>
    </w:p>
    <w:p>
      <w:pPr>
        <w:pStyle w:val="Normal"/>
        <w:numPr>
          <w:ilvl w:val="2"/>
          <w:numId w:val="1"/>
        </w:numPr>
        <w:spacing w:lineRule="auto" w:line="276" w:before="120" w:after="120"/>
        <w:jc w:val="both"/>
        <w:rPr>
          <w:rFonts w:cs="Arial"/>
        </w:rPr>
      </w:pPr>
      <w:r>
        <w:rPr>
          <w:rFonts w:cs="Arial"/>
          <w:color w:val="000000"/>
          <w:szCs w:val="20"/>
        </w:rPr>
        <w:t xml:space="preserve"> </w:t>
      </w:r>
      <w:r>
        <w:rPr>
          <w:rFonts w:cs="Arial"/>
          <w:color w:val="000000"/>
          <w:szCs w:val="20"/>
        </w:rPr>
        <w:t>deixar de entregar a documentação exigida para o certame;</w:t>
      </w:r>
    </w:p>
    <w:p>
      <w:pPr>
        <w:pStyle w:val="Normal"/>
        <w:numPr>
          <w:ilvl w:val="2"/>
          <w:numId w:val="1"/>
        </w:numPr>
        <w:spacing w:lineRule="auto" w:line="276" w:before="120" w:after="120"/>
        <w:jc w:val="both"/>
        <w:rPr>
          <w:rFonts w:cs="Arial"/>
        </w:rPr>
      </w:pPr>
      <w:r>
        <w:rPr>
          <w:rFonts w:cs="Arial"/>
          <w:color w:val="000000"/>
          <w:szCs w:val="20"/>
        </w:rPr>
        <w:t xml:space="preserve"> </w:t>
      </w:r>
      <w:r>
        <w:rPr>
          <w:rFonts w:cs="Arial"/>
          <w:color w:val="000000"/>
          <w:szCs w:val="20"/>
        </w:rPr>
        <w:t>não manter a proposta, salvo em decorrência de fato superveniente devidamente justificado;</w:t>
      </w:r>
    </w:p>
    <w:p>
      <w:pPr>
        <w:pStyle w:val="Normal"/>
        <w:numPr>
          <w:ilvl w:val="2"/>
          <w:numId w:val="1"/>
        </w:numPr>
        <w:spacing w:lineRule="auto" w:line="276" w:before="120" w:after="120"/>
        <w:jc w:val="both"/>
        <w:rPr>
          <w:rFonts w:cs="Arial"/>
        </w:rPr>
      </w:pPr>
      <w:r>
        <w:rPr>
          <w:rFonts w:cs="Arial"/>
          <w:color w:val="000000"/>
          <w:szCs w:val="20"/>
        </w:rPr>
        <w:t xml:space="preserve"> </w:t>
      </w:r>
      <w:r>
        <w:rPr>
          <w:rFonts w:cs="Arial"/>
          <w:color w:val="000000"/>
          <w:szCs w:val="20"/>
        </w:rPr>
        <w:t>não celebrar o contrato ou não entregar a documentação exigida para a contratação, quando convocado dentro do prazo de validade de sua proposta;</w:t>
      </w:r>
    </w:p>
    <w:p>
      <w:pPr>
        <w:pStyle w:val="Normal"/>
        <w:numPr>
          <w:ilvl w:val="2"/>
          <w:numId w:val="1"/>
        </w:numPr>
        <w:spacing w:lineRule="auto" w:line="276" w:before="120" w:after="120"/>
        <w:jc w:val="both"/>
        <w:rPr>
          <w:rFonts w:cs="Arial"/>
        </w:rPr>
      </w:pPr>
      <w:r>
        <w:rPr>
          <w:rFonts w:cs="Arial"/>
          <w:color w:val="000000"/>
          <w:szCs w:val="20"/>
        </w:rPr>
        <w:t xml:space="preserve"> </w:t>
      </w:r>
      <w:r>
        <w:rPr>
          <w:rFonts w:cs="Arial"/>
          <w:color w:val="000000"/>
          <w:szCs w:val="20"/>
        </w:rPr>
        <w:t>ensejar o retardamento da execução ou da entrega do objeto da licitação sem motivo justificado;</w:t>
      </w:r>
    </w:p>
    <w:p>
      <w:pPr>
        <w:pStyle w:val="Normal"/>
        <w:numPr>
          <w:ilvl w:val="2"/>
          <w:numId w:val="1"/>
        </w:numPr>
        <w:spacing w:lineRule="auto" w:line="276" w:before="120" w:after="120"/>
        <w:jc w:val="both"/>
        <w:rPr>
          <w:rFonts w:cs="Arial"/>
        </w:rPr>
      </w:pPr>
      <w:r>
        <w:rPr>
          <w:rFonts w:cs="Arial"/>
          <w:color w:val="000000"/>
          <w:szCs w:val="20"/>
        </w:rPr>
        <w:t xml:space="preserve"> </w:t>
      </w:r>
      <w:r>
        <w:rPr>
          <w:rFonts w:cs="Arial"/>
          <w:color w:val="000000"/>
          <w:szCs w:val="20"/>
        </w:rPr>
        <w:t>apresentar declaração ou documentação falsa exigida para o certame ou prestar declaração falsa durante a dispensa eletrônica ou a execução do contrato;</w:t>
      </w:r>
    </w:p>
    <w:p>
      <w:pPr>
        <w:pStyle w:val="Normal"/>
        <w:numPr>
          <w:ilvl w:val="2"/>
          <w:numId w:val="1"/>
        </w:numPr>
        <w:spacing w:lineRule="auto" w:line="276" w:before="120" w:after="120"/>
        <w:jc w:val="both"/>
        <w:rPr>
          <w:rFonts w:cs="Arial"/>
        </w:rPr>
      </w:pPr>
      <w:r>
        <w:rPr>
          <w:rFonts w:cs="Arial"/>
          <w:color w:val="000000"/>
          <w:szCs w:val="20"/>
        </w:rPr>
        <w:t xml:space="preserve"> </w:t>
      </w:r>
      <w:r>
        <w:rPr>
          <w:rFonts w:cs="Arial"/>
          <w:color w:val="000000"/>
          <w:szCs w:val="20"/>
        </w:rPr>
        <w:t>fraudar a dispensa eletrônica ou praticar ato fraudulento na execução do contrato;</w:t>
      </w:r>
    </w:p>
    <w:p>
      <w:pPr>
        <w:pStyle w:val="Normal"/>
        <w:numPr>
          <w:ilvl w:val="2"/>
          <w:numId w:val="1"/>
        </w:numPr>
        <w:spacing w:lineRule="auto" w:line="276" w:before="120" w:after="120"/>
        <w:jc w:val="both"/>
        <w:rPr>
          <w:rFonts w:cs="Arial"/>
        </w:rPr>
      </w:pPr>
      <w:r>
        <w:rPr>
          <w:rFonts w:cs="Arial"/>
          <w:color w:val="000000"/>
          <w:szCs w:val="20"/>
        </w:rPr>
        <w:t>comportar-se de modo inidôneo ou cometer fraude de qualquer natureza;</w:t>
      </w:r>
    </w:p>
    <w:p>
      <w:pPr>
        <w:pStyle w:val="ListParagraph"/>
        <w:numPr>
          <w:ilvl w:val="3"/>
          <w:numId w:val="1"/>
        </w:numPr>
        <w:spacing w:lineRule="auto" w:line="276" w:before="120" w:after="120"/>
        <w:contextualSpacing/>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120" w:after="120"/>
        <w:jc w:val="both"/>
        <w:rPr>
          <w:rFonts w:cs="Arial"/>
        </w:rPr>
      </w:pPr>
      <w:r>
        <w:rPr>
          <w:rFonts w:cs="Arial"/>
          <w:color w:val="000000"/>
          <w:szCs w:val="20"/>
        </w:rPr>
        <w:t>praticar atos ilícitos com vistas a frustrar os objetivos deste certame.</w:t>
      </w:r>
    </w:p>
    <w:p>
      <w:pPr>
        <w:pStyle w:val="Normal"/>
        <w:numPr>
          <w:ilvl w:val="2"/>
          <w:numId w:val="1"/>
        </w:numPr>
        <w:spacing w:lineRule="auto" w:line="276" w:before="120" w:after="120"/>
        <w:jc w:val="both"/>
        <w:rPr>
          <w:rFonts w:cs="Arial"/>
          <w:color w:val="000000"/>
          <w:szCs w:val="20"/>
        </w:rPr>
      </w:pPr>
      <w:r>
        <w:rPr>
          <w:rFonts w:cs="Arial"/>
          <w:color w:val="000000"/>
          <w:szCs w:val="20"/>
        </w:rPr>
        <w:t xml:space="preserve">praticar ato lesivo previsto no </w:t>
      </w:r>
      <w:r>
        <w:fldChar w:fldCharType="begin"/>
      </w:r>
      <w:r>
        <w:rPr>
          <w:color w:val="000000"/>
        </w:rPr>
        <w:instrText xml:space="preserve"> HYPERLINK "http://www.planalto.gov.br/ccivil_03/_Ato2011-2014/2013/Lei/L12846.htm" \l "art5"</w:instrText>
      </w:r>
      <w:r>
        <w:rPr>
          <w:color w:val="000000"/>
        </w:rPr>
        <w:fldChar w:fldCharType="separate"/>
      </w:r>
      <w:r>
        <w:rPr>
          <w:color w:val="000000"/>
        </w:rPr>
        <w:t>art. 5º da Lei nº 12.846, de 1º de agosto de 2013.</w:t>
      </w:r>
      <w:r>
        <w:rPr>
          <w:color w:val="000000"/>
        </w:rPr>
        <w:fldChar w:fldCharType="end"/>
      </w:r>
    </w:p>
    <w:p>
      <w:pPr>
        <w:pStyle w:val="Normal"/>
        <w:numPr>
          <w:ilvl w:val="1"/>
          <w:numId w:val="1"/>
        </w:numPr>
        <w:spacing w:lineRule="auto" w:line="276" w:before="120" w:after="120"/>
        <w:ind w:left="425" w:hanging="0"/>
        <w:jc w:val="both"/>
        <w:rPr>
          <w:rFonts w:cs="Arial"/>
          <w:b/>
          <w:b/>
        </w:rPr>
      </w:pPr>
      <w:r>
        <w:rPr>
          <w:rFonts w:cs="Arial"/>
        </w:rPr>
        <w:t>O fornecedor que cometer qualquer das infrações discriminadas nos subitens anteriores ficará sujeito, sem prejuízo da responsabilidade civil e criminal, às seguintes sanções:</w:t>
      </w:r>
    </w:p>
    <w:p>
      <w:pPr>
        <w:pStyle w:val="Normal"/>
        <w:numPr>
          <w:ilvl w:val="2"/>
          <w:numId w:val="6"/>
        </w:numPr>
        <w:spacing w:lineRule="auto" w:line="276" w:before="120" w:after="120"/>
        <w:jc w:val="both"/>
        <w:rPr>
          <w:rFonts w:cs="Arial"/>
        </w:rPr>
      </w:pPr>
      <w:r>
        <w:rPr>
          <w:rFonts w:cs="Arial"/>
        </w:rPr>
        <w:t>Advertência pela falta do subitem 8.1.1 deste Aviso de Contratação Direta,</w:t>
      </w:r>
      <w:r>
        <w:rPr/>
        <w:t xml:space="preserve"> </w:t>
      </w:r>
      <w:r>
        <w:rPr>
          <w:rFonts w:cs="Arial"/>
        </w:rPr>
        <w:t>quando não se justificar a imposição de penalidade mais grave;</w:t>
      </w:r>
    </w:p>
    <w:p>
      <w:pPr>
        <w:pStyle w:val="Normal"/>
        <w:numPr>
          <w:ilvl w:val="2"/>
          <w:numId w:val="6"/>
        </w:numPr>
        <w:spacing w:lineRule="auto" w:line="276" w:before="120" w:after="120"/>
        <w:jc w:val="both"/>
        <w:rPr>
          <w:rFonts w:cs="Arial"/>
        </w:rPr>
      </w:pPr>
      <w:r>
        <w:rPr>
          <w:rFonts w:cs="Arial"/>
        </w:rPr>
        <w:t xml:space="preserve">Multa de 10% </w:t>
      </w:r>
      <w:r>
        <w:rPr>
          <w:rFonts w:cs="Arial"/>
          <w:color w:val="auto"/>
        </w:rPr>
        <w:t xml:space="preserve">(dez por cento) </w:t>
      </w:r>
      <w:r>
        <w:rPr>
          <w:rFonts w:cs="Arial"/>
        </w:rPr>
        <w:t>sobre o valor estimado do(s) item(s) prejudicado(s) pela conduta do fornecedor, por qualquer das infrações dos subitens 8.1.1 a 8.1.12;</w:t>
      </w:r>
    </w:p>
    <w:p>
      <w:pPr>
        <w:pStyle w:val="Normal"/>
        <w:numPr>
          <w:ilvl w:val="2"/>
          <w:numId w:val="6"/>
        </w:numPr>
        <w:spacing w:lineRule="auto" w:line="276" w:before="120" w:after="120"/>
        <w:jc w:val="both"/>
        <w:rPr>
          <w:rFonts w:cs="Arial"/>
        </w:rPr>
      </w:pPr>
      <w:r>
        <w:rPr>
          <w:rFonts w:cs="Arial"/>
          <w:color w:val="000000"/>
          <w:szCs w:val="20"/>
        </w:rPr>
        <w:t>Impedimento de licitar e contratar</w:t>
      </w:r>
      <w:r>
        <w:rPr>
          <w:rFonts w:cs="Arial"/>
        </w:rPr>
        <w:t xml:space="preserve"> </w:t>
      </w:r>
      <w:r>
        <w:rPr>
          <w:rFonts w:cs="Arial"/>
          <w:color w:val="000000"/>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rPr>
        <w:t>;</w:t>
      </w:r>
    </w:p>
    <w:p>
      <w:pPr>
        <w:pStyle w:val="Normal"/>
        <w:numPr>
          <w:ilvl w:val="2"/>
          <w:numId w:val="6"/>
        </w:numPr>
        <w:spacing w:lineRule="auto" w:line="276" w:before="120" w:after="120"/>
        <w:jc w:val="both"/>
        <w:rPr>
          <w:rFonts w:cs="Arial"/>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rPr>
        <w:t>;</w:t>
      </w:r>
    </w:p>
    <w:p>
      <w:pPr>
        <w:pStyle w:val="Normal"/>
        <w:numPr>
          <w:ilvl w:val="1"/>
          <w:numId w:val="1"/>
        </w:numPr>
        <w:spacing w:lineRule="auto" w:line="276" w:before="120" w:after="120"/>
        <w:jc w:val="both"/>
        <w:rPr>
          <w:rFonts w:cs="Arial"/>
          <w:bCs/>
        </w:rPr>
      </w:pPr>
      <w:r>
        <w:rPr>
          <w:rFonts w:cs="Arial"/>
          <w:bCs/>
        </w:rPr>
        <w:t>Na aplicação das sanções serão considerados:</w:t>
      </w:r>
    </w:p>
    <w:p>
      <w:pPr>
        <w:pStyle w:val="Normal"/>
        <w:numPr>
          <w:ilvl w:val="2"/>
          <w:numId w:val="1"/>
        </w:numPr>
        <w:spacing w:lineRule="auto" w:line="276" w:before="120" w:after="120"/>
        <w:jc w:val="both"/>
        <w:rPr>
          <w:rFonts w:cs="Arial"/>
          <w:bCs/>
        </w:rPr>
      </w:pPr>
      <w:r>
        <w:rPr>
          <w:rFonts w:cs="Arial"/>
          <w:bCs/>
        </w:rPr>
        <w:t xml:space="preserve"> </w:t>
      </w:r>
      <w:r>
        <w:rPr>
          <w:rFonts w:cs="Arial"/>
          <w:bCs/>
        </w:rPr>
        <w:t>a natureza e a gravidade da infração cometida;</w:t>
      </w:r>
    </w:p>
    <w:p>
      <w:pPr>
        <w:pStyle w:val="Normal"/>
        <w:numPr>
          <w:ilvl w:val="2"/>
          <w:numId w:val="1"/>
        </w:numPr>
        <w:spacing w:lineRule="auto" w:line="276" w:before="120" w:after="120"/>
        <w:jc w:val="both"/>
        <w:rPr>
          <w:rFonts w:cs="Arial"/>
          <w:bCs/>
        </w:rPr>
      </w:pPr>
      <w:r>
        <w:rPr>
          <w:rFonts w:cs="Arial"/>
          <w:bCs/>
        </w:rPr>
        <w:t xml:space="preserve"> </w:t>
      </w:r>
      <w:r>
        <w:rPr>
          <w:rFonts w:cs="Arial"/>
          <w:bCs/>
        </w:rPr>
        <w:t>as peculiaridades do caso concreto;</w:t>
      </w:r>
    </w:p>
    <w:p>
      <w:pPr>
        <w:pStyle w:val="Normal"/>
        <w:numPr>
          <w:ilvl w:val="2"/>
          <w:numId w:val="1"/>
        </w:numPr>
        <w:spacing w:lineRule="auto" w:line="276" w:before="120" w:after="120"/>
        <w:jc w:val="both"/>
        <w:rPr>
          <w:rFonts w:cs="Arial"/>
          <w:bCs/>
        </w:rPr>
      </w:pPr>
      <w:r>
        <w:rPr>
          <w:rFonts w:cs="Arial"/>
          <w:bCs/>
        </w:rPr>
        <w:t xml:space="preserve"> </w:t>
      </w:r>
      <w:r>
        <w:rPr>
          <w:rFonts w:cs="Arial"/>
          <w:bCs/>
        </w:rPr>
        <w:t>as circunstâncias agravantes ou atenuantes;</w:t>
      </w:r>
    </w:p>
    <w:p>
      <w:pPr>
        <w:pStyle w:val="Normal"/>
        <w:numPr>
          <w:ilvl w:val="2"/>
          <w:numId w:val="1"/>
        </w:numPr>
        <w:spacing w:lineRule="auto" w:line="276" w:before="120" w:after="120"/>
        <w:jc w:val="both"/>
        <w:rPr>
          <w:rFonts w:cs="Arial"/>
          <w:bCs/>
        </w:rPr>
      </w:pPr>
      <w:r>
        <w:rPr>
          <w:rFonts w:cs="Arial"/>
          <w:bCs/>
        </w:rPr>
        <w:t xml:space="preserve"> </w:t>
      </w:r>
      <w:r>
        <w:rPr>
          <w:rFonts w:cs="Arial"/>
          <w:bCs/>
        </w:rPr>
        <w:t>os danos que dela provierem para a Administração Pública;</w:t>
      </w:r>
    </w:p>
    <w:p>
      <w:pPr>
        <w:pStyle w:val="Normal"/>
        <w:numPr>
          <w:ilvl w:val="2"/>
          <w:numId w:val="1"/>
        </w:numPr>
        <w:spacing w:lineRule="auto" w:line="276" w:before="120" w:after="120"/>
        <w:jc w:val="both"/>
        <w:rPr>
          <w:rFonts w:cs="Arial"/>
          <w:bCs/>
        </w:rPr>
      </w:pPr>
      <w:r>
        <w:rPr>
          <w:rFonts w:cs="Arial"/>
          <w:bCs/>
        </w:rPr>
        <w:t xml:space="preserve"> </w:t>
      </w:r>
      <w:r>
        <w:rPr>
          <w:rFonts w:cs="Arial"/>
          <w:bCs/>
        </w:rPr>
        <w:t>a implantação ou o aperfeiçoamento de programa de integridade, conforme normas e orientações dos órgãos de controle.</w:t>
      </w:r>
    </w:p>
    <w:p>
      <w:pPr>
        <w:pStyle w:val="Normal"/>
        <w:numPr>
          <w:ilvl w:val="1"/>
          <w:numId w:val="1"/>
        </w:numPr>
        <w:spacing w:lineRule="auto" w:line="276" w:before="120" w:after="120"/>
        <w:ind w:left="425" w:hanging="0"/>
        <w:jc w:val="both"/>
        <w:rPr>
          <w:rFonts w:cs="Arial"/>
        </w:rPr>
      </w:pPr>
      <w:bookmarkStart w:id="1" w:name="art156§6"/>
      <w:bookmarkStart w:id="2" w:name="art156§7"/>
      <w:bookmarkStart w:id="3" w:name="art156§8"/>
      <w:bookmarkEnd w:id="1"/>
      <w:bookmarkEnd w:id="2"/>
      <w:bookmarkEnd w:id="3"/>
      <w:r>
        <w:rPr>
          <w:rFonts w:cs="Arial"/>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1"/>
        </w:numPr>
        <w:spacing w:lineRule="auto" w:line="276" w:before="120" w:after="120"/>
        <w:ind w:left="425" w:hanging="0"/>
        <w:jc w:val="both"/>
        <w:rPr>
          <w:rFonts w:cs="Arial"/>
        </w:rPr>
      </w:pPr>
      <w:bookmarkStart w:id="4" w:name="art156§9"/>
      <w:bookmarkEnd w:id="4"/>
      <w:r>
        <w:rPr>
          <w:rFonts w:cs="Arial"/>
        </w:rPr>
        <w:t>A aplicação das sanções previstas neste Aviso de Contratação Direta, em hipótese alguma, a obrigação de reparação integral do dano causado à Administração Pública.</w:t>
      </w:r>
    </w:p>
    <w:p>
      <w:pPr>
        <w:pStyle w:val="Normal"/>
        <w:numPr>
          <w:ilvl w:val="1"/>
          <w:numId w:val="1"/>
        </w:numPr>
        <w:spacing w:lineRule="auto" w:line="276" w:before="120" w:after="120"/>
        <w:ind w:left="425" w:hanging="0"/>
        <w:jc w:val="both"/>
        <w:rPr>
          <w:rFonts w:cs="Arial"/>
        </w:rPr>
      </w:pPr>
      <w:r>
        <w:rPr>
          <w:rFonts w:cs="Arial"/>
        </w:rPr>
        <w:t>A penalidade de multa pode ser aplicada cumulativamente com as demais sanções.</w:t>
      </w:r>
    </w:p>
    <w:p>
      <w:pPr>
        <w:pStyle w:val="Normal"/>
        <w:numPr>
          <w:ilvl w:val="1"/>
          <w:numId w:val="1"/>
        </w:numPr>
        <w:spacing w:lineRule="auto" w:line="276" w:before="120" w:after="120"/>
        <w:ind w:left="425" w:hanging="0"/>
        <w:jc w:val="both"/>
        <w:rPr>
          <w:rFonts w:cs="Arial"/>
        </w:rPr>
      </w:pPr>
      <w:r>
        <w:rPr>
          <w:rFonts w:cs="Arial"/>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76" w:before="120" w:after="120"/>
        <w:ind w:left="425" w:hanging="0"/>
        <w:jc w:val="both"/>
        <w:rPr>
          <w:rFonts w:cs="Arial"/>
        </w:rPr>
      </w:pPr>
      <w:r>
        <w:rPr>
          <w:rFonts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76" w:before="120" w:after="120"/>
        <w:ind w:left="425" w:hanging="0"/>
        <w:jc w:val="both"/>
        <w:rPr>
          <w:rFonts w:cs="Arial"/>
        </w:rPr>
      </w:pPr>
      <w:r>
        <w:rPr>
          <w:rFonts w:cs="Arial"/>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76" w:before="120" w:after="120"/>
        <w:ind w:left="425" w:hanging="0"/>
        <w:jc w:val="both"/>
        <w:rPr>
          <w:rFonts w:cs="Arial"/>
        </w:rPr>
      </w:pPr>
      <w:r>
        <w:rPr>
          <w:rFonts w:cs="Arial"/>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numPr>
          <w:ilvl w:val="1"/>
          <w:numId w:val="1"/>
        </w:numPr>
        <w:spacing w:lineRule="auto" w:line="276" w:before="120" w:after="120"/>
        <w:ind w:left="425" w:hanging="0"/>
        <w:jc w:val="both"/>
        <w:rPr>
          <w:rFonts w:cs="Arial"/>
        </w:rPr>
      </w:pPr>
      <w:r>
        <w:rPr>
          <w:rFonts w:cs="Arial"/>
        </w:rPr>
        <w:t>As sanções por atos praticados no decorrer da contratação estão previstas nos anexos a este Aviso.</w:t>
      </w:r>
    </w:p>
    <w:p>
      <w:pPr>
        <w:pStyle w:val="Normal"/>
        <w:spacing w:lineRule="auto" w:line="276" w:before="120" w:after="120"/>
        <w:ind w:left="425" w:hanging="0"/>
        <w:jc w:val="both"/>
        <w:rPr>
          <w:rFonts w:cs="Arial"/>
        </w:rPr>
      </w:pPr>
      <w:r>
        <w:rPr>
          <w:rFonts w:cs="Arial"/>
        </w:rPr>
      </w:r>
    </w:p>
    <w:p>
      <w:pPr>
        <w:pStyle w:val="PADRO"/>
        <w:keepNext w:val="false"/>
        <w:widowControl/>
        <w:numPr>
          <w:ilvl w:val="0"/>
          <w:numId w:val="1"/>
        </w:numPr>
        <w:shd w:val="clear" w:color="auto" w:fill="auto"/>
        <w:spacing w:before="120" w:after="120"/>
        <w:rPr>
          <w:rFonts w:ascii="Arial" w:hAnsi="Arial" w:cs="Arial"/>
          <w:b/>
          <w:b/>
        </w:rPr>
      </w:pPr>
      <w:r>
        <w:rPr>
          <w:rFonts w:cs="Arial" w:ascii="Arial" w:hAnsi="Arial"/>
          <w:b/>
        </w:rPr>
        <w:t>DAS DISPOSIÇÕES GERAIS</w:t>
      </w:r>
    </w:p>
    <w:p>
      <w:pPr>
        <w:pStyle w:val="Normal"/>
        <w:numPr>
          <w:ilvl w:val="1"/>
          <w:numId w:val="1"/>
        </w:numPr>
        <w:snapToGrid w:val="false"/>
        <w:spacing w:lineRule="auto" w:line="276" w:before="120" w:after="120"/>
        <w:ind w:left="425" w:hanging="0"/>
        <w:jc w:val="both"/>
        <w:rPr>
          <w:rFonts w:cs="Arial"/>
          <w:szCs w:val="20"/>
        </w:rPr>
      </w:pPr>
      <w:r>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No caso de todos os fornecedores restarem desclassificados ou inabilitados (procedimento fracassado), a Administração poderá:</w:t>
      </w:r>
    </w:p>
    <w:p>
      <w:pPr>
        <w:pStyle w:val="Normal"/>
        <w:numPr>
          <w:ilvl w:val="2"/>
          <w:numId w:val="1"/>
        </w:numPr>
        <w:spacing w:lineRule="auto" w:line="276" w:before="120" w:after="120"/>
        <w:jc w:val="both"/>
        <w:rPr>
          <w:rFonts w:cs="Arial"/>
          <w:color w:val="000000"/>
          <w:szCs w:val="20"/>
        </w:rPr>
      </w:pPr>
      <w:r>
        <w:rPr>
          <w:rFonts w:cs="Arial"/>
          <w:color w:val="000000"/>
          <w:szCs w:val="20"/>
        </w:rPr>
        <w:t xml:space="preserve"> </w:t>
      </w:r>
      <w:r>
        <w:rPr>
          <w:rFonts w:cs="Arial"/>
          <w:color w:val="000000"/>
          <w:szCs w:val="20"/>
        </w:rPr>
        <w:t>republicar o presente aviso com uma nova data;</w:t>
      </w:r>
    </w:p>
    <w:p>
      <w:pPr>
        <w:pStyle w:val="Normal"/>
        <w:numPr>
          <w:ilvl w:val="2"/>
          <w:numId w:val="1"/>
        </w:numPr>
        <w:spacing w:lineRule="auto" w:line="276" w:before="120" w:after="120"/>
        <w:jc w:val="both"/>
        <w:rPr>
          <w:rFonts w:cs="Arial"/>
          <w:color w:val="000000"/>
          <w:szCs w:val="20"/>
        </w:rPr>
      </w:pPr>
      <w:r>
        <w:rPr>
          <w:rFonts w:cs="Arial"/>
          <w:color w:val="000000"/>
          <w:szCs w:val="20"/>
        </w:rPr>
        <w:t xml:space="preserve"> </w:t>
      </w:r>
      <w:r>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ormal"/>
        <w:numPr>
          <w:ilvl w:val="2"/>
          <w:numId w:val="1"/>
        </w:numPr>
        <w:spacing w:lineRule="auto" w:line="276" w:before="120" w:after="120"/>
        <w:jc w:val="both"/>
        <w:rPr>
          <w:rFonts w:cs="Arial"/>
          <w:color w:val="000000"/>
          <w:szCs w:val="20"/>
        </w:rPr>
      </w:pPr>
      <w:r>
        <w:rPr>
          <w:rFonts w:cs="Arial"/>
          <w:color w:val="000000"/>
          <w:szCs w:val="20"/>
        </w:rPr>
        <w:t xml:space="preserve"> </w:t>
      </w:r>
      <w:r>
        <w:rPr>
          <w:rFonts w:cs="Arial"/>
          <w:color w:val="000000"/>
          <w:szCs w:val="20"/>
        </w:rPr>
        <w:t>fixar prazo para que possa haver adequação das propostas ou da documentação de habilitação, conforme o caso.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As providências dos subitens 9.2.1 e 9.2.2 acima poderão ser utilizadas se não houver o comparecimento de quaisquer fornecedores interessados (procedimento deserto)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120" w:after="120"/>
        <w:ind w:left="425" w:hanging="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Da sessão pública será divulgada Ata no sistema eletrônico.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Integram este Aviso de Contratação Direta, para todos os fins e efeitos, os seguintes anexos:</w:t>
      </w:r>
    </w:p>
    <w:p>
      <w:pPr>
        <w:pStyle w:val="Normal"/>
        <w:numPr>
          <w:ilvl w:val="2"/>
          <w:numId w:val="1"/>
        </w:numPr>
        <w:spacing w:lineRule="auto" w:line="276" w:before="120" w:after="120"/>
        <w:jc w:val="both"/>
        <w:rPr>
          <w:rFonts w:cs="Arial"/>
          <w:color w:val="000000"/>
          <w:szCs w:val="20"/>
        </w:rPr>
      </w:pPr>
      <w:r>
        <w:rPr>
          <w:rFonts w:cs="Arial"/>
          <w:color w:val="000000"/>
          <w:szCs w:val="20"/>
        </w:rPr>
        <w:t>ANEXO I – Documentação exigida para Habilitação</w:t>
      </w:r>
    </w:p>
    <w:p>
      <w:pPr>
        <w:pStyle w:val="Normal"/>
        <w:numPr>
          <w:ilvl w:val="2"/>
          <w:numId w:val="1"/>
        </w:numPr>
        <w:spacing w:lineRule="auto" w:line="276" w:before="120" w:after="120"/>
        <w:jc w:val="both"/>
        <w:rPr>
          <w:rFonts w:cs="Arial"/>
          <w:color w:val="000000"/>
          <w:szCs w:val="20"/>
        </w:rPr>
      </w:pPr>
      <w:r>
        <w:rPr>
          <w:rFonts w:cs="Arial"/>
          <w:color w:val="000000"/>
          <w:szCs w:val="20"/>
        </w:rPr>
        <w:t>ANEXO II – Modelo de Proposta;</w:t>
      </w:r>
    </w:p>
    <w:p>
      <w:pPr>
        <w:pStyle w:val="Normal"/>
        <w:numPr>
          <w:ilvl w:val="2"/>
          <w:numId w:val="1"/>
        </w:numPr>
        <w:spacing w:lineRule="auto" w:line="276" w:before="120" w:after="120"/>
        <w:jc w:val="both"/>
        <w:rPr>
          <w:rFonts w:cs="Arial"/>
          <w:color w:val="000000"/>
          <w:szCs w:val="20"/>
        </w:rPr>
      </w:pPr>
      <w:r>
        <w:rPr>
          <w:rFonts w:cs="Arial"/>
          <w:color w:val="000000"/>
          <w:szCs w:val="20"/>
        </w:rPr>
        <w:t>ANEXO III – Termo de Referência;</w:t>
      </w:r>
    </w:p>
    <w:p>
      <w:pPr>
        <w:pStyle w:val="Normal"/>
        <w:numPr>
          <w:ilvl w:val="0"/>
          <w:numId w:val="0"/>
        </w:numPr>
        <w:spacing w:lineRule="auto" w:line="276" w:before="120" w:after="120"/>
        <w:ind w:left="1224" w:hanging="0"/>
        <w:jc w:val="both"/>
        <w:rPr>
          <w:rFonts w:cs="Arial"/>
          <w:color w:val="000000"/>
          <w:szCs w:val="20"/>
        </w:rPr>
      </w:pPr>
      <w:r>
        <w:rPr>
          <w:rFonts w:cs="Arial"/>
          <w:color w:val="000000"/>
          <w:szCs w:val="20"/>
        </w:rPr>
      </w:r>
    </w:p>
    <w:p>
      <w:pPr>
        <w:pStyle w:val="Normal"/>
        <w:spacing w:lineRule="auto" w:line="276" w:before="0" w:after="120"/>
        <w:ind w:left="360" w:right="-15" w:hanging="0"/>
        <w:jc w:val="right"/>
        <w:rPr>
          <w:rFonts w:cs="Arial"/>
          <w:color w:val="000000"/>
          <w:szCs w:val="20"/>
        </w:rPr>
      </w:pPr>
      <w:r>
        <w:rPr>
          <w:rFonts w:cs="Arial"/>
          <w:color w:val="000000"/>
          <w:szCs w:val="20"/>
        </w:rPr>
        <w:t>Santa Maria de Jetibá/ES, 11 de maio de 2026.</w:t>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b/>
          <w:bCs/>
          <w:iCs/>
          <w:color w:val="000000"/>
          <w:szCs w:val="20"/>
        </w:rPr>
        <w:t>Assinatura da autoridade competente</w:t>
      </w:r>
    </w:p>
    <w:p>
      <w:pPr>
        <w:pStyle w:val="Normal"/>
        <w:rPr>
          <w:rFonts w:cs="Arial"/>
          <w:lang w:eastAsia="en-US"/>
        </w:rPr>
      </w:pPr>
      <w:r>
        <w:rPr>
          <w:rFonts w:cs="Arial"/>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t>ANEXO I – DOCUMENTAÇÃO EXIGIDA PARA HABILITAÇÃO</w:t>
      </w:r>
    </w:p>
    <w:p>
      <w:pPr>
        <w:pStyle w:val="Normal"/>
        <w:rPr>
          <w:rFonts w:cs="Arial"/>
          <w:lang w:eastAsia="en-US"/>
        </w:rPr>
      </w:pPr>
      <w:r>
        <w:rPr>
          <w:rFonts w:cs="Arial"/>
          <w:lang w:eastAsia="en-US"/>
        </w:rPr>
      </w:r>
    </w:p>
    <w:p>
      <w:pPr>
        <w:pStyle w:val="PADRO"/>
        <w:keepNext w:val="false"/>
        <w:widowControl/>
        <w:numPr>
          <w:ilvl w:val="0"/>
          <w:numId w:val="4"/>
        </w:numPr>
        <w:shd w:val="clear" w:fill="FFFFFF"/>
        <w:spacing w:before="120" w:after="120"/>
        <w:rPr>
          <w:rFonts w:ascii="Arial" w:hAnsi="Arial" w:cs="Arial"/>
          <w:szCs w:val="20"/>
        </w:rPr>
      </w:pPr>
      <w:r>
        <w:rPr>
          <w:rFonts w:cs="Arial" w:ascii="Arial" w:hAnsi="Arial"/>
          <w:b/>
          <w:bCs/>
          <w:color w:val="000000"/>
          <w:szCs w:val="20"/>
        </w:rPr>
        <w:t xml:space="preserve"> </w:t>
      </w:r>
      <w:r>
        <w:rPr>
          <w:rFonts w:cs="Arial" w:ascii="Arial" w:hAnsi="Arial"/>
          <w:b/>
          <w:bCs/>
          <w:color w:val="000000"/>
          <w:szCs w:val="20"/>
        </w:rPr>
        <w:t>Regularidade fiscal, social e trabalhista:</w:t>
      </w:r>
    </w:p>
    <w:p>
      <w:pPr>
        <w:pStyle w:val="Normal"/>
        <w:numPr>
          <w:ilvl w:val="1"/>
          <w:numId w:val="4"/>
        </w:numPr>
        <w:tabs>
          <w:tab w:val="clear" w:pos="708"/>
          <w:tab w:val="left" w:pos="1440" w:leader="none"/>
        </w:tabs>
        <w:snapToGrid w:val="false"/>
        <w:spacing w:lineRule="auto" w:line="276" w:before="120" w:after="120"/>
        <w:jc w:val="both"/>
        <w:rPr>
          <w:rFonts w:cs="Arial"/>
          <w:szCs w:val="20"/>
        </w:rPr>
      </w:pPr>
      <w:r>
        <w:rPr>
          <w:rFonts w:cs="Arial"/>
          <w:szCs w:val="20"/>
          <w:lang w:eastAsia="en-US"/>
        </w:rPr>
        <w:t>prova de inscrição no Cadastro Nacional de Pessoas Jurídicas ou no Cadastro de Pessoas Físicas, conforme o caso;</w:t>
      </w:r>
    </w:p>
    <w:p>
      <w:pPr>
        <w:pStyle w:val="Normal"/>
        <w:numPr>
          <w:ilvl w:val="1"/>
          <w:numId w:val="4"/>
        </w:numPr>
        <w:tabs>
          <w:tab w:val="clear" w:pos="708"/>
          <w:tab w:val="left" w:pos="1440" w:leader="none"/>
        </w:tabs>
        <w:snapToGrid w:val="false"/>
        <w:spacing w:lineRule="auto" w:line="276" w:before="120" w:after="120"/>
        <w:jc w:val="both"/>
        <w:rPr>
          <w:rFonts w:cs="Arial"/>
          <w:szCs w:val="20"/>
        </w:rPr>
      </w:pPr>
      <w:r>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1"/>
          <w:numId w:val="4"/>
        </w:numPr>
        <w:tabs>
          <w:tab w:val="clear" w:pos="708"/>
          <w:tab w:val="left" w:pos="1440" w:leader="none"/>
        </w:tabs>
        <w:snapToGrid w:val="false"/>
        <w:spacing w:lineRule="auto" w:line="276" w:before="120" w:after="120"/>
        <w:jc w:val="both"/>
        <w:rPr>
          <w:rFonts w:cs="Arial"/>
          <w:color w:val="000000"/>
          <w:szCs w:val="20"/>
        </w:rPr>
      </w:pPr>
      <w:r>
        <w:rPr>
          <w:rFonts w:cs="Arial"/>
          <w:color w:val="000000"/>
          <w:szCs w:val="20"/>
          <w:lang w:eastAsia="en-US"/>
        </w:rPr>
        <w:t>prova de regularidade com o Fundo de Garantia do Tempo de Serviço (FGTS);</w:t>
      </w:r>
    </w:p>
    <w:p>
      <w:pPr>
        <w:pStyle w:val="Normal"/>
        <w:numPr>
          <w:ilvl w:val="1"/>
          <w:numId w:val="4"/>
        </w:numPr>
        <w:tabs>
          <w:tab w:val="clear" w:pos="708"/>
          <w:tab w:val="left" w:pos="1440" w:leader="none"/>
        </w:tabs>
        <w:snapToGrid w:val="false"/>
        <w:spacing w:lineRule="auto" w:line="276" w:before="120" w:after="120"/>
        <w:jc w:val="both"/>
        <w:rPr>
          <w:rFonts w:cs="Arial"/>
          <w:szCs w:val="20"/>
        </w:rPr>
      </w:pPr>
      <w:r>
        <w:rPr>
          <w:rFonts w:cs="Arial"/>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numPr>
          <w:ilvl w:val="1"/>
          <w:numId w:val="4"/>
        </w:numPr>
        <w:tabs>
          <w:tab w:val="clear" w:pos="708"/>
          <w:tab w:val="left" w:pos="1440" w:leader="none"/>
        </w:tabs>
        <w:snapToGrid w:val="false"/>
        <w:spacing w:lineRule="auto" w:line="276" w:before="120" w:after="120"/>
        <w:jc w:val="both"/>
        <w:rPr>
          <w:rFonts w:cs="Arial"/>
          <w:bCs/>
          <w:szCs w:val="20"/>
        </w:rPr>
      </w:pPr>
      <w:r>
        <w:rPr>
          <w:rFonts w:cs="Arial"/>
          <w:bCs/>
          <w:szCs w:val="20"/>
        </w:rPr>
        <w:t xml:space="preserve">prova de </w:t>
      </w:r>
      <w:r>
        <w:rPr>
          <w:rFonts w:cs="Arial"/>
          <w:color w:val="000000"/>
          <w:szCs w:val="20"/>
        </w:rPr>
        <w:t>inscrição no cadastro de contribuintes</w:t>
      </w:r>
      <w:r>
        <w:rPr>
          <w:rFonts w:cs="Arial"/>
          <w:i w:val="false"/>
          <w:iCs w:val="false"/>
          <w:color w:val="auto"/>
          <w:szCs w:val="20"/>
        </w:rPr>
        <w:t xml:space="preserve"> estadual e/ou municipal, </w:t>
      </w:r>
      <w:r>
        <w:rPr>
          <w:rFonts w:cs="Arial"/>
          <w:color w:val="000000"/>
          <w:szCs w:val="20"/>
        </w:rPr>
        <w:t>relativo ao domicílio ou sede do fornecedor, pertinente ao seu ramo de atividade e compatível com o objeto contratual</w:t>
      </w:r>
      <w:r>
        <w:rPr>
          <w:rFonts w:cs="Arial"/>
          <w:bCs/>
          <w:szCs w:val="20"/>
        </w:rPr>
        <w:t xml:space="preserve">; </w:t>
      </w:r>
    </w:p>
    <w:p>
      <w:pPr>
        <w:pStyle w:val="Normal"/>
        <w:numPr>
          <w:ilvl w:val="1"/>
          <w:numId w:val="4"/>
        </w:numPr>
        <w:tabs>
          <w:tab w:val="clear" w:pos="708"/>
          <w:tab w:val="left" w:pos="1440" w:leader="none"/>
        </w:tabs>
        <w:snapToGrid w:val="false"/>
        <w:spacing w:lineRule="auto" w:line="276" w:before="120" w:after="120"/>
        <w:jc w:val="both"/>
        <w:rPr>
          <w:rFonts w:cs="Arial"/>
          <w:b/>
          <w:b/>
          <w:szCs w:val="20"/>
        </w:rPr>
      </w:pPr>
      <w:r>
        <w:rPr>
          <w:rFonts w:cs="Arial"/>
          <w:szCs w:val="20"/>
        </w:rPr>
        <w:t>prova de regularidade com a Fazenda</w:t>
      </w:r>
      <w:r>
        <w:rPr>
          <w:rFonts w:cs="Arial"/>
          <w:i w:val="false"/>
          <w:iCs w:val="false"/>
          <w:color w:val="auto"/>
          <w:szCs w:val="20"/>
        </w:rPr>
        <w:t xml:space="preserve"> Estadual e/ou Municipal d</w:t>
      </w:r>
      <w:r>
        <w:rPr>
          <w:rFonts w:cs="Arial"/>
          <w:szCs w:val="20"/>
        </w:rPr>
        <w:t xml:space="preserve">o domicílio ou sede do fornecedor, relativa à atividade em cujo exercício contrata ou concorre; </w:t>
      </w:r>
    </w:p>
    <w:p>
      <w:pPr>
        <w:pStyle w:val="Normal"/>
        <w:numPr>
          <w:ilvl w:val="1"/>
          <w:numId w:val="4"/>
        </w:numPr>
        <w:tabs>
          <w:tab w:val="clear" w:pos="708"/>
          <w:tab w:val="left" w:pos="1440" w:leader="none"/>
        </w:tabs>
        <w:snapToGrid w:val="false"/>
        <w:spacing w:lineRule="auto" w:line="276" w:before="120" w:after="120"/>
        <w:jc w:val="both"/>
        <w:rPr>
          <w:rFonts w:cs="Arial"/>
          <w:b/>
          <w:b/>
          <w:szCs w:val="20"/>
        </w:rPr>
      </w:pPr>
      <w:r>
        <w:rPr>
          <w:rFonts w:cs="Arial"/>
          <w:szCs w:val="20"/>
        </w:rPr>
        <w:t>caso o fornecedor seja considerado isento dos tributo</w:t>
      </w:r>
      <w:r>
        <w:rPr>
          <w:rFonts w:cs="Arial"/>
          <w:i w:val="false"/>
          <w:iCs w:val="false"/>
          <w:color w:val="auto"/>
          <w:szCs w:val="20"/>
        </w:rPr>
        <w:t>s estaduais</w:t>
      </w:r>
      <w:r>
        <w:rPr>
          <w:rFonts w:cs="Arial"/>
          <w:b w:val="false"/>
          <w:bCs w:val="false"/>
          <w:i w:val="false"/>
          <w:iCs w:val="false"/>
          <w:color w:val="auto"/>
          <w:szCs w:val="20"/>
          <w:u w:val="none"/>
        </w:rPr>
        <w:t xml:space="preserve"> ou </w:t>
      </w:r>
      <w:r>
        <w:rPr>
          <w:rFonts w:cs="Arial"/>
          <w:i w:val="false"/>
          <w:iCs w:val="false"/>
          <w:color w:val="auto"/>
          <w:szCs w:val="20"/>
        </w:rPr>
        <w:t>municipais</w:t>
      </w:r>
      <w:r>
        <w:rPr>
          <w:rFonts w:cs="Arial"/>
          <w:color w:val="FF0000"/>
          <w:szCs w:val="20"/>
        </w:rPr>
        <w:t xml:space="preserve"> </w:t>
      </w:r>
      <w:r>
        <w:rPr>
          <w:rFonts w:cs="Arial"/>
          <w:szCs w:val="20"/>
        </w:rPr>
        <w:t xml:space="preserve">relacionados ao objeto contratual, deverá comprovar tal condição mediante a apresentação de declaração da Fazenda respectiva do seu domicílio ou sede, ou outra equivalente, na forma da lei; </w:t>
      </w:r>
    </w:p>
    <w:p>
      <w:pPr>
        <w:pStyle w:val="Normal"/>
        <w:tabs>
          <w:tab w:val="clear" w:pos="708"/>
          <w:tab w:val="left" w:pos="1440" w:leader="none"/>
        </w:tabs>
        <w:snapToGrid w:val="false"/>
        <w:spacing w:lineRule="auto" w:line="276" w:before="120" w:after="120"/>
        <w:jc w:val="both"/>
        <w:rPr>
          <w:rFonts w:cs="Arial"/>
          <w:b/>
          <w:b/>
          <w:szCs w:val="20"/>
        </w:rPr>
      </w:pPr>
      <w:r>
        <w:rPr>
          <w:rFonts w:cs="Arial"/>
          <w:b/>
          <w:szCs w:val="20"/>
        </w:rPr>
      </w:r>
    </w:p>
    <w:p>
      <w:pPr>
        <w:pStyle w:val="PADRO"/>
        <w:keepNext w:val="false"/>
        <w:widowControl/>
        <w:numPr>
          <w:ilvl w:val="0"/>
          <w:numId w:val="4"/>
        </w:numPr>
        <w:shd w:val="clear" w:fill="FFFFFF"/>
        <w:spacing w:before="120" w:after="120"/>
        <w:rPr>
          <w:rFonts w:ascii="Arial" w:hAnsi="Arial"/>
          <w:b/>
          <w:b/>
          <w:bCs/>
        </w:rPr>
      </w:pPr>
      <w:r>
        <w:rPr>
          <w:rFonts w:ascii="Arial" w:hAnsi="Arial"/>
          <w:b/>
          <w:bCs/>
          <w:color w:val="000000"/>
        </w:rPr>
        <w:t xml:space="preserve"> </w:t>
      </w:r>
      <w:r>
        <w:rPr>
          <w:rFonts w:ascii="Arial" w:hAnsi="Arial"/>
          <w:b/>
          <w:bCs/>
          <w:color w:val="000000"/>
        </w:rPr>
        <w:t>Além das exigências descritas acima, o fornecedor deverá apresentar os documentos listados no item 9 do Termo de Referência.</w:t>
      </w:r>
    </w:p>
    <w:p>
      <w:pPr>
        <w:pStyle w:val="Normal"/>
        <w:tabs>
          <w:tab w:val="clear" w:pos="708"/>
          <w:tab w:val="left" w:pos="1440" w:leader="none"/>
        </w:tabs>
        <w:snapToGrid w:val="false"/>
        <w:spacing w:lineRule="auto" w:line="276" w:before="120" w:after="120"/>
        <w:jc w:val="both"/>
        <w:rPr>
          <w:rFonts w:cs="Arial"/>
          <w:b/>
          <w:b/>
          <w:szCs w:val="20"/>
        </w:rPr>
      </w:pPr>
      <w:r>
        <w:rPr>
          <w:rFonts w:cs="Arial"/>
          <w:b/>
          <w:szCs w:val="20"/>
        </w:rPr>
      </w:r>
    </w:p>
    <w:p>
      <w:pPr>
        <w:pStyle w:val="Normal"/>
        <w:tabs>
          <w:tab w:val="clear" w:pos="708"/>
          <w:tab w:val="left" w:pos="1440" w:leader="none"/>
        </w:tabs>
        <w:snapToGrid w:val="false"/>
        <w:spacing w:lineRule="auto" w:line="276" w:before="120" w:after="120"/>
        <w:jc w:val="both"/>
        <w:rPr>
          <w:rFonts w:cs="Arial"/>
          <w:b/>
          <w:b/>
          <w:szCs w:val="20"/>
        </w:rPr>
      </w:pPr>
      <w:r>
        <w:rPr>
          <w:rFonts w:cs="Arial"/>
          <w:b/>
          <w:szCs w:val="20"/>
        </w:rPr>
      </w:r>
    </w:p>
    <w:p>
      <w:pPr>
        <w:pStyle w:val="Normal"/>
        <w:tabs>
          <w:tab w:val="clear" w:pos="708"/>
          <w:tab w:val="left" w:pos="1440" w:leader="none"/>
        </w:tabs>
        <w:snapToGrid w:val="false"/>
        <w:spacing w:lineRule="auto" w:line="276" w:before="120" w:after="120"/>
        <w:jc w:val="both"/>
        <w:rPr>
          <w:rFonts w:cs="Arial"/>
          <w:b/>
          <w:b/>
          <w:szCs w:val="20"/>
        </w:rPr>
      </w:pPr>
      <w:r>
        <w:rPr>
          <w:rFonts w:cs="Arial"/>
          <w:b/>
          <w:szCs w:val="20"/>
        </w:rPr>
      </w:r>
    </w:p>
    <w:p>
      <w:pPr>
        <w:pStyle w:val="Normal"/>
        <w:tabs>
          <w:tab w:val="clear" w:pos="708"/>
          <w:tab w:val="left" w:pos="1440" w:leader="none"/>
        </w:tabs>
        <w:snapToGrid w:val="false"/>
        <w:spacing w:lineRule="auto" w:line="276" w:before="120" w:after="120"/>
        <w:jc w:val="both"/>
        <w:rPr>
          <w:rFonts w:cs="Arial"/>
          <w:b/>
          <w:b/>
          <w:szCs w:val="20"/>
        </w:rPr>
      </w:pPr>
      <w:r>
        <w:rPr>
          <w:rFonts w:cs="Arial"/>
          <w:b/>
          <w:szCs w:val="20"/>
        </w:rPr>
      </w:r>
    </w:p>
    <w:p>
      <w:pPr>
        <w:pStyle w:val="Normal"/>
        <w:tabs>
          <w:tab w:val="clear" w:pos="708"/>
          <w:tab w:val="left" w:pos="1440" w:leader="none"/>
        </w:tabs>
        <w:snapToGrid w:val="false"/>
        <w:spacing w:lineRule="auto" w:line="276" w:before="120" w:after="120"/>
        <w:jc w:val="both"/>
        <w:rPr>
          <w:rFonts w:cs="Arial"/>
          <w:b/>
          <w:b/>
          <w:szCs w:val="20"/>
        </w:rPr>
      </w:pPr>
      <w:r>
        <w:rPr>
          <w:rFonts w:cs="Arial"/>
          <w:b/>
          <w:szCs w:val="20"/>
        </w:rPr>
      </w:r>
    </w:p>
    <w:p>
      <w:pPr>
        <w:pStyle w:val="Normal"/>
        <w:tabs>
          <w:tab w:val="clear" w:pos="708"/>
          <w:tab w:val="left" w:pos="1440" w:leader="none"/>
        </w:tabs>
        <w:snapToGrid w:val="false"/>
        <w:spacing w:lineRule="auto" w:line="276" w:before="120" w:after="120"/>
        <w:jc w:val="both"/>
        <w:rPr>
          <w:rFonts w:cs="Arial"/>
          <w:b/>
          <w:b/>
          <w:szCs w:val="20"/>
        </w:rPr>
      </w:pPr>
      <w:r>
        <w:rPr>
          <w:rFonts w:cs="Arial"/>
          <w:b/>
          <w:szCs w:val="20"/>
        </w:rPr>
      </w:r>
    </w:p>
    <w:p>
      <w:pPr>
        <w:pStyle w:val="Normal"/>
        <w:tabs>
          <w:tab w:val="clear" w:pos="708"/>
          <w:tab w:val="left" w:pos="1440" w:leader="none"/>
        </w:tabs>
        <w:snapToGrid w:val="false"/>
        <w:spacing w:lineRule="auto" w:line="276" w:before="120" w:after="120"/>
        <w:jc w:val="both"/>
        <w:rPr>
          <w:rFonts w:cs="Arial"/>
          <w:b/>
          <w:b/>
          <w:szCs w:val="20"/>
        </w:rPr>
      </w:pPr>
      <w:r>
        <w:rPr>
          <w:rFonts w:cs="Arial"/>
          <w:b/>
          <w:szCs w:val="20"/>
        </w:rPr>
      </w:r>
    </w:p>
    <w:p>
      <w:pPr>
        <w:pStyle w:val="Normal"/>
        <w:tabs>
          <w:tab w:val="clear" w:pos="708"/>
          <w:tab w:val="left" w:pos="1440" w:leader="none"/>
        </w:tabs>
        <w:snapToGrid w:val="false"/>
        <w:spacing w:lineRule="auto" w:line="276" w:before="120" w:after="120"/>
        <w:jc w:val="both"/>
        <w:rPr>
          <w:rFonts w:cs="Arial"/>
          <w:b/>
          <w:b/>
          <w:szCs w:val="20"/>
        </w:rPr>
      </w:pPr>
      <w:r>
        <w:rPr>
          <w:rFonts w:cs="Arial"/>
          <w:b/>
          <w:szCs w:val="20"/>
        </w:rPr>
      </w:r>
    </w:p>
    <w:p>
      <w:pPr>
        <w:pStyle w:val="Normal"/>
        <w:tabs>
          <w:tab w:val="clear" w:pos="708"/>
          <w:tab w:val="left" w:pos="1440" w:leader="none"/>
        </w:tabs>
        <w:snapToGrid w:val="false"/>
        <w:spacing w:lineRule="auto" w:line="276" w:before="120" w:after="120"/>
        <w:jc w:val="both"/>
        <w:rPr>
          <w:rFonts w:cs="Arial"/>
          <w:b/>
          <w:b/>
          <w:szCs w:val="20"/>
        </w:rPr>
      </w:pPr>
      <w:r>
        <w:rPr>
          <w:rFonts w:cs="Arial"/>
          <w:b/>
          <w:szCs w:val="20"/>
        </w:rPr>
      </w:r>
    </w:p>
    <w:p>
      <w:pPr>
        <w:pStyle w:val="Normal"/>
        <w:tabs>
          <w:tab w:val="clear" w:pos="708"/>
          <w:tab w:val="left" w:pos="1440" w:leader="none"/>
        </w:tabs>
        <w:snapToGrid w:val="false"/>
        <w:spacing w:lineRule="auto" w:line="276" w:before="120" w:after="120"/>
        <w:jc w:val="both"/>
        <w:rPr>
          <w:rFonts w:cs="Arial"/>
          <w:b/>
          <w:b/>
          <w:szCs w:val="20"/>
        </w:rPr>
      </w:pPr>
      <w:r>
        <w:rPr>
          <w:rFonts w:cs="Arial"/>
          <w:b/>
          <w:szCs w:val="20"/>
        </w:rPr>
      </w:r>
    </w:p>
    <w:p>
      <w:pPr>
        <w:pStyle w:val="Normal"/>
        <w:widowControl/>
        <w:shd w:val="clear" w:fill="FFFFFF"/>
        <w:spacing w:before="120" w:after="120"/>
        <w:ind w:hanging="0"/>
        <w:jc w:val="center"/>
        <w:rPr/>
      </w:pPr>
      <w:r>
        <w:rPr>
          <w:rFonts w:ascii="Arial-BoldMT" w:hAnsi="Arial-BoldMT"/>
          <w:b/>
          <w:sz w:val="20"/>
        </w:rPr>
        <w:t>ANEXO II – MODELO DE PROPOSTA</w:t>
      </w:r>
    </w:p>
    <w:p>
      <w:pPr>
        <w:pStyle w:val="Normal"/>
        <w:jc w:val="left"/>
        <w:rPr/>
      </w:pPr>
      <w:r>
        <w:rPr>
          <w:rStyle w:val="Strong"/>
          <w:rFonts w:eastAsia="Calibri" w:cs="Calibri" w:cstheme="minorHAnsi"/>
          <w:b w:val="false"/>
          <w:bCs w:val="false"/>
          <w:color w:val="000000"/>
          <w:kern w:val="0"/>
          <w:sz w:val="20"/>
          <w:szCs w:val="20"/>
          <w:shd w:fill="FFFFFF" w:val="clear"/>
          <w:lang w:val="pt-BR" w:eastAsia="pt-BR" w:bidi="ar-SA"/>
        </w:rPr>
        <w:t>Razão Social:</w:t>
      </w:r>
    </w:p>
    <w:p>
      <w:pPr>
        <w:pStyle w:val="Normal"/>
        <w:jc w:val="left"/>
        <w:rPr/>
      </w:pPr>
      <w:r>
        <w:rPr>
          <w:rStyle w:val="Strong"/>
          <w:rFonts w:eastAsia="Calibri" w:cs="Calibri" w:cstheme="minorHAnsi"/>
          <w:b w:val="false"/>
          <w:bCs w:val="false"/>
          <w:color w:val="000000"/>
          <w:kern w:val="0"/>
          <w:sz w:val="20"/>
          <w:szCs w:val="20"/>
          <w:shd w:fill="FFFFFF" w:val="clear"/>
          <w:lang w:val="pt-BR" w:eastAsia="pt-BR" w:bidi="ar-SA"/>
        </w:rPr>
        <w:t>CNPJ:</w:t>
      </w:r>
    </w:p>
    <w:p>
      <w:pPr>
        <w:pStyle w:val="Normal"/>
        <w:jc w:val="left"/>
        <w:rPr/>
      </w:pPr>
      <w:r>
        <w:rPr>
          <w:rStyle w:val="Strong"/>
          <w:rFonts w:eastAsia="Calibri" w:cs="Calibri" w:cstheme="minorHAnsi"/>
          <w:b w:val="false"/>
          <w:bCs w:val="false"/>
          <w:color w:val="000000"/>
          <w:kern w:val="0"/>
          <w:sz w:val="20"/>
          <w:szCs w:val="20"/>
          <w:shd w:fill="FFFFFF" w:val="clear"/>
          <w:lang w:val="pt-BR" w:eastAsia="pt-BR" w:bidi="ar-SA"/>
        </w:rPr>
        <w:t>Endereço:</w:t>
      </w:r>
    </w:p>
    <w:p>
      <w:pPr>
        <w:pStyle w:val="Normal"/>
        <w:jc w:val="left"/>
        <w:rPr/>
      </w:pPr>
      <w:r>
        <w:rPr>
          <w:rStyle w:val="Strong"/>
          <w:rFonts w:eastAsia="Calibri" w:cs="Calibri" w:cstheme="minorHAnsi"/>
          <w:b w:val="false"/>
          <w:bCs w:val="false"/>
          <w:color w:val="000000"/>
          <w:kern w:val="0"/>
          <w:sz w:val="20"/>
          <w:szCs w:val="20"/>
          <w:shd w:fill="FFFFFF" w:val="clear"/>
          <w:lang w:val="pt-BR" w:eastAsia="pt-BR" w:bidi="ar-SA"/>
        </w:rPr>
        <w:t>CEP:</w:t>
      </w:r>
    </w:p>
    <w:p>
      <w:pPr>
        <w:pStyle w:val="Normal"/>
        <w:jc w:val="left"/>
        <w:rPr/>
      </w:pPr>
      <w:r>
        <w:rPr>
          <w:rStyle w:val="Strong"/>
          <w:rFonts w:eastAsia="Calibri" w:cs="Calibri" w:cstheme="minorHAnsi"/>
          <w:b w:val="false"/>
          <w:bCs w:val="false"/>
          <w:color w:val="000000"/>
          <w:kern w:val="0"/>
          <w:sz w:val="20"/>
          <w:szCs w:val="20"/>
          <w:shd w:fill="FFFFFF" w:val="clear"/>
          <w:lang w:val="pt-BR" w:eastAsia="pt-BR" w:bidi="ar-SA"/>
        </w:rPr>
        <w:t>Tel:</w:t>
      </w:r>
    </w:p>
    <w:p>
      <w:pPr>
        <w:pStyle w:val="Normal"/>
        <w:jc w:val="left"/>
        <w:rPr/>
      </w:pPr>
      <w:r>
        <w:rPr>
          <w:rStyle w:val="Strong"/>
          <w:rFonts w:eastAsia="Calibri" w:cs="Calibri" w:cstheme="minorHAnsi"/>
          <w:b w:val="false"/>
          <w:bCs w:val="false"/>
          <w:color w:val="000000"/>
          <w:kern w:val="0"/>
          <w:sz w:val="20"/>
          <w:szCs w:val="20"/>
          <w:shd w:fill="FFFFFF" w:val="clear"/>
          <w:lang w:val="pt-BR" w:eastAsia="pt-BR" w:bidi="ar-SA"/>
        </w:rPr>
        <w:t>E-mail:</w:t>
      </w:r>
    </w:p>
    <w:p>
      <w:pPr>
        <w:pStyle w:val="Normal"/>
        <w:jc w:val="left"/>
        <w:rPr>
          <w:rFonts w:ascii="Arial" w:hAnsi="Arial" w:eastAsia="Calibri" w:cs="Calibri" w:cstheme="minorHAnsi"/>
          <w:b w:val="false"/>
          <w:b w:val="false"/>
          <w:bCs w:val="false"/>
          <w:color w:val="000000"/>
          <w:kern w:val="0"/>
          <w:sz w:val="20"/>
          <w:szCs w:val="20"/>
          <w:shd w:fill="FFFFFF" w:val="clear"/>
          <w:lang w:val="pt-BR" w:eastAsia="pt-BR" w:bidi="ar-SA"/>
        </w:rPr>
      </w:pPr>
      <w:r>
        <w:rPr>
          <w:rFonts w:eastAsia="Calibri" w:cs="Calibri" w:cstheme="minorHAnsi"/>
          <w:b w:val="false"/>
          <w:bCs w:val="false"/>
          <w:color w:val="000000"/>
          <w:kern w:val="0"/>
          <w:sz w:val="20"/>
          <w:szCs w:val="20"/>
          <w:shd w:fill="FFFFFF" w:val="clear"/>
          <w:lang w:val="pt-BR" w:eastAsia="pt-BR" w:bidi="ar-SA"/>
        </w:rPr>
      </w:r>
    </w:p>
    <w:p>
      <w:pPr>
        <w:pStyle w:val="Normal"/>
        <w:jc w:val="left"/>
        <w:rPr>
          <w:rFonts w:ascii="Arial" w:hAnsi="Arial"/>
          <w:sz w:val="20"/>
          <w:szCs w:val="20"/>
        </w:rPr>
      </w:pPr>
      <w:r>
        <w:rPr>
          <w:b/>
          <w:sz w:val="20"/>
          <w:szCs w:val="20"/>
        </w:rPr>
        <w:t>Ao Instituto Federal do Espírito Santo – Campus Centro-Serrano,</w:t>
      </w:r>
    </w:p>
    <w:p>
      <w:pPr>
        <w:pStyle w:val="Normal"/>
        <w:jc w:val="left"/>
        <w:rPr>
          <w:rFonts w:ascii="Arial" w:hAnsi="Arial"/>
        </w:rPr>
      </w:pPr>
      <w:r>
        <w:rPr>
          <w:b/>
          <w:sz w:val="20"/>
        </w:rPr>
        <w:t xml:space="preserve">                                                                                       </w:t>
      </w:r>
    </w:p>
    <w:p>
      <w:pPr>
        <w:pStyle w:val="Normal"/>
        <w:jc w:val="center"/>
        <w:rPr>
          <w:rFonts w:ascii="Arial" w:hAnsi="Arial"/>
        </w:rPr>
      </w:pPr>
      <w:r>
        <w:rPr>
          <w:b/>
          <w:sz w:val="24"/>
        </w:rPr>
        <w:t>Proposta de Preços</w:t>
      </w:r>
    </w:p>
    <w:p>
      <w:pPr>
        <w:pStyle w:val="Normal"/>
        <w:jc w:val="left"/>
        <w:rPr>
          <w:rFonts w:ascii="Arial" w:hAnsi="Arial"/>
          <w:b/>
          <w:b/>
          <w:sz w:val="22"/>
        </w:rPr>
      </w:pPr>
      <w:r>
        <w:rPr>
          <w:b/>
          <w:sz w:val="22"/>
        </w:rPr>
      </w:r>
    </w:p>
    <w:p>
      <w:pPr>
        <w:pStyle w:val="Normal"/>
        <w:jc w:val="left"/>
        <w:rPr>
          <w:rFonts w:ascii="Arial" w:hAnsi="Arial"/>
          <w:b/>
          <w:b/>
          <w:sz w:val="22"/>
        </w:rPr>
      </w:pPr>
      <w:r>
        <w:rPr>
          <w:b/>
          <w:sz w:val="22"/>
        </w:rPr>
      </w:r>
    </w:p>
    <w:p>
      <w:pPr>
        <w:pStyle w:val="Normal"/>
        <w:jc w:val="left"/>
        <w:rPr>
          <w:rFonts w:ascii="Arial" w:hAnsi="Arial"/>
          <w:b/>
          <w:b/>
          <w:sz w:val="22"/>
        </w:rPr>
      </w:pPr>
      <w:r>
        <w:rPr>
          <w:b/>
          <w:sz w:val="22"/>
        </w:rPr>
      </w:r>
    </w:p>
    <w:p>
      <w:pPr>
        <w:pStyle w:val="Normal"/>
        <w:jc w:val="left"/>
        <w:rPr>
          <w:rFonts w:ascii="Arial" w:hAnsi="Arial"/>
          <w:b/>
          <w:b/>
          <w:sz w:val="22"/>
        </w:rPr>
      </w:pPr>
      <w:r>
        <w:rPr>
          <w:b/>
          <w:sz w:val="22"/>
        </w:rPr>
      </w:r>
    </w:p>
    <w:tbl>
      <w:tblPr>
        <w:tblW w:w="10088" w:type="dxa"/>
        <w:jc w:val="left"/>
        <w:tblInd w:w="-449" w:type="dxa"/>
        <w:tblLayout w:type="fixed"/>
        <w:tblCellMar>
          <w:top w:w="0" w:type="dxa"/>
          <w:left w:w="108" w:type="dxa"/>
          <w:bottom w:w="0" w:type="dxa"/>
          <w:right w:w="108" w:type="dxa"/>
        </w:tblCellMar>
        <w:tblLook w:firstRow="1" w:noVBand="1" w:lastRow="0" w:firstColumn="1" w:lastColumn="0" w:noHBand="0" w:val="04a0"/>
      </w:tblPr>
      <w:tblGrid>
        <w:gridCol w:w="850"/>
        <w:gridCol w:w="5095"/>
        <w:gridCol w:w="1028"/>
        <w:gridCol w:w="843"/>
        <w:gridCol w:w="1079"/>
        <w:gridCol w:w="1192"/>
      </w:tblGrid>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Arial" w:hAnsi="Arial"/>
                <w:sz w:val="16"/>
                <w:szCs w:val="16"/>
              </w:rPr>
            </w:pPr>
            <w:r>
              <w:rPr>
                <w:rFonts w:cs="Arial"/>
                <w:b/>
                <w:bCs/>
                <w:color w:val="000000"/>
                <w:sz w:val="16"/>
                <w:szCs w:val="16"/>
              </w:rPr>
              <w:t>ITEM</w:t>
            </w:r>
          </w:p>
        </w:tc>
        <w:tc>
          <w:tcPr>
            <w:tcW w:w="509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sz w:val="16"/>
                <w:szCs w:val="16"/>
              </w:rPr>
            </w:pPr>
            <w:r>
              <w:rPr>
                <w:rFonts w:cs="Arial"/>
                <w:b/>
                <w:bCs/>
                <w:color w:val="000000"/>
                <w:sz w:val="16"/>
                <w:szCs w:val="16"/>
              </w:rPr>
              <w:t>DESCRIÇÃO/ESPECIFICAÇÃO</w:t>
            </w:r>
          </w:p>
        </w:tc>
        <w:tc>
          <w:tcPr>
            <w:tcW w:w="10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Arial" w:hAnsi="Arial"/>
                <w:sz w:val="16"/>
                <w:szCs w:val="16"/>
              </w:rPr>
            </w:pPr>
            <w:r>
              <w:rPr>
                <w:rFonts w:cs="Arial"/>
                <w:b/>
                <w:bCs/>
                <w:color w:val="000000"/>
                <w:sz w:val="16"/>
                <w:szCs w:val="16"/>
              </w:rPr>
              <w:t>UNIDADE DE MEDIDA</w:t>
            </w:r>
          </w:p>
        </w:tc>
        <w:tc>
          <w:tcPr>
            <w:tcW w:w="8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Arial" w:hAnsi="Arial"/>
                <w:sz w:val="16"/>
                <w:szCs w:val="16"/>
              </w:rPr>
            </w:pPr>
            <w:r>
              <w:rPr>
                <w:rFonts w:cs="Arial"/>
                <w:b/>
                <w:bCs/>
                <w:color w:val="000000"/>
                <w:sz w:val="16"/>
                <w:szCs w:val="16"/>
              </w:rPr>
              <w:t>QUANT.</w:t>
            </w:r>
          </w:p>
        </w:tc>
        <w:tc>
          <w:tcPr>
            <w:tcW w:w="107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Arial" w:hAnsi="Arial"/>
                <w:sz w:val="16"/>
                <w:szCs w:val="16"/>
              </w:rPr>
            </w:pPr>
            <w:r>
              <w:rPr>
                <w:rFonts w:cs="Arial"/>
                <w:b/>
                <w:bCs/>
                <w:color w:val="000000"/>
                <w:sz w:val="16"/>
                <w:szCs w:val="16"/>
              </w:rPr>
              <w:t>VALOR UNITÁRIO ESTIMADO</w:t>
            </w:r>
          </w:p>
        </w:tc>
        <w:tc>
          <w:tcPr>
            <w:tcW w:w="11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Arial" w:hAnsi="Arial"/>
                <w:sz w:val="16"/>
                <w:szCs w:val="16"/>
              </w:rPr>
            </w:pPr>
            <w:r>
              <w:rPr>
                <w:rFonts w:cs="Arial"/>
                <w:b/>
                <w:bCs/>
                <w:color w:val="000000"/>
                <w:sz w:val="16"/>
                <w:szCs w:val="16"/>
              </w:rPr>
              <w:t>VALOR ESTIMADO TOTAL</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sz w:val="16"/>
                <w:szCs w:val="16"/>
              </w:rPr>
            </w:pPr>
            <w:r>
              <w:rPr>
                <w:rFonts w:cs="Arial"/>
                <w:b w:val="false"/>
                <w:bCs w:val="false"/>
                <w:color w:val="000000"/>
                <w:sz w:val="16"/>
                <w:szCs w:val="16"/>
              </w:rPr>
              <w:t>1</w:t>
            </w:r>
          </w:p>
        </w:tc>
        <w:tc>
          <w:tcPr>
            <w:tcW w:w="509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sz w:val="16"/>
                <w:szCs w:val="16"/>
              </w:rPr>
            </w:pPr>
            <w:r>
              <w:rPr>
                <w:sz w:val="16"/>
                <w:szCs w:val="16"/>
              </w:rPr>
              <w:t>Assinatura de ddr com range de no mímino 30 números com serviço de SIP Trunking para telefonia fixa DDR (Discagem Direta a Ramal) com mínimo de 10 canais. portabilidade de números atuais, permitindo realizar e receber ligações telefônicas, chamadas locais e nacionais ilimitadas, com destino a telefones fixos e móveis de qualquer operadora.</w:t>
            </w:r>
          </w:p>
        </w:tc>
        <w:tc>
          <w:tcPr>
            <w:tcW w:w="10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76" w:before="0" w:after="120"/>
              <w:jc w:val="center"/>
              <w:rPr>
                <w:rFonts w:ascii="Arial" w:hAnsi="Arial"/>
                <w:sz w:val="16"/>
                <w:szCs w:val="16"/>
              </w:rPr>
            </w:pPr>
            <w:r>
              <w:rPr>
                <w:sz w:val="16"/>
                <w:szCs w:val="16"/>
              </w:rPr>
              <w:t>Mensal</w:t>
            </w:r>
          </w:p>
        </w:tc>
        <w:tc>
          <w:tcPr>
            <w:tcW w:w="8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76" w:before="0" w:after="120"/>
              <w:jc w:val="center"/>
              <w:rPr>
                <w:rFonts w:ascii="Arial" w:hAnsi="Arial"/>
                <w:sz w:val="16"/>
                <w:szCs w:val="16"/>
              </w:rPr>
            </w:pPr>
            <w:r>
              <w:rPr>
                <w:rFonts w:cs="Arial"/>
                <w:b w:val="false"/>
                <w:bCs w:val="false"/>
                <w:color w:val="000000"/>
                <w:sz w:val="16"/>
                <w:szCs w:val="16"/>
              </w:rPr>
              <w:t>24</w:t>
            </w:r>
          </w:p>
        </w:tc>
        <w:tc>
          <w:tcPr>
            <w:tcW w:w="107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76" w:before="0" w:after="120"/>
              <w:jc w:val="center"/>
              <w:rPr>
                <w:rFonts w:ascii="Arial" w:hAnsi="Arial"/>
                <w:sz w:val="16"/>
                <w:szCs w:val="16"/>
              </w:rPr>
            </w:pPr>
            <w:r>
              <w:rPr>
                <w:rFonts w:cs="Arial"/>
                <w:b w:val="false"/>
                <w:bCs w:val="false"/>
                <w:color w:val="000000"/>
                <w:sz w:val="16"/>
                <w:szCs w:val="16"/>
              </w:rPr>
              <w:t>R$</w:t>
            </w:r>
          </w:p>
        </w:tc>
        <w:tc>
          <w:tcPr>
            <w:tcW w:w="11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76" w:before="0" w:after="120"/>
              <w:jc w:val="center"/>
              <w:rPr>
                <w:rFonts w:ascii="Arial" w:hAnsi="Arial"/>
                <w:sz w:val="16"/>
                <w:szCs w:val="16"/>
              </w:rPr>
            </w:pPr>
            <w:r>
              <w:rPr>
                <w:rFonts w:cs="Arial"/>
                <w:b w:val="false"/>
                <w:bCs w:val="false"/>
                <w:color w:val="000000"/>
                <w:sz w:val="16"/>
                <w:szCs w:val="16"/>
              </w:rPr>
              <w:t>R$</w:t>
            </w:r>
          </w:p>
        </w:tc>
      </w:tr>
      <w:tr>
        <w:trPr/>
        <w:tc>
          <w:tcPr>
            <w:tcW w:w="8895" w:type="dxa"/>
            <w:gridSpan w:val="5"/>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76" w:before="0" w:after="120"/>
              <w:jc w:val="center"/>
              <w:rPr>
                <w:rFonts w:ascii="Arial" w:hAnsi="Arial"/>
                <w:sz w:val="16"/>
                <w:szCs w:val="16"/>
              </w:rPr>
            </w:pPr>
            <w:r>
              <w:rPr>
                <w:rFonts w:cs="Arial"/>
                <w:b/>
                <w:bCs/>
                <w:color w:val="000000"/>
                <w:sz w:val="16"/>
                <w:szCs w:val="16"/>
              </w:rPr>
              <w:t>VALOR ESTIMADO TOTAL</w:t>
            </w:r>
          </w:p>
        </w:tc>
        <w:tc>
          <w:tcPr>
            <w:tcW w:w="1192"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76" w:before="0" w:after="120"/>
              <w:jc w:val="center"/>
              <w:rPr>
                <w:rFonts w:ascii="Arial" w:hAnsi="Arial"/>
                <w:sz w:val="16"/>
                <w:szCs w:val="16"/>
              </w:rPr>
            </w:pPr>
            <w:r>
              <w:rPr>
                <w:rFonts w:cs="Arial"/>
                <w:b/>
                <w:bCs/>
                <w:color w:val="000000"/>
                <w:sz w:val="16"/>
                <w:szCs w:val="16"/>
              </w:rPr>
              <w:t>R$</w:t>
            </w:r>
          </w:p>
        </w:tc>
      </w:tr>
    </w:tbl>
    <w:p>
      <w:pPr>
        <w:pStyle w:val="Normal"/>
        <w:jc w:val="left"/>
        <w:rPr>
          <w:rFonts w:ascii="Arial" w:hAnsi="Arial"/>
          <w:b/>
          <w:b/>
          <w:sz w:val="22"/>
        </w:rPr>
      </w:pPr>
      <w:r>
        <w:rPr>
          <w:b/>
          <w:sz w:val="22"/>
        </w:rPr>
      </w:r>
    </w:p>
    <w:p>
      <w:pPr>
        <w:pStyle w:val="Normal"/>
        <w:jc w:val="left"/>
        <w:rPr>
          <w:rFonts w:ascii="Arial" w:hAnsi="Arial"/>
          <w:b/>
          <w:b/>
          <w:sz w:val="22"/>
        </w:rPr>
      </w:pPr>
      <w:r>
        <w:rPr>
          <w:b/>
          <w:sz w:val="22"/>
        </w:rPr>
      </w:r>
    </w:p>
    <w:p>
      <w:pPr>
        <w:pStyle w:val="Normal"/>
        <w:jc w:val="left"/>
        <w:rPr>
          <w:rFonts w:ascii="Arial" w:hAnsi="Arial"/>
          <w:b/>
          <w:b/>
          <w:sz w:val="22"/>
        </w:rPr>
      </w:pPr>
      <w:r>
        <w:rPr>
          <w:b/>
          <w:sz w:val="22"/>
        </w:rPr>
      </w:r>
    </w:p>
    <w:p>
      <w:pPr>
        <w:pStyle w:val="Normal"/>
        <w:jc w:val="left"/>
        <w:rPr>
          <w:rFonts w:ascii="Arial" w:hAnsi="Arial"/>
        </w:rPr>
      </w:pPr>
      <w:r>
        <w:rPr>
          <w:b/>
          <w:sz w:val="22"/>
        </w:rPr>
        <w:t xml:space="preserve">                                                   </w:t>
      </w:r>
    </w:p>
    <w:p>
      <w:pPr>
        <w:pStyle w:val="Normal"/>
        <w:jc w:val="left"/>
        <w:rPr/>
      </w:pPr>
      <w:r>
        <w:rPr>
          <w:rStyle w:val="Strong"/>
          <w:rFonts w:eastAsia="Calibri" w:cs="Calibri" w:cstheme="minorHAnsi"/>
          <w:b w:val="false"/>
          <w:bCs w:val="false"/>
          <w:color w:val="000000"/>
          <w:kern w:val="0"/>
          <w:sz w:val="20"/>
          <w:szCs w:val="20"/>
          <w:shd w:fill="FFFFFF" w:val="clear"/>
          <w:lang w:val="pt-BR" w:eastAsia="pt-BR" w:bidi="ar-SA"/>
        </w:rPr>
        <w:t>Valor Total: R$ __________,____</w:t>
      </w:r>
    </w:p>
    <w:p>
      <w:pPr>
        <w:pStyle w:val="Normal"/>
        <w:jc w:val="left"/>
        <w:rPr>
          <w:rFonts w:ascii="Arial" w:hAnsi="Arial" w:eastAsia="Calibri" w:cs="Calibri" w:cstheme="minorHAnsi"/>
          <w:b w:val="false"/>
          <w:b w:val="false"/>
          <w:bCs w:val="false"/>
          <w:color w:val="000000"/>
          <w:kern w:val="0"/>
          <w:sz w:val="20"/>
          <w:szCs w:val="20"/>
          <w:shd w:fill="FFFFFF" w:val="clear"/>
          <w:lang w:val="pt-BR" w:eastAsia="pt-BR" w:bidi="ar-SA"/>
        </w:rPr>
      </w:pPr>
      <w:r>
        <w:rPr>
          <w:rFonts w:eastAsia="Calibri" w:cs="Calibri" w:cstheme="minorHAnsi"/>
          <w:b w:val="false"/>
          <w:bCs w:val="false"/>
          <w:color w:val="000000"/>
          <w:kern w:val="0"/>
          <w:sz w:val="20"/>
          <w:szCs w:val="20"/>
          <w:shd w:fill="FFFFFF" w:val="clear"/>
          <w:lang w:val="pt-BR" w:eastAsia="pt-BR" w:bidi="ar-SA"/>
        </w:rPr>
      </w:r>
    </w:p>
    <w:p>
      <w:pPr>
        <w:pStyle w:val="Normal"/>
        <w:jc w:val="left"/>
        <w:rPr/>
      </w:pPr>
      <w:r>
        <w:rPr>
          <w:rStyle w:val="Strong"/>
          <w:rFonts w:eastAsia="Calibri" w:cs="Calibri" w:cstheme="minorHAnsi"/>
          <w:b w:val="false"/>
          <w:bCs w:val="false"/>
          <w:color w:val="000000"/>
          <w:kern w:val="0"/>
          <w:sz w:val="20"/>
          <w:szCs w:val="20"/>
          <w:shd w:fill="FFFFFF" w:val="clear"/>
          <w:lang w:val="pt-BR" w:eastAsia="pt-BR" w:bidi="ar-SA"/>
        </w:rPr>
        <w:t>(Local_____________________ - ____, _________ de ____________ de 20____)</w:t>
      </w:r>
    </w:p>
    <w:p>
      <w:pPr>
        <w:pStyle w:val="Normal"/>
        <w:jc w:val="left"/>
        <w:rPr>
          <w:rStyle w:val="Strong"/>
          <w:rFonts w:eastAsia="Calibri" w:cs="Calibri" w:cstheme="minorHAnsi"/>
          <w:b w:val="false"/>
          <w:b w:val="false"/>
          <w:bCs w:val="false"/>
          <w:color w:val="000000"/>
          <w:kern w:val="0"/>
          <w:sz w:val="20"/>
          <w:szCs w:val="20"/>
          <w:shd w:fill="FFFFFF" w:val="clear"/>
          <w:lang w:val="pt-BR" w:eastAsia="pt-BR" w:bidi="ar-SA"/>
        </w:rPr>
      </w:pPr>
      <w:r>
        <w:rPr>
          <w:rFonts w:eastAsia="Calibri" w:cs="Calibri" w:cstheme="minorHAnsi"/>
          <w:b w:val="false"/>
          <w:bCs w:val="false"/>
          <w:color w:val="000000"/>
          <w:kern w:val="0"/>
          <w:sz w:val="20"/>
          <w:szCs w:val="20"/>
          <w:shd w:fill="FFFFFF" w:val="clear"/>
          <w:lang w:val="pt-BR" w:eastAsia="pt-BR" w:bidi="ar-SA"/>
        </w:rPr>
      </w:r>
    </w:p>
    <w:p>
      <w:pPr>
        <w:pStyle w:val="Normal"/>
        <w:jc w:val="left"/>
        <w:rPr/>
      </w:pPr>
      <w:r>
        <w:rPr>
          <w:rStyle w:val="Strong"/>
          <w:rFonts w:eastAsia="Calibri" w:cs="Calibri" w:cstheme="minorHAnsi"/>
          <w:b w:val="false"/>
          <w:bCs w:val="false"/>
          <w:color w:val="000000"/>
          <w:kern w:val="0"/>
          <w:sz w:val="20"/>
          <w:szCs w:val="20"/>
          <w:shd w:fill="FFFFFF" w:val="clear"/>
          <w:lang w:val="pt-BR" w:eastAsia="pt-BR" w:bidi="ar-SA"/>
        </w:rPr>
        <w:t>Nome:</w:t>
      </w:r>
    </w:p>
    <w:p>
      <w:pPr>
        <w:pStyle w:val="Normal"/>
        <w:jc w:val="left"/>
        <w:rPr/>
      </w:pPr>
      <w:r>
        <w:rPr>
          <w:rStyle w:val="Strong"/>
          <w:rFonts w:eastAsia="Calibri" w:cs="Calibri" w:cstheme="minorHAnsi"/>
          <w:b w:val="false"/>
          <w:bCs w:val="false"/>
          <w:color w:val="000000"/>
          <w:kern w:val="0"/>
          <w:sz w:val="20"/>
          <w:szCs w:val="20"/>
          <w:shd w:fill="FFFFFF" w:val="clear"/>
          <w:lang w:val="pt-BR" w:eastAsia="pt-BR" w:bidi="ar-SA"/>
        </w:rPr>
        <w:t>Cargo:</w:t>
      </w:r>
    </w:p>
    <w:p>
      <w:pPr>
        <w:pStyle w:val="Normal"/>
        <w:jc w:val="left"/>
        <w:rPr>
          <w:rStyle w:val="Strong"/>
          <w:rFonts w:eastAsia="Calibri" w:cs="Calibri" w:cstheme="minorHAnsi"/>
          <w:b w:val="false"/>
          <w:b w:val="false"/>
          <w:bCs w:val="false"/>
          <w:color w:val="000000"/>
          <w:kern w:val="0"/>
          <w:sz w:val="20"/>
          <w:szCs w:val="20"/>
          <w:shd w:fill="FFFFFF" w:val="clear"/>
          <w:lang w:val="pt-BR" w:eastAsia="pt-BR" w:bidi="ar-SA"/>
        </w:rPr>
      </w:pPr>
      <w:r>
        <w:rPr>
          <w:rFonts w:eastAsia="Calibri" w:cs="Calibri" w:cstheme="minorHAnsi"/>
          <w:b w:val="false"/>
          <w:bCs w:val="false"/>
          <w:color w:val="000000"/>
          <w:kern w:val="0"/>
          <w:sz w:val="20"/>
          <w:szCs w:val="20"/>
          <w:shd w:fill="FFFFFF" w:val="clear"/>
          <w:lang w:val="pt-BR" w:eastAsia="pt-BR" w:bidi="ar-SA"/>
        </w:rPr>
      </w:r>
    </w:p>
    <w:p>
      <w:pPr>
        <w:pStyle w:val="Normal"/>
        <w:jc w:val="left"/>
        <w:rPr>
          <w:rStyle w:val="Strong"/>
          <w:rFonts w:eastAsia="Calibri" w:cs="Calibri" w:cstheme="minorHAnsi"/>
          <w:b w:val="false"/>
          <w:b w:val="false"/>
          <w:bCs w:val="false"/>
          <w:color w:val="000000"/>
          <w:kern w:val="0"/>
          <w:sz w:val="20"/>
          <w:szCs w:val="20"/>
          <w:shd w:fill="FFFFFF" w:val="clear"/>
          <w:lang w:val="pt-BR" w:eastAsia="pt-BR" w:bidi="ar-SA"/>
        </w:rPr>
      </w:pPr>
      <w:r>
        <w:rPr>
          <w:rFonts w:eastAsia="Calibri" w:cs="Calibri" w:cstheme="minorHAnsi"/>
          <w:b w:val="false"/>
          <w:bCs w:val="false"/>
          <w:color w:val="000000"/>
          <w:kern w:val="0"/>
          <w:sz w:val="20"/>
          <w:szCs w:val="20"/>
          <w:shd w:fill="FFFFFF" w:val="clear"/>
          <w:lang w:val="pt-BR" w:eastAsia="pt-BR" w:bidi="ar-SA"/>
        </w:rPr>
      </w:r>
    </w:p>
    <w:p>
      <w:pPr>
        <w:pStyle w:val="Normal"/>
        <w:jc w:val="left"/>
        <w:rPr>
          <w:rStyle w:val="Strong"/>
          <w:rFonts w:eastAsia="Calibri" w:cs="Calibri" w:cstheme="minorHAnsi"/>
          <w:b w:val="false"/>
          <w:b w:val="false"/>
          <w:bCs w:val="false"/>
          <w:color w:val="000000"/>
          <w:kern w:val="0"/>
          <w:sz w:val="20"/>
          <w:szCs w:val="20"/>
          <w:shd w:fill="FFFFFF" w:val="clear"/>
          <w:lang w:val="pt-BR" w:eastAsia="pt-BR" w:bidi="ar-SA"/>
        </w:rPr>
      </w:pPr>
      <w:r>
        <w:rPr>
          <w:rFonts w:eastAsia="Calibri" w:cs="Calibri" w:cstheme="minorHAnsi"/>
          <w:b w:val="false"/>
          <w:bCs w:val="false"/>
          <w:color w:val="000000"/>
          <w:kern w:val="0"/>
          <w:sz w:val="20"/>
          <w:szCs w:val="20"/>
          <w:shd w:fill="FFFFFF" w:val="clear"/>
          <w:lang w:val="pt-BR" w:eastAsia="pt-BR" w:bidi="ar-SA"/>
        </w:rPr>
      </w:r>
    </w:p>
    <w:p>
      <w:pPr>
        <w:pStyle w:val="Normal"/>
        <w:jc w:val="left"/>
        <w:rPr>
          <w:rStyle w:val="Strong"/>
          <w:rFonts w:eastAsia="Calibri" w:cs="Calibri" w:cstheme="minorHAnsi"/>
          <w:b w:val="false"/>
          <w:b w:val="false"/>
          <w:bCs w:val="false"/>
          <w:color w:val="000000"/>
          <w:kern w:val="0"/>
          <w:sz w:val="20"/>
          <w:szCs w:val="20"/>
          <w:shd w:fill="FFFFFF" w:val="clear"/>
          <w:lang w:val="pt-BR" w:eastAsia="pt-BR" w:bidi="ar-SA"/>
        </w:rPr>
      </w:pPr>
      <w:r>
        <w:rPr>
          <w:rFonts w:eastAsia="Calibri" w:cs="Calibri" w:cstheme="minorHAnsi"/>
          <w:b w:val="false"/>
          <w:bCs w:val="false"/>
          <w:color w:val="000000"/>
          <w:kern w:val="0"/>
          <w:sz w:val="20"/>
          <w:szCs w:val="20"/>
          <w:shd w:fill="FFFFFF" w:val="clear"/>
          <w:lang w:val="pt-BR" w:eastAsia="pt-BR" w:bidi="ar-SA"/>
        </w:rPr>
      </w:r>
    </w:p>
    <w:p>
      <w:pPr>
        <w:pStyle w:val="Normal"/>
        <w:jc w:val="left"/>
        <w:rPr>
          <w:rStyle w:val="Strong"/>
          <w:rFonts w:eastAsia="Calibri" w:cs="Calibri" w:cstheme="minorHAnsi"/>
          <w:b w:val="false"/>
          <w:b w:val="false"/>
          <w:bCs w:val="false"/>
          <w:color w:val="000000"/>
          <w:kern w:val="0"/>
          <w:sz w:val="20"/>
          <w:szCs w:val="20"/>
          <w:shd w:fill="FFFFFF" w:val="clear"/>
          <w:lang w:val="pt-BR" w:eastAsia="pt-BR" w:bidi="ar-SA"/>
        </w:rPr>
      </w:pPr>
      <w:r>
        <w:rPr>
          <w:rFonts w:eastAsia="Calibri" w:cs="Calibri" w:cstheme="minorHAnsi"/>
          <w:b w:val="false"/>
          <w:bCs w:val="false"/>
          <w:color w:val="000000"/>
          <w:kern w:val="0"/>
          <w:sz w:val="20"/>
          <w:szCs w:val="20"/>
          <w:shd w:fill="FFFFFF" w:val="clear"/>
          <w:lang w:val="pt-BR" w:eastAsia="pt-BR" w:bidi="ar-SA"/>
        </w:rPr>
      </w:r>
    </w:p>
    <w:p>
      <w:pPr>
        <w:pStyle w:val="Normal"/>
        <w:jc w:val="left"/>
        <w:rPr>
          <w:rStyle w:val="Strong"/>
          <w:rFonts w:eastAsia="Calibri" w:cs="Calibri" w:cstheme="minorHAnsi"/>
          <w:b w:val="false"/>
          <w:b w:val="false"/>
          <w:bCs w:val="false"/>
          <w:color w:val="000000"/>
          <w:kern w:val="0"/>
          <w:sz w:val="20"/>
          <w:szCs w:val="20"/>
          <w:shd w:fill="FFFFFF" w:val="clear"/>
          <w:lang w:val="pt-BR" w:eastAsia="pt-BR" w:bidi="ar-SA"/>
        </w:rPr>
      </w:pPr>
      <w:r>
        <w:rPr>
          <w:rFonts w:eastAsia="Calibri" w:cs="Calibri" w:cstheme="minorHAnsi"/>
          <w:b w:val="false"/>
          <w:bCs w:val="false"/>
          <w:color w:val="000000"/>
          <w:kern w:val="0"/>
          <w:sz w:val="20"/>
          <w:szCs w:val="20"/>
          <w:shd w:fill="FFFFFF" w:val="clear"/>
          <w:lang w:val="pt-BR" w:eastAsia="pt-BR" w:bidi="ar-SA"/>
        </w:rPr>
      </w:r>
    </w:p>
    <w:p>
      <w:pPr>
        <w:pStyle w:val="Normal"/>
        <w:jc w:val="left"/>
        <w:rPr>
          <w:rStyle w:val="Strong"/>
          <w:rFonts w:eastAsia="Calibri" w:cs="Calibri" w:cstheme="minorHAnsi"/>
          <w:b w:val="false"/>
          <w:b w:val="false"/>
          <w:bCs w:val="false"/>
          <w:color w:val="000000"/>
          <w:kern w:val="0"/>
          <w:sz w:val="20"/>
          <w:szCs w:val="20"/>
          <w:shd w:fill="FFFFFF" w:val="clear"/>
          <w:lang w:val="pt-BR" w:eastAsia="pt-BR" w:bidi="ar-SA"/>
        </w:rPr>
      </w:pPr>
      <w:r>
        <w:rPr>
          <w:rFonts w:eastAsia="Calibri" w:cs="Calibri" w:cstheme="minorHAnsi"/>
          <w:b w:val="false"/>
          <w:bCs w:val="false"/>
          <w:color w:val="000000"/>
          <w:kern w:val="0"/>
          <w:sz w:val="20"/>
          <w:szCs w:val="20"/>
          <w:shd w:fill="FFFFFF" w:val="clear"/>
          <w:lang w:val="pt-BR" w:eastAsia="pt-BR" w:bidi="ar-SA"/>
        </w:rPr>
      </w:r>
    </w:p>
    <w:p>
      <w:pPr>
        <w:pStyle w:val="Normal"/>
        <w:jc w:val="left"/>
        <w:rPr>
          <w:rStyle w:val="Strong"/>
          <w:rFonts w:eastAsia="Calibri" w:cs="Calibri" w:cstheme="minorHAnsi"/>
          <w:b w:val="false"/>
          <w:b w:val="false"/>
          <w:bCs w:val="false"/>
          <w:color w:val="000000"/>
          <w:kern w:val="0"/>
          <w:sz w:val="20"/>
          <w:szCs w:val="20"/>
          <w:shd w:fill="FFFFFF" w:val="clear"/>
          <w:lang w:val="pt-BR" w:eastAsia="pt-BR" w:bidi="ar-SA"/>
        </w:rPr>
      </w:pPr>
      <w:r>
        <w:rPr>
          <w:rFonts w:eastAsia="Calibri" w:cs="Calibri" w:cstheme="minorHAnsi"/>
          <w:b w:val="false"/>
          <w:bCs w:val="false"/>
          <w:color w:val="000000"/>
          <w:kern w:val="0"/>
          <w:sz w:val="20"/>
          <w:szCs w:val="20"/>
          <w:shd w:fill="FFFFFF" w:val="clear"/>
          <w:lang w:val="pt-BR" w:eastAsia="pt-BR" w:bidi="ar-SA"/>
        </w:rPr>
      </w:r>
    </w:p>
    <w:p>
      <w:pPr>
        <w:pStyle w:val="Normal"/>
        <w:jc w:val="left"/>
        <w:rPr>
          <w:rStyle w:val="Strong"/>
          <w:rFonts w:eastAsia="Calibri" w:cs="Calibri" w:cstheme="minorHAnsi"/>
          <w:b w:val="false"/>
          <w:b w:val="false"/>
          <w:bCs w:val="false"/>
          <w:color w:val="000000"/>
          <w:kern w:val="0"/>
          <w:sz w:val="20"/>
          <w:szCs w:val="20"/>
          <w:shd w:fill="FFFFFF" w:val="clear"/>
          <w:lang w:val="pt-BR" w:eastAsia="pt-BR" w:bidi="ar-SA"/>
        </w:rPr>
      </w:pPr>
      <w:r>
        <w:rPr>
          <w:rFonts w:eastAsia="Calibri" w:cs="Calibri" w:cstheme="minorHAnsi"/>
          <w:b w:val="false"/>
          <w:bCs w:val="false"/>
          <w:color w:val="000000"/>
          <w:kern w:val="0"/>
          <w:sz w:val="20"/>
          <w:szCs w:val="20"/>
          <w:shd w:fill="FFFFFF" w:val="clear"/>
          <w:lang w:val="pt-BR" w:eastAsia="pt-BR" w:bidi="ar-SA"/>
        </w:rPr>
      </w:r>
    </w:p>
    <w:p>
      <w:pPr>
        <w:pStyle w:val="Normal"/>
        <w:jc w:val="left"/>
        <w:rPr>
          <w:rStyle w:val="Strong"/>
          <w:rFonts w:eastAsia="Calibri" w:cs="Calibri" w:cstheme="minorHAnsi"/>
          <w:b w:val="false"/>
          <w:b w:val="false"/>
          <w:bCs w:val="false"/>
          <w:color w:val="000000"/>
          <w:kern w:val="0"/>
          <w:sz w:val="20"/>
          <w:szCs w:val="20"/>
          <w:shd w:fill="FFFFFF" w:val="clear"/>
          <w:lang w:val="pt-BR" w:eastAsia="pt-BR" w:bidi="ar-SA"/>
        </w:rPr>
      </w:pPr>
      <w:r>
        <w:rPr>
          <w:rFonts w:eastAsia="Calibri" w:cs="Calibri" w:cstheme="minorHAnsi"/>
          <w:b w:val="false"/>
          <w:bCs w:val="false"/>
          <w:color w:val="000000"/>
          <w:kern w:val="0"/>
          <w:sz w:val="20"/>
          <w:szCs w:val="20"/>
          <w:shd w:fill="FFFFFF" w:val="clear"/>
          <w:lang w:val="pt-BR" w:eastAsia="pt-BR" w:bidi="ar-SA"/>
        </w:rPr>
      </w:r>
    </w:p>
    <w:p>
      <w:pPr>
        <w:pStyle w:val="Normal"/>
        <w:jc w:val="left"/>
        <w:rPr>
          <w:rStyle w:val="Strong"/>
          <w:rFonts w:eastAsia="Calibri" w:cs="Calibri" w:cstheme="minorHAnsi"/>
          <w:b w:val="false"/>
          <w:b w:val="false"/>
          <w:bCs w:val="false"/>
          <w:color w:val="000000"/>
          <w:kern w:val="0"/>
          <w:sz w:val="20"/>
          <w:szCs w:val="20"/>
          <w:shd w:fill="FFFFFF" w:val="clear"/>
          <w:lang w:val="pt-BR" w:eastAsia="pt-BR" w:bidi="ar-SA"/>
        </w:rPr>
      </w:pPr>
      <w:r>
        <w:rPr>
          <w:rFonts w:eastAsia="Calibri" w:cs="Calibri" w:cstheme="minorHAnsi"/>
          <w:b w:val="false"/>
          <w:bCs w:val="false"/>
          <w:color w:val="000000"/>
          <w:kern w:val="0"/>
          <w:sz w:val="20"/>
          <w:szCs w:val="20"/>
          <w:shd w:fill="FFFFFF" w:val="clear"/>
          <w:lang w:val="pt-BR" w:eastAsia="pt-BR" w:bidi="ar-SA"/>
        </w:rPr>
      </w:r>
    </w:p>
    <w:p>
      <w:pPr>
        <w:pStyle w:val="Normal"/>
        <w:jc w:val="left"/>
        <w:rPr>
          <w:rStyle w:val="Strong"/>
          <w:rFonts w:eastAsia="Calibri" w:cs="Calibri" w:cstheme="minorHAnsi"/>
          <w:b w:val="false"/>
          <w:b w:val="false"/>
          <w:bCs w:val="false"/>
          <w:color w:val="000000"/>
          <w:kern w:val="0"/>
          <w:sz w:val="20"/>
          <w:szCs w:val="20"/>
          <w:shd w:fill="FFFFFF" w:val="clear"/>
          <w:lang w:val="pt-BR" w:eastAsia="pt-BR" w:bidi="ar-SA"/>
        </w:rPr>
      </w:pPr>
      <w:r>
        <w:rPr>
          <w:rFonts w:eastAsia="Calibri" w:cs="Calibri" w:cstheme="minorHAnsi"/>
          <w:b w:val="false"/>
          <w:bCs w:val="false"/>
          <w:color w:val="000000"/>
          <w:kern w:val="0"/>
          <w:sz w:val="20"/>
          <w:szCs w:val="20"/>
          <w:shd w:fill="FFFFFF" w:val="clear"/>
          <w:lang w:val="pt-BR" w:eastAsia="pt-BR" w:bidi="ar-SA"/>
        </w:rPr>
      </w:r>
    </w:p>
    <w:p>
      <w:pPr>
        <w:pStyle w:val="Normal"/>
        <w:jc w:val="left"/>
        <w:rPr>
          <w:rStyle w:val="Strong"/>
          <w:rFonts w:eastAsia="Calibri" w:cs="Calibri" w:cstheme="minorHAnsi"/>
          <w:b w:val="false"/>
          <w:b w:val="false"/>
          <w:bCs w:val="false"/>
          <w:color w:val="000000"/>
          <w:kern w:val="0"/>
          <w:sz w:val="20"/>
          <w:szCs w:val="20"/>
          <w:shd w:fill="FFFFFF" w:val="clear"/>
          <w:lang w:val="pt-BR" w:eastAsia="pt-BR" w:bidi="ar-SA"/>
        </w:rPr>
      </w:pPr>
      <w:r>
        <w:rPr>
          <w:rFonts w:eastAsia="Calibri" w:cs="Calibri" w:cstheme="minorHAnsi"/>
          <w:b w:val="false"/>
          <w:bCs w:val="false"/>
          <w:color w:val="000000"/>
          <w:kern w:val="0"/>
          <w:sz w:val="20"/>
          <w:szCs w:val="20"/>
          <w:shd w:fill="FFFFFF" w:val="clear"/>
          <w:lang w:val="pt-BR" w:eastAsia="pt-BR" w:bidi="ar-SA"/>
        </w:rPr>
      </w:r>
    </w:p>
    <w:p>
      <w:pPr>
        <w:pStyle w:val="Normal"/>
        <w:jc w:val="left"/>
        <w:rPr>
          <w:rStyle w:val="Strong"/>
          <w:rFonts w:eastAsia="Calibri" w:cs="Calibri" w:cstheme="minorHAnsi"/>
          <w:b w:val="false"/>
          <w:b w:val="false"/>
          <w:bCs w:val="false"/>
          <w:color w:val="000000"/>
          <w:kern w:val="0"/>
          <w:sz w:val="20"/>
          <w:szCs w:val="20"/>
          <w:shd w:fill="FFFFFF" w:val="clear"/>
          <w:lang w:val="pt-BR" w:eastAsia="pt-BR" w:bidi="ar-SA"/>
        </w:rPr>
      </w:pPr>
      <w:r>
        <w:rPr>
          <w:rFonts w:eastAsia="Calibri" w:cs="Calibri" w:cstheme="minorHAnsi"/>
          <w:b w:val="false"/>
          <w:bCs w:val="false"/>
          <w:color w:val="000000"/>
          <w:kern w:val="0"/>
          <w:sz w:val="20"/>
          <w:szCs w:val="20"/>
          <w:shd w:fill="FFFFFF" w:val="clear"/>
          <w:lang w:val="pt-BR" w:eastAsia="pt-BR" w:bidi="ar-SA"/>
        </w:rPr>
      </w:r>
    </w:p>
    <w:p>
      <w:pPr>
        <w:pStyle w:val="Normal"/>
        <w:jc w:val="left"/>
        <w:rPr>
          <w:rStyle w:val="Strong"/>
          <w:rFonts w:eastAsia="Calibri" w:cs="Calibri" w:cstheme="minorHAnsi"/>
          <w:b w:val="false"/>
          <w:b w:val="false"/>
          <w:bCs w:val="false"/>
          <w:color w:val="000000"/>
          <w:kern w:val="0"/>
          <w:sz w:val="20"/>
          <w:szCs w:val="20"/>
          <w:shd w:fill="FFFFFF" w:val="clear"/>
          <w:lang w:val="pt-BR" w:eastAsia="pt-BR" w:bidi="ar-SA"/>
        </w:rPr>
      </w:pPr>
      <w:r>
        <w:rPr>
          <w:rFonts w:eastAsia="Calibri" w:cs="Calibri" w:cstheme="minorHAnsi"/>
          <w:b w:val="false"/>
          <w:bCs w:val="false"/>
          <w:color w:val="000000"/>
          <w:kern w:val="0"/>
          <w:sz w:val="20"/>
          <w:szCs w:val="20"/>
          <w:shd w:fill="FFFFFF" w:val="clear"/>
          <w:lang w:val="pt-BR" w:eastAsia="pt-BR" w:bidi="ar-SA"/>
        </w:rPr>
      </w:r>
    </w:p>
    <w:p>
      <w:pPr>
        <w:pStyle w:val="Normal"/>
        <w:jc w:val="left"/>
        <w:rPr>
          <w:rStyle w:val="Strong"/>
          <w:rFonts w:eastAsia="Calibri" w:cs="Calibri" w:cstheme="minorHAnsi"/>
          <w:b w:val="false"/>
          <w:b w:val="false"/>
          <w:bCs w:val="false"/>
          <w:color w:val="000000"/>
          <w:kern w:val="0"/>
          <w:sz w:val="20"/>
          <w:szCs w:val="20"/>
          <w:shd w:fill="FFFFFF" w:val="clear"/>
          <w:lang w:val="pt-BR" w:eastAsia="pt-BR" w:bidi="ar-SA"/>
        </w:rPr>
      </w:pPr>
      <w:r>
        <w:rPr>
          <w:rFonts w:eastAsia="Calibri" w:cs="Calibri" w:cstheme="minorHAnsi"/>
          <w:b w:val="false"/>
          <w:bCs w:val="false"/>
          <w:color w:val="000000"/>
          <w:kern w:val="0"/>
          <w:sz w:val="20"/>
          <w:szCs w:val="20"/>
          <w:shd w:fill="FFFFFF" w:val="clear"/>
          <w:lang w:val="pt-BR" w:eastAsia="pt-BR" w:bidi="ar-SA"/>
        </w:rPr>
      </w:r>
    </w:p>
    <w:p>
      <w:pPr>
        <w:pStyle w:val="Normal"/>
        <w:jc w:val="left"/>
        <w:rPr>
          <w:rStyle w:val="Strong"/>
          <w:rFonts w:eastAsia="Calibri" w:cs="Calibri" w:cstheme="minorHAnsi"/>
          <w:b w:val="false"/>
          <w:b w:val="false"/>
          <w:bCs w:val="false"/>
          <w:color w:val="000000"/>
          <w:kern w:val="0"/>
          <w:sz w:val="20"/>
          <w:szCs w:val="20"/>
          <w:shd w:fill="FFFFFF" w:val="clear"/>
          <w:lang w:val="pt-BR" w:eastAsia="pt-BR" w:bidi="ar-SA"/>
        </w:rPr>
      </w:pPr>
      <w:r>
        <w:rPr>
          <w:rFonts w:eastAsia="Calibri" w:cs="Calibri" w:cstheme="minorHAnsi"/>
          <w:b w:val="false"/>
          <w:bCs w:val="false"/>
          <w:color w:val="000000"/>
          <w:kern w:val="0"/>
          <w:sz w:val="20"/>
          <w:szCs w:val="20"/>
          <w:shd w:fill="FFFFFF" w:val="clear"/>
          <w:lang w:val="pt-BR" w:eastAsia="pt-BR" w:bidi="ar-SA"/>
        </w:rPr>
      </w:r>
    </w:p>
    <w:p>
      <w:pPr>
        <w:pStyle w:val="Normal"/>
        <w:jc w:val="left"/>
        <w:rPr>
          <w:rStyle w:val="Strong"/>
          <w:rFonts w:eastAsia="Calibri" w:cs="Calibri" w:cstheme="minorHAnsi"/>
          <w:b w:val="false"/>
          <w:b w:val="false"/>
          <w:bCs w:val="false"/>
          <w:color w:val="000000"/>
          <w:kern w:val="0"/>
          <w:sz w:val="20"/>
          <w:szCs w:val="20"/>
          <w:shd w:fill="FFFFFF" w:val="clear"/>
          <w:lang w:val="pt-BR" w:eastAsia="pt-BR" w:bidi="ar-SA"/>
        </w:rPr>
      </w:pPr>
      <w:r>
        <w:rPr>
          <w:rFonts w:eastAsia="Calibri" w:cs="Calibri" w:cstheme="minorHAnsi"/>
          <w:b w:val="false"/>
          <w:bCs w:val="false"/>
          <w:color w:val="000000"/>
          <w:kern w:val="0"/>
          <w:sz w:val="20"/>
          <w:szCs w:val="20"/>
          <w:shd w:fill="FFFFFF" w:val="clear"/>
          <w:lang w:val="pt-BR" w:eastAsia="pt-BR" w:bidi="ar-SA"/>
        </w:rPr>
      </w:r>
    </w:p>
    <w:p>
      <w:pPr>
        <w:pStyle w:val="Normal"/>
        <w:widowControl/>
        <w:shd w:val="clear" w:fill="FFFFFF"/>
        <w:spacing w:before="120" w:after="120"/>
        <w:ind w:hanging="0"/>
        <w:jc w:val="center"/>
        <w:rPr/>
      </w:pPr>
      <w:r>
        <w:rPr>
          <w:rFonts w:ascii="Arial-BoldMT" w:hAnsi="Arial-BoldMT"/>
          <w:b/>
        </w:rPr>
        <w:t>ANEXO III – TERMO DE REFERÊNCIA</w:t>
      </w:r>
    </w:p>
    <w:sectPr>
      <w:headerReference w:type="default" r:id="rId5"/>
      <w:footerReference w:type="default" r:id="rId6"/>
      <w:type w:val="nextPage"/>
      <w:pgSz w:w="11906" w:h="16838"/>
      <w:pgMar w:left="1701" w:right="1701" w:gutter="0" w:header="1417" w:top="1930"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Calibri Light">
    <w:charset w:val="00"/>
    <w:family w:val="roman"/>
    <w:pitch w:val="variable"/>
  </w:font>
  <w:font w:name="Ecofont_Spranq_eco_Sans">
    <w:charset w:val="00"/>
    <w:family w:val="roman"/>
    <w:pitch w:val="variable"/>
  </w:font>
  <w:font w:name="Segoe UI">
    <w:charset w:val="00"/>
    <w:family w:val="roman"/>
    <w:pitch w:val="variable"/>
  </w:font>
  <w:font w:name="Liberation Sans">
    <w:altName w:val="Arial"/>
    <w:charset w:val="00"/>
    <w:family w:val="roman"/>
    <w:pitch w:val="variable"/>
  </w:font>
  <w:font w:name="ArialMT">
    <w:charset w:val="00"/>
    <w:family w:val="roman"/>
    <w:pitch w:val="variable"/>
  </w:font>
  <w:font w:name="Arial-BoldMT">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rFonts w:ascii="Arial" w:hAnsi="Arial"/>
        <w:color w:val="auto"/>
        <w:sz w:val="18"/>
        <w:szCs w:val="18"/>
      </w:rPr>
    </w:pPr>
    <w:r>
      <w:rPr>
        <w:color w:val="auto"/>
        <w:sz w:val="18"/>
        <w:szCs w:val="18"/>
      </w:rPr>
      <w:t>Aviso de Dispensa Eletrônica – Lei nº 14.133/21 e IN SEGES/ME nº 67/2021</w:t>
    </w:r>
  </w:p>
  <w:p>
    <w:pPr>
      <w:pStyle w:val="Rodap"/>
      <w:rPr>
        <w:rFonts w:ascii="Arial" w:hAnsi="Arial"/>
        <w:color w:val="auto"/>
        <w:sz w:val="18"/>
        <w:szCs w:val="18"/>
      </w:rPr>
    </w:pPr>
    <w:r>
      <w:rPr>
        <w:color w:val="auto"/>
        <w:sz w:val="18"/>
        <w:szCs w:val="18"/>
      </w:rPr>
      <w:t xml:space="preserve">Processo: </w:t>
    </w:r>
    <w:r>
      <w:rPr>
        <w:b w:val="false"/>
        <w:i w:val="false"/>
        <w:caps w:val="false"/>
        <w:smallCaps w:val="false"/>
        <w:color w:val="auto"/>
        <w:spacing w:val="0"/>
        <w:sz w:val="18"/>
        <w:szCs w:val="18"/>
      </w:rPr>
      <w:t>23544.000542/2026-88</w:t>
    </w:r>
    <w:r>
      <w:rPr>
        <w:color w:val="auto"/>
        <w:sz w:val="18"/>
        <w:szCs w:val="18"/>
      </w:rPr>
      <w:t xml:space="preserve"> </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0" allowOverlap="1" relativeHeight="16">
          <wp:simplePos x="0" y="0"/>
          <wp:positionH relativeFrom="column">
            <wp:posOffset>652780</wp:posOffset>
          </wp:positionH>
          <wp:positionV relativeFrom="paragraph">
            <wp:posOffset>-512445</wp:posOffset>
          </wp:positionV>
          <wp:extent cx="4222750" cy="1581150"/>
          <wp:effectExtent l="0" t="0" r="0" b="0"/>
          <wp:wrapTopAndBottom/>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1"/>
                  <a:stretch>
                    <a:fillRect/>
                  </a:stretch>
                </pic:blipFill>
                <pic:spPr bwMode="auto">
                  <a:xfrm>
                    <a:off x="0" y="0"/>
                    <a:ext cx="4222750" cy="158115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Fonts w:ascii="Arial" w:hAnsi="Arial"/>
      </w:rPr>
    </w:lvl>
    <w:lvl w:ilvl="2">
      <w:start w:val="1"/>
      <w:numFmt w:val="decimal"/>
      <w:lvlText w:val="%1.%2.%3."/>
      <w:lvlJc w:val="left"/>
      <w:pPr>
        <w:tabs>
          <w:tab w:val="num" w:pos="0"/>
        </w:tabs>
        <w:ind w:left="1224" w:hanging="504"/>
      </w:pPr>
      <w:rPr>
        <w:i w:val="false"/>
        <w:b w:val="false"/>
        <w:iCs/>
        <w:rFonts w:ascii="Arial" w:hAnsi="Arial"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4"/>
      <w:numFmt w:val="decimal"/>
      <w:lvlText w:val="%1"/>
      <w:lvlJc w:val="left"/>
      <w:pPr>
        <w:tabs>
          <w:tab w:val="num" w:pos="0"/>
        </w:tabs>
        <w:ind w:left="435" w:hanging="435"/>
      </w:pPr>
      <w:rPr/>
    </w:lvl>
    <w:lvl w:ilvl="1">
      <w:start w:val="4"/>
      <w:numFmt w:val="decimal"/>
      <w:lvlText w:val="%1.%2"/>
      <w:lvlJc w:val="left"/>
      <w:pPr>
        <w:tabs>
          <w:tab w:val="num" w:pos="0"/>
        </w:tabs>
        <w:ind w:left="1002" w:hanging="435"/>
      </w:pPr>
      <w:rPr/>
    </w:lvl>
    <w:lvl w:ilvl="2">
      <w:start w:val="1"/>
      <w:numFmt w:val="decimal"/>
      <w:lvlText w:val="%1.%2.%3"/>
      <w:lvlJc w:val="left"/>
      <w:pPr>
        <w:tabs>
          <w:tab w:val="num" w:pos="0"/>
        </w:tabs>
        <w:ind w:left="1854" w:hanging="720"/>
      </w:pPr>
      <w:rPr/>
    </w:lvl>
    <w:lvl w:ilvl="3">
      <w:start w:val="1"/>
      <w:numFmt w:val="decimal"/>
      <w:lvlText w:val="%1.%2.%3.%4"/>
      <w:lvlJc w:val="left"/>
      <w:pPr>
        <w:tabs>
          <w:tab w:val="num" w:pos="0"/>
        </w:tabs>
        <w:ind w:left="2421" w:hanging="720"/>
      </w:pPr>
      <w:rPr/>
    </w:lvl>
    <w:lvl w:ilvl="4">
      <w:start w:val="1"/>
      <w:numFmt w:val="decimal"/>
      <w:lvlText w:val="%1.%2.%3.%4.%5"/>
      <w:lvlJc w:val="left"/>
      <w:pPr>
        <w:tabs>
          <w:tab w:val="num" w:pos="0"/>
        </w:tabs>
        <w:ind w:left="3348" w:hanging="1080"/>
      </w:pPr>
      <w:rPr/>
    </w:lvl>
    <w:lvl w:ilvl="5">
      <w:start w:val="1"/>
      <w:numFmt w:val="decimal"/>
      <w:lvlText w:val="%1.%2.%3.%4.%5.%6"/>
      <w:lvlJc w:val="left"/>
      <w:pPr>
        <w:tabs>
          <w:tab w:val="num" w:pos="0"/>
        </w:tabs>
        <w:ind w:left="3915" w:hanging="1080"/>
      </w:pPr>
      <w:rPr/>
    </w:lvl>
    <w:lvl w:ilvl="6">
      <w:start w:val="1"/>
      <w:numFmt w:val="decimal"/>
      <w:lvlText w:val="%1.%2.%3.%4.%5.%6.%7"/>
      <w:lvlJc w:val="left"/>
      <w:pPr>
        <w:tabs>
          <w:tab w:val="num" w:pos="0"/>
        </w:tabs>
        <w:ind w:left="4842" w:hanging="1440"/>
      </w:pPr>
      <w:rPr/>
    </w:lvl>
    <w:lvl w:ilvl="7">
      <w:start w:val="1"/>
      <w:numFmt w:val="decimal"/>
      <w:lvlText w:val="%1.%2.%3.%4.%5.%6.%7.%8"/>
      <w:lvlJc w:val="left"/>
      <w:pPr>
        <w:tabs>
          <w:tab w:val="num" w:pos="0"/>
        </w:tabs>
        <w:ind w:left="5409" w:hanging="1440"/>
      </w:pPr>
      <w:rPr/>
    </w:lvl>
    <w:lvl w:ilvl="8">
      <w:start w:val="1"/>
      <w:numFmt w:val="decimal"/>
      <w:lvlText w:val="%1.%2.%3.%4.%5.%6.%7.%8.%9"/>
      <w:lvlJc w:val="left"/>
      <w:pPr>
        <w:tabs>
          <w:tab w:val="num" w:pos="0"/>
        </w:tabs>
        <w:ind w:left="6336" w:hanging="1800"/>
      </w:pPr>
      <w:rPr/>
    </w:lvl>
  </w:abstractNum>
  <w:abstractNum w:abstractNumId="3">
    <w:lvl w:ilvl="0">
      <w:start w:val="1"/>
      <w:numFmt w:val="decimal"/>
      <w:lvlText w:val="%1."/>
      <w:lvlJc w:val="left"/>
      <w:pPr>
        <w:tabs>
          <w:tab w:val="num" w:pos="0"/>
        </w:tabs>
        <w:ind w:left="502" w:hanging="360"/>
      </w:pPr>
      <w:rPr>
        <w:dstrike w:val="false"/>
        <w:strike w:val="false"/>
        <w:i w:val="false"/>
        <w:b/>
      </w:rPr>
    </w:lvl>
    <w:lvl w:ilvl="1">
      <w:start w:val="1"/>
      <w:numFmt w:val="decimal"/>
      <w:lvlText w:val="%1.%2."/>
      <w:lvlJc w:val="left"/>
      <w:pPr>
        <w:tabs>
          <w:tab w:val="num" w:pos="0"/>
        </w:tabs>
        <w:ind w:left="858" w:hanging="432"/>
      </w:pPr>
      <w:rPr>
        <w:dstrike w:val="false"/>
        <w:strike w:val="false"/>
        <w:b w:val="false"/>
      </w:rPr>
    </w:lvl>
    <w:lvl w:ilvl="2">
      <w:start w:val="1"/>
      <w:numFmt w:val="decimal"/>
      <w:lvlText w:val="%1.%2.%3."/>
      <w:lvlJc w:val="left"/>
      <w:pPr>
        <w:tabs>
          <w:tab w:val="num" w:pos="0"/>
        </w:tabs>
        <w:ind w:left="1224" w:hanging="504"/>
      </w:pPr>
      <w:rPr>
        <w:dstrike w:val="false"/>
        <w:strike w:val="false"/>
        <w:i w:val="false"/>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4053"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
    <w:lvl w:ilvl="0">
      <w:start w:val="1"/>
      <w:numFmt w:val="decimal"/>
      <w:lvlText w:val="%1"/>
      <w:lvlJc w:val="left"/>
      <w:pPr>
        <w:tabs>
          <w:tab w:val="num" w:pos="0"/>
        </w:tabs>
        <w:ind w:left="360" w:hanging="360"/>
      </w:pPr>
      <w:rPr/>
    </w:lvl>
    <w:lvl w:ilvl="1">
      <w:start w:val="1"/>
      <w:numFmt w:val="decimal"/>
      <w:lvlText w:val="%1.%2"/>
      <w:lvlJc w:val="left"/>
      <w:pPr>
        <w:tabs>
          <w:tab w:val="num" w:pos="0"/>
        </w:tabs>
        <w:ind w:left="927" w:hanging="360"/>
      </w:pPr>
      <w:rPr>
        <w:b w:val="false"/>
      </w:rPr>
    </w:lvl>
    <w:lvl w:ilvl="2">
      <w:start w:val="1"/>
      <w:numFmt w:val="decimal"/>
      <w:lvlText w:val="%1.%2.%3"/>
      <w:lvlJc w:val="left"/>
      <w:pPr>
        <w:tabs>
          <w:tab w:val="num" w:pos="0"/>
        </w:tabs>
        <w:ind w:left="1854" w:hanging="720"/>
      </w:pPr>
      <w:rPr>
        <w:b w:val="false"/>
      </w:rPr>
    </w:lvl>
    <w:lvl w:ilvl="3">
      <w:start w:val="1"/>
      <w:numFmt w:val="decimal"/>
      <w:lvlText w:val="%1.%2.%3.%4"/>
      <w:lvlJc w:val="left"/>
      <w:pPr>
        <w:tabs>
          <w:tab w:val="num" w:pos="0"/>
        </w:tabs>
        <w:ind w:left="2421" w:hanging="720"/>
      </w:pPr>
      <w:rPr/>
    </w:lvl>
    <w:lvl w:ilvl="4">
      <w:start w:val="1"/>
      <w:numFmt w:val="decimal"/>
      <w:lvlText w:val="%1.%2.%3.%4.%5"/>
      <w:lvlJc w:val="left"/>
      <w:pPr>
        <w:tabs>
          <w:tab w:val="num" w:pos="0"/>
        </w:tabs>
        <w:ind w:left="3348" w:hanging="1080"/>
      </w:pPr>
      <w:rPr/>
    </w:lvl>
    <w:lvl w:ilvl="5">
      <w:start w:val="1"/>
      <w:numFmt w:val="decimal"/>
      <w:lvlText w:val="%1.%2.%3.%4.%5.%6"/>
      <w:lvlJc w:val="left"/>
      <w:pPr>
        <w:tabs>
          <w:tab w:val="num" w:pos="0"/>
        </w:tabs>
        <w:ind w:left="3915" w:hanging="1080"/>
      </w:pPr>
      <w:rPr/>
    </w:lvl>
    <w:lvl w:ilvl="6">
      <w:start w:val="1"/>
      <w:numFmt w:val="decimal"/>
      <w:lvlText w:val="%1.%2.%3.%4.%5.%6.%7"/>
      <w:lvlJc w:val="left"/>
      <w:pPr>
        <w:tabs>
          <w:tab w:val="num" w:pos="0"/>
        </w:tabs>
        <w:ind w:left="4842" w:hanging="1440"/>
      </w:pPr>
      <w:rPr/>
    </w:lvl>
    <w:lvl w:ilvl="7">
      <w:start w:val="1"/>
      <w:numFmt w:val="decimal"/>
      <w:lvlText w:val="%1.%2.%3.%4.%5.%6.%7.%8"/>
      <w:lvlJc w:val="left"/>
      <w:pPr>
        <w:tabs>
          <w:tab w:val="num" w:pos="0"/>
        </w:tabs>
        <w:ind w:left="5409" w:hanging="1440"/>
      </w:pPr>
      <w:rPr/>
    </w:lvl>
    <w:lvl w:ilvl="8">
      <w:start w:val="1"/>
      <w:numFmt w:val="decimal"/>
      <w:lvlText w:val="%1.%2.%3.%4.%5.%6.%7.%8.%9"/>
      <w:lvlJc w:val="left"/>
      <w:pPr>
        <w:tabs>
          <w:tab w:val="num" w:pos="0"/>
        </w:tabs>
        <w:ind w:left="6336" w:hanging="1800"/>
      </w:pPr>
      <w:r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decimal"/>
      <w:lvlText w:val="%1.%2.%3."/>
      <w:lvlJc w:val="left"/>
      <w:pPr>
        <w:tabs>
          <w:tab w:val="num" w:pos="0"/>
        </w:tabs>
        <w:ind w:left="1224" w:hanging="504"/>
      </w:pPr>
      <w:rPr>
        <w:i w:val="false"/>
        <w:b w:val="false"/>
        <w:iCs/>
        <w:rFonts w:ascii="Arial" w:hAnsi="Arial" w:cs="Arial"/>
        <w:color w:val="auto"/>
      </w:rPr>
    </w:lvl>
    <w:lvl w:ilvl="3">
      <w:start w:val="1"/>
      <w:numFmt w:val="lowerLetter"/>
      <w:lvlText w:val="%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lowerLetter"/>
      <w:lvlText w:val="%3)"/>
      <w:lvlJc w:val="left"/>
      <w:pPr>
        <w:tabs>
          <w:tab w:val="num" w:pos="0"/>
        </w:tabs>
        <w:ind w:left="1224" w:hanging="504"/>
      </w:pPr>
      <w:rPr>
        <w:i w:val="false"/>
        <w:b w:val="false"/>
        <w:iCs/>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d0e1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Ttulo1">
    <w:name w:val="Heading 1"/>
    <w:basedOn w:val="Normal"/>
    <w:next w:val="Normal"/>
    <w:link w:val="Ttulo1Char"/>
    <w:uiPriority w:val="9"/>
    <w:qFormat/>
    <w:rsid w:val="009f7713"/>
    <w:pPr>
      <w:keepNext w:val="true"/>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paragraph" w:styleId="Ttulo2">
    <w:name w:val="Heading 2"/>
    <w:basedOn w:val="Normal"/>
    <w:qFormat/>
    <w:pPr>
      <w:ind w:left="154" w:right="0" w:hanging="0"/>
      <w:outlineLvl w:val="2"/>
    </w:pPr>
    <w:rPr>
      <w:rFonts w:ascii="Times New Roman" w:hAnsi="Times New Roman" w:eastAsia="Times New Roman" w:cs="Times New Roman"/>
      <w:b/>
      <w:bCs/>
      <w:sz w:val="21"/>
      <w:szCs w:val="21"/>
      <w:lang w:val="pt-PT" w:eastAsia="en-US" w:bidi="ar-SA"/>
    </w:rPr>
  </w:style>
  <w:style w:type="paragraph" w:styleId="Ttulo3">
    <w:name w:val="Heading 3"/>
    <w:basedOn w:val="Normal"/>
    <w:qFormat/>
    <w:pPr>
      <w:ind w:left="154" w:right="0" w:hanging="0"/>
      <w:outlineLvl w:val="3"/>
    </w:pPr>
    <w:rPr>
      <w:rFonts w:ascii="Times New Roman" w:hAnsi="Times New Roman" w:eastAsia="Times New Roman" w:cs="Times New Roman"/>
      <w:b/>
      <w:bCs/>
      <w:sz w:val="18"/>
      <w:szCs w:val="18"/>
      <w:lang w:val="pt-PT" w:eastAsia="en-US" w:bidi="ar-SA"/>
    </w:rPr>
  </w:style>
  <w:style w:type="character" w:styleId="DefaultParagraphFont" w:default="1">
    <w:name w:val="Default Paragraph Font"/>
    <w:uiPriority w:val="1"/>
    <w:semiHidden/>
    <w:unhideWhenUsed/>
    <w:qFormat/>
    <w:rPr/>
  </w:style>
  <w:style w:type="character" w:styleId="CitaoChar" w:customStyle="1">
    <w:name w:val="Citação Char"/>
    <w:basedOn w:val="DefaultParagraphFont"/>
    <w:qFormat/>
    <w:rsid w:val="009f7713"/>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9f7713"/>
    <w:rPr>
      <w:rFonts w:ascii="Arial" w:hAnsi="Arial" w:eastAsia="" w:cs="Times New Roman" w:eastAsiaTheme="majorEastAsia"/>
      <w:b/>
      <w:bCs/>
      <w:color w:val="000000"/>
      <w:sz w:val="20"/>
      <w:szCs w:val="20"/>
      <w:lang w:eastAsia="pt-BR"/>
    </w:rPr>
  </w:style>
  <w:style w:type="character" w:styleId="Ttulo1Char" w:customStyle="1">
    <w:name w:val="Título 1 Char"/>
    <w:basedOn w:val="DefaultParagraphFont"/>
    <w:uiPriority w:val="9"/>
    <w:qFormat/>
    <w:rsid w:val="009f7713"/>
    <w:rPr>
      <w:rFonts w:ascii="Calibri Light" w:hAnsi="Calibri Light" w:eastAsia="" w:cs="" w:asciiTheme="majorHAnsi" w:cstheme="majorBidi" w:eastAsiaTheme="majorEastAsia" w:hAnsiTheme="majorHAnsi"/>
      <w:color w:val="2F5496" w:themeColor="accent1" w:themeShade="bf"/>
      <w:sz w:val="32"/>
      <w:szCs w:val="32"/>
      <w:lang w:eastAsia="pt-BR"/>
    </w:rPr>
  </w:style>
  <w:style w:type="character" w:styleId="Citao2Char" w:customStyle="1">
    <w:name w:val="citação 2 Char"/>
    <w:basedOn w:val="CitaoChar"/>
    <w:qFormat/>
    <w:rsid w:val="006a70c8"/>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a728b9"/>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semiHidden/>
    <w:unhideWhenUsed/>
    <w:qFormat/>
    <w:rsid w:val="003d08af"/>
    <w:rPr>
      <w:sz w:val="16"/>
      <w:szCs w:val="16"/>
    </w:rPr>
  </w:style>
  <w:style w:type="character" w:styleId="TextodecomentrioChar" w:customStyle="1">
    <w:name w:val="Texto de comentário Char"/>
    <w:basedOn w:val="DefaultParagraphFont"/>
    <w:qFormat/>
    <w:rsid w:val="003d08af"/>
    <w:rPr>
      <w:rFonts w:ascii="Arial" w:hAnsi="Arial" w:eastAsia="Times New Roman" w:cs="Tahoma"/>
      <w:sz w:val="20"/>
      <w:szCs w:val="20"/>
      <w:lang w:eastAsia="pt-BR"/>
    </w:rPr>
  </w:style>
  <w:style w:type="character" w:styleId="AssuntodocomentrioChar" w:customStyle="1">
    <w:name w:val="Assunto do comentário Char"/>
    <w:basedOn w:val="TextodecomentrioChar"/>
    <w:uiPriority w:val="99"/>
    <w:semiHidden/>
    <w:qFormat/>
    <w:rsid w:val="003d08af"/>
    <w:rPr>
      <w:rFonts w:ascii="Arial" w:hAnsi="Arial" w:eastAsia="Times New Roman" w:cs="Tahoma"/>
      <w:b/>
      <w:bCs/>
      <w:sz w:val="20"/>
      <w:szCs w:val="20"/>
      <w:lang w:eastAsia="pt-BR"/>
    </w:rPr>
  </w:style>
  <w:style w:type="character" w:styleId="LinkdaInternet">
    <w:name w:val="Hyperlink"/>
    <w:rsid w:val="002f5eff"/>
    <w:rPr>
      <w:color w:val="000080"/>
      <w:u w:val="single"/>
    </w:rPr>
  </w:style>
  <w:style w:type="character" w:styleId="Nivel4Char" w:customStyle="1">
    <w:name w:val="Nivel 4 Char"/>
    <w:basedOn w:val="DefaultParagraphFont"/>
    <w:link w:val="Nivel4"/>
    <w:qFormat/>
    <w:rsid w:val="002f5eff"/>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uiPriority w:val="99"/>
    <w:semiHidden/>
    <w:qFormat/>
    <w:rsid w:val="00731d60"/>
    <w:rPr>
      <w:rFonts w:ascii="Segoe UI" w:hAnsi="Segoe UI" w:eastAsia="Times New Roman" w:cs="Segoe UI"/>
      <w:sz w:val="18"/>
      <w:szCs w:val="18"/>
      <w:lang w:eastAsia="pt-BR"/>
    </w:rPr>
  </w:style>
  <w:style w:type="character" w:styleId="CabealhoChar" w:customStyle="1">
    <w:name w:val="Cabeçalho Char"/>
    <w:basedOn w:val="DefaultParagraphFont"/>
    <w:uiPriority w:val="99"/>
    <w:qFormat/>
    <w:rsid w:val="00805244"/>
    <w:rPr>
      <w:rFonts w:ascii="Arial" w:hAnsi="Arial" w:eastAsia="Times New Roman" w:cs="Tahoma"/>
      <w:sz w:val="20"/>
      <w:szCs w:val="24"/>
      <w:lang w:eastAsia="pt-BR"/>
    </w:rPr>
  </w:style>
  <w:style w:type="character" w:styleId="RodapChar" w:customStyle="1">
    <w:name w:val="Rodapé Char"/>
    <w:basedOn w:val="DefaultParagraphFont"/>
    <w:uiPriority w:val="99"/>
    <w:qFormat/>
    <w:rsid w:val="00805244"/>
    <w:rPr>
      <w:rFonts w:ascii="Arial" w:hAnsi="Arial" w:eastAsia="Times New Roman" w:cs="Tahoma"/>
      <w:sz w:val="20"/>
      <w:szCs w:val="24"/>
      <w:lang w:eastAsia="pt-BR"/>
    </w:rPr>
  </w:style>
  <w:style w:type="character" w:styleId="Strong">
    <w:name w:val="Strong"/>
    <w:basedOn w:val="DefaultParagraphFont"/>
    <w:qFormat/>
    <w:rPr>
      <w:b/>
      <w:bCs/>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Quote">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9f7713"/>
    <w:pPr>
      <w:spacing w:lineRule="auto" w:line="276" w:before="480" w:after="120"/>
      <w:ind w:right="-15" w:hanging="0"/>
      <w:jc w:val="both"/>
    </w:pPr>
    <w:rPr>
      <w:rFonts w:ascii="Arial" w:hAnsi="Arial" w:cs="Times New Roman"/>
      <w:b/>
      <w:bCs/>
      <w:color w:val="000000"/>
      <w:sz w:val="20"/>
      <w:szCs w:val="20"/>
    </w:rPr>
  </w:style>
  <w:style w:type="paragraph" w:styleId="PADRO" w:customStyle="1">
    <w:name w:val="PADRÃO"/>
    <w:qFormat/>
    <w:rsid w:val="009f7713"/>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6a70c8"/>
    <w:pPr>
      <w:spacing w:before="0" w:after="0"/>
      <w:ind w:left="720" w:hanging="0"/>
      <w:contextualSpacing/>
    </w:pPr>
    <w:rPr/>
  </w:style>
  <w:style w:type="paragraph" w:styleId="Citao2" w:customStyle="1">
    <w:name w:val="citação 2"/>
    <w:basedOn w:val="Quote"/>
    <w:qFormat/>
    <w:rsid w:val="006a70c8"/>
    <w:pPr>
      <w:shd w:val="clear" w:fill="FFFFCC"/>
    </w:pPr>
    <w:rPr>
      <w:szCs w:val="20"/>
    </w:rPr>
  </w:style>
  <w:style w:type="paragraph" w:styleId="Citao1" w:customStyle="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3d08af"/>
    <w:pPr/>
    <w:rPr>
      <w:szCs w:val="20"/>
    </w:rPr>
  </w:style>
  <w:style w:type="paragraph" w:styleId="Annotationsubject">
    <w:name w:val="annotation subject"/>
    <w:basedOn w:val="Annotationtext"/>
    <w:next w:val="Annotationtext"/>
    <w:link w:val="AssuntodocomentrioChar"/>
    <w:uiPriority w:val="99"/>
    <w:semiHidden/>
    <w:unhideWhenUsed/>
    <w:qFormat/>
    <w:rsid w:val="003d08af"/>
    <w:pPr/>
    <w:rPr>
      <w:b/>
      <w:bCs/>
    </w:rPr>
  </w:style>
  <w:style w:type="paragraph" w:styleId="Nivel1" w:customStyle="1">
    <w:name w:val="Nivel1"/>
    <w:basedOn w:val="Ttulo1"/>
    <w:qFormat/>
    <w:rsid w:val="00fa4ef2"/>
    <w:pPr>
      <w:spacing w:lineRule="auto" w:line="276" w:before="480" w:after="0"/>
      <w:ind w:left="644" w:hanging="360"/>
      <w:jc w:val="both"/>
    </w:pPr>
    <w:rPr>
      <w:rFonts w:ascii="Arial" w:hAnsi="Arial" w:cs="Times New Roman"/>
      <w:b/>
      <w:color w:val="000000"/>
      <w:sz w:val="20"/>
      <w:szCs w:val="20"/>
    </w:rPr>
  </w:style>
  <w:style w:type="paragraph" w:styleId="Nivel2" w:customStyle="1">
    <w:name w:val="Nivel 2"/>
    <w:qFormat/>
    <w:rsid w:val="002f5eff"/>
    <w:pPr>
      <w:widowControl/>
      <w:numPr>
        <w:ilvl w:val="0"/>
        <w:numId w:val="3"/>
      </w:numPr>
      <w:suppressAutoHyphens w:val="true"/>
      <w:bidi w:val="0"/>
      <w:spacing w:lineRule="auto" w:line="276" w:before="120" w:after="120"/>
      <w:jc w:val="both"/>
    </w:pPr>
    <w:rPr>
      <w:rFonts w:ascii="Ecofont_Spranq_eco_Sans" w:hAnsi="Ecofont_Spranq_eco_Sans" w:eastAsia="Arial Unicode MS" w:cs="Times New Roman"/>
      <w:color w:val="auto"/>
      <w:kern w:val="0"/>
      <w:sz w:val="20"/>
      <w:szCs w:val="20"/>
      <w:lang w:val="pt-BR" w:eastAsia="pt-BR" w:bidi="ar-SA"/>
    </w:rPr>
  </w:style>
  <w:style w:type="paragraph" w:styleId="Nivel11" w:customStyle="1">
    <w:name w:val="Nivel 1"/>
    <w:basedOn w:val="Nivel2"/>
    <w:next w:val="Nivel2"/>
    <w:qFormat/>
    <w:rsid w:val="002f5eff"/>
    <w:pPr/>
    <w:rPr>
      <w:rFonts w:cs="Arial"/>
      <w:b/>
    </w:rPr>
  </w:style>
  <w:style w:type="paragraph" w:styleId="Nivel3" w:customStyle="1">
    <w:name w:val="Nivel 3"/>
    <w:basedOn w:val="Nivel2"/>
    <w:qFormat/>
    <w:rsid w:val="002f5eff"/>
    <w:pPr/>
    <w:rPr>
      <w:rFonts w:cs="Arial"/>
      <w:color w:val="000000"/>
    </w:rPr>
  </w:style>
  <w:style w:type="paragraph" w:styleId="Nivel4" w:customStyle="1">
    <w:name w:val="Nivel 4"/>
    <w:basedOn w:val="Nivel3"/>
    <w:link w:val="Nivel4Char"/>
    <w:qFormat/>
    <w:rsid w:val="002f5eff"/>
    <w:pPr/>
    <w:rPr>
      <w:color w:val="auto"/>
    </w:rPr>
  </w:style>
  <w:style w:type="paragraph" w:styleId="Nivel5" w:customStyle="1">
    <w:name w:val="Nivel 5"/>
    <w:basedOn w:val="Nivel4"/>
    <w:qFormat/>
    <w:rsid w:val="002f5eff"/>
    <w:pPr>
      <w:tabs>
        <w:tab w:val="clear" w:pos="708"/>
        <w:tab w:val="left" w:pos="360" w:leader="none"/>
      </w:tabs>
    </w:pPr>
    <w:rPr/>
  </w:style>
  <w:style w:type="paragraph" w:styleId="BalloonText">
    <w:name w:val="Balloon Text"/>
    <w:basedOn w:val="Normal"/>
    <w:link w:val="TextodebaloChar"/>
    <w:uiPriority w:val="99"/>
    <w:semiHidden/>
    <w:unhideWhenUsed/>
    <w:qFormat/>
    <w:rsid w:val="00731d60"/>
    <w:pPr/>
    <w:rPr>
      <w:rFonts w:ascii="Segoe UI" w:hAnsi="Segoe UI" w:cs="Segoe UI"/>
      <w:sz w:val="18"/>
      <w:szCs w:val="18"/>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805244"/>
    <w:pPr>
      <w:tabs>
        <w:tab w:val="clear" w:pos="708"/>
        <w:tab w:val="center" w:pos="4252" w:leader="none"/>
        <w:tab w:val="right" w:pos="8504" w:leader="none"/>
      </w:tabs>
    </w:pPr>
    <w:rPr/>
  </w:style>
  <w:style w:type="paragraph" w:styleId="Rodap">
    <w:name w:val="Footer"/>
    <w:basedOn w:val="Normal"/>
    <w:link w:val="RodapChar"/>
    <w:uiPriority w:val="99"/>
    <w:unhideWhenUsed/>
    <w:rsid w:val="00805244"/>
    <w:pPr>
      <w:tabs>
        <w:tab w:val="clear" w:pos="708"/>
        <w:tab w:val="center" w:pos="4252" w:leader="none"/>
        <w:tab w:val="right" w:pos="8504" w:leader="none"/>
      </w:tabs>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Contedodoquadro">
    <w:name w:val="Conteúdo do quadro"/>
    <w:basedOn w:val="Normal"/>
    <w:qFormat/>
    <w:pPr/>
    <w:rPr/>
  </w:style>
  <w:style w:type="paragraph" w:styleId="Ttulododocumento">
    <w:name w:val="Title"/>
    <w:basedOn w:val="Normal"/>
    <w:qFormat/>
    <w:pPr>
      <w:spacing w:before="85" w:after="0"/>
      <w:ind w:left="2678" w:right="2659" w:hanging="0"/>
      <w:jc w:val="center"/>
    </w:pPr>
    <w:rPr>
      <w:rFonts w:ascii="Times New Roman" w:hAnsi="Times New Roman" w:eastAsia="Times New Roman" w:cs="Times New Roman"/>
      <w:b/>
      <w:bCs/>
      <w:sz w:val="36"/>
      <w:szCs w:val="36"/>
      <w:lang w:val="pt-PT" w:eastAsia="en-US" w:bidi="ar-SA"/>
    </w:rPr>
  </w:style>
  <w:style w:type="paragraph" w:styleId="TableParagraph">
    <w:name w:val="Table Paragraph"/>
    <w:basedOn w:val="Normal"/>
    <w:qFormat/>
    <w:pPr/>
    <w:rPr>
      <w:rFonts w:ascii="Times New Roman" w:hAnsi="Times New Roman" w:eastAsia="Times New Roman" w:cs="Times New Roman"/>
      <w:lang w:val="pt-PT" w:eastAsia="en-US" w:bidi="ar-SA"/>
    </w:rPr>
  </w:style>
  <w:style w:type="paragraph" w:styleId="Linhahorizontal">
    <w:name w:val="Linha horizontal"/>
    <w:basedOn w:val="Normal"/>
    <w:next w:val="Corpodotexto"/>
    <w:qFormat/>
    <w:pPr>
      <w:suppressLineNumbers/>
      <w:pBdr>
        <w:bottom w:val="double" w:sz="2" w:space="0" w:color="808080"/>
      </w:pBdr>
      <w:spacing w:before="0" w:after="283"/>
    </w:pPr>
    <w:rPr>
      <w:sz w:val="12"/>
      <w:szCs w:val="12"/>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rsid w:val="002f5eff"/>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lanalto.gov.br/ccivil_03/LEIS/L6404consol.htm" TargetMode="External"/><Relationship Id="rId3" Type="http://schemas.openxmlformats.org/officeDocument/2006/relationships/hyperlink" Target="http://www.portaldatransparencia.gov.br/ceis" TargetMode="External"/><Relationship Id="rId4" Type="http://schemas.openxmlformats.org/officeDocument/2006/relationships/hyperlink" Target="http://www.cnj.jus.br/improbidade_adm/consultar_requerido.php" TargetMode="Externa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wmf"/>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C41D7-5008-46E3-811B-027BD65FD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1582</TotalTime>
  <Application>LibreOffice/7.4.2.3$Windows_X86_64 LibreOffice_project/382eef1f22670f7f4118c8c2dd222ec7ad009daf</Application>
  <AppVersion>15.0000</AppVersion>
  <Pages>15</Pages>
  <Words>4794</Words>
  <Characters>27586</Characters>
  <CharactersWithSpaces>32212</CharactersWithSpaces>
  <Paragraphs>230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2021-08-05T16:35:00Z</dcterms:created>
  <dc:creator>Hugo Sales</dc:creator>
  <dc:description/>
  <dc:language>pt-BR</dc:language>
  <cp:lastModifiedBy/>
  <cp:lastPrinted>2026-05-11T09:21:08Z</cp:lastPrinted>
  <dcterms:modified xsi:type="dcterms:W3CDTF">2026-05-11T09:21:52Z</dcterms:modified>
  <cp:revision>53</cp:revision>
  <dc:subject/>
  <dc:title/>
</cp:coreProperties>
</file>

<file path=docProps/custom.xml><?xml version="1.0" encoding="utf-8"?>
<Properties xmlns="http://schemas.openxmlformats.org/officeDocument/2006/custom-properties" xmlns:vt="http://schemas.openxmlformats.org/officeDocument/2006/docPropsVTypes"/>
</file>