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9DCD7" w14:textId="306F67FC" w:rsidR="0008768D" w:rsidRDefault="0008768D" w:rsidP="005642F8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ANEXO C – MINUTA DO TERMO DE CONTRATO</w:t>
      </w:r>
    </w:p>
    <w:p w14:paraId="5FA0BBDF" w14:textId="62340253" w:rsidR="0008768D" w:rsidRPr="0008768D" w:rsidRDefault="0008768D" w:rsidP="005642F8">
      <w:pPr>
        <w:spacing w:afterLines="120" w:after="288" w:line="312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08768D">
        <w:rPr>
          <w:rFonts w:ascii="Arial" w:hAnsi="Arial" w:cs="Arial"/>
          <w:color w:val="000000" w:themeColor="text1"/>
          <w:sz w:val="20"/>
          <w:szCs w:val="20"/>
        </w:rPr>
        <w:t xml:space="preserve">Processo n. </w:t>
      </w:r>
      <w:r w:rsidRPr="0008768D">
        <w:rPr>
          <w:rFonts w:ascii="Arial" w:hAnsi="Arial" w:cs="Arial"/>
          <w:color w:val="000000" w:themeColor="text1"/>
          <w:sz w:val="20"/>
          <w:szCs w:val="20"/>
        </w:rPr>
        <w:t>23305.002036.2026-46</w:t>
      </w:r>
    </w:p>
    <w:p w14:paraId="1D72651B" w14:textId="77777777" w:rsidR="0008768D" w:rsidRDefault="0008768D" w:rsidP="005642F8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B845B69" w14:textId="0620A300" w:rsidR="0075039D" w:rsidRPr="004827F2" w:rsidRDefault="0075039D" w:rsidP="005642F8">
      <w:pPr>
        <w:spacing w:afterLines="120" w:after="288" w:line="312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commentRangeStart w:id="0"/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t>MODELO DE TERMO DE CONTRATO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  <w:t>Lei nº 14.133, de 1º de abril de 2021</w:t>
      </w:r>
      <w:r w:rsidRPr="004827F2">
        <w:rPr>
          <w:rFonts w:ascii="Arial" w:hAnsi="Arial" w:cs="Arial"/>
          <w:b/>
          <w:bCs/>
          <w:color w:val="000000" w:themeColor="text1"/>
          <w:sz w:val="20"/>
          <w:szCs w:val="20"/>
        </w:rPr>
        <w:br/>
      </w:r>
      <w:r w:rsidR="00CC7302" w:rsidRPr="0063502E">
        <w:rPr>
          <w:rFonts w:ascii="Arial" w:hAnsi="Arial" w:cs="Arial"/>
          <w:b/>
          <w:bCs/>
          <w:color w:val="000000" w:themeColor="text1"/>
          <w:sz w:val="20"/>
          <w:szCs w:val="20"/>
        </w:rPr>
        <w:t>SERVIÇOS</w:t>
      </w:r>
      <w:r w:rsidR="00B364FC" w:rsidRPr="0063502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5C458C">
        <w:rPr>
          <w:rFonts w:ascii="Arial" w:hAnsi="Arial" w:cs="Arial"/>
          <w:b/>
          <w:bCs/>
          <w:color w:val="000000" w:themeColor="text1"/>
          <w:sz w:val="20"/>
          <w:szCs w:val="20"/>
        </w:rPr>
        <w:t>SEM</w:t>
      </w:r>
      <w:r w:rsidR="00B364FC" w:rsidRPr="00470DF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REGIME DE </w:t>
      </w:r>
      <w:r w:rsidR="00B364FC"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>DEDICAÇÃO EXCLUSIVA DE MÃO DE OBRA</w:t>
      </w:r>
      <w:r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– LICITAÇÃO</w:t>
      </w:r>
      <w:commentRangeEnd w:id="0"/>
      <w:r w:rsidRPr="00BE1F9F">
        <w:rPr>
          <w:rStyle w:val="Refdecomentrio"/>
          <w:rFonts w:ascii="Arial" w:hAnsi="Arial" w:cs="Arial"/>
          <w:b/>
          <w:bCs/>
          <w:color w:val="000000" w:themeColor="text1"/>
          <w:sz w:val="20"/>
          <w:szCs w:val="20"/>
        </w:rPr>
        <w:commentReference w:id="0"/>
      </w:r>
      <w:r w:rsidR="00183D55" w:rsidRPr="00BE1F9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 CONTRATAÇÃO DIRETA</w:t>
      </w:r>
    </w:p>
    <w:p w14:paraId="3EBB8021" w14:textId="4A0A1630" w:rsidR="00BE137E" w:rsidRPr="004827F2" w:rsidRDefault="007A455D" w:rsidP="005C458C">
      <w:pPr>
        <w:spacing w:before="360" w:afterLines="120" w:after="288" w:line="312" w:lineRule="auto"/>
        <w:jc w:val="center"/>
        <w:rPr>
          <w:rFonts w:ascii="Arial" w:eastAsia="Times New Roman" w:hAnsi="Arial" w:cs="Arial"/>
          <w:b/>
          <w:i/>
          <w:color w:val="FF0000"/>
          <w:sz w:val="20"/>
          <w:szCs w:val="20"/>
        </w:rPr>
      </w:pPr>
      <w:r w:rsidRPr="004827F2">
        <w:rPr>
          <w:rFonts w:ascii="Arial" w:hAnsi="Arial" w:cs="Arial"/>
          <w:noProof/>
          <w:color w:val="000000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91EB5D4" wp14:editId="5FC27776">
            <wp:simplePos x="0" y="0"/>
            <wp:positionH relativeFrom="margin">
              <wp:posOffset>2818130</wp:posOffset>
            </wp:positionH>
            <wp:positionV relativeFrom="paragraph">
              <wp:posOffset>64135</wp:posOffset>
            </wp:positionV>
            <wp:extent cx="737870" cy="805815"/>
            <wp:effectExtent l="0" t="0" r="5080" b="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37E" w:rsidRPr="004827F2">
        <w:rPr>
          <w:rFonts w:ascii="Arial" w:hAnsi="Arial" w:cs="Arial"/>
          <w:b/>
          <w:i/>
          <w:color w:val="FF0000"/>
          <w:sz w:val="20"/>
          <w:szCs w:val="20"/>
        </w:rPr>
        <w:t>ÓRGÃO OU ENTIDADE PÚBLICA</w:t>
      </w:r>
    </w:p>
    <w:p w14:paraId="4334F8EC" w14:textId="6070023D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="00170C67" w:rsidRPr="00170C67">
        <w:rPr>
          <w:rFonts w:ascii="Arial" w:hAnsi="Arial" w:cs="Arial"/>
          <w:bCs/>
          <w:sz w:val="20"/>
          <w:szCs w:val="20"/>
        </w:rPr>
        <w:t>.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r w:rsidR="00170C67" w:rsidRPr="00170C67">
        <w:rPr>
          <w:rFonts w:ascii="Arial" w:hAnsi="Arial" w:cs="Arial"/>
          <w:bCs/>
          <w:sz w:val="20"/>
          <w:szCs w:val="20"/>
        </w:rPr>
        <w:t>/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="00170C67" w:rsidRPr="00170C67">
        <w:rPr>
          <w:rFonts w:ascii="Arial" w:hAnsi="Arial" w:cs="Arial"/>
          <w:bCs/>
          <w:sz w:val="20"/>
          <w:szCs w:val="20"/>
        </w:rPr>
        <w:t>-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08652D9C" w14:textId="0457DFDC" w:rsidR="00DC41DD" w:rsidRPr="004827F2" w:rsidRDefault="00DC41DD" w:rsidP="005C458C">
      <w:pPr>
        <w:pStyle w:val="Prembulo"/>
        <w:spacing w:before="120" w:afterLines="120" w:after="288" w:line="312" w:lineRule="auto"/>
        <w:rPr>
          <w:bCs w:val="0"/>
        </w:rPr>
      </w:pPr>
      <w:r w:rsidRPr="004827F2">
        <w:rPr>
          <w:bCs w:val="0"/>
        </w:rPr>
        <w:t xml:space="preserve">CONTRATO ADMINISTRATIVO Nº </w:t>
      </w:r>
      <w:r w:rsidR="00170C67" w:rsidRPr="00170C67">
        <w:rPr>
          <w:bCs w:val="0"/>
          <w:i/>
          <w:iCs/>
          <w:color w:val="FF0000"/>
        </w:rPr>
        <w:t>xx</w:t>
      </w:r>
      <w:r w:rsidR="00170C67">
        <w:rPr>
          <w:bCs w:val="0"/>
        </w:rPr>
        <w:t>/</w:t>
      </w:r>
      <w:r w:rsidR="00170C67" w:rsidRPr="00170C67">
        <w:rPr>
          <w:bCs w:val="0"/>
          <w:i/>
          <w:iCs/>
          <w:color w:val="FF0000"/>
        </w:rPr>
        <w:t>xxxx</w:t>
      </w:r>
      <w:r w:rsidRPr="004827F2">
        <w:rPr>
          <w:bCs w:val="0"/>
        </w:rPr>
        <w:t xml:space="preserve">, QUE FAZEM ENTRE SI A UNIÃO, POR INTERMÉDIO DO (A) ......................................................... E .............................................................  </w:t>
      </w:r>
    </w:p>
    <w:p w14:paraId="2C937491" w14:textId="336A46CE" w:rsidR="00DC41DD" w:rsidRPr="004827F2" w:rsidRDefault="00DC41DD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commentRangeStart w:id="1"/>
      <w:r w:rsidRPr="005C458C">
        <w:rPr>
          <w:rFonts w:ascii="Arial" w:hAnsi="Arial"/>
          <w:sz w:val="20"/>
        </w:rPr>
        <w:t xml:space="preserve">A </w:t>
      </w:r>
      <w:commentRangeStart w:id="2"/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União</w:t>
      </w:r>
      <w:r w:rsid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 w:rsidRPr="00AF6EE0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Autarquia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XXXXX]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 w:rsidRPr="00AF6EE0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Fundação 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XXXXXX]</w:t>
      </w:r>
      <w:commentRangeEnd w:id="2"/>
      <w:r w:rsidR="007B2916" w:rsidRPr="004827F2">
        <w:rPr>
          <w:rStyle w:val="Refdecomentrio"/>
          <w:rFonts w:ascii="Arial" w:eastAsia="Arial" w:hAnsi="Arial" w:cs="Arial"/>
          <w:i/>
          <w:iCs/>
          <w:color w:val="FF0000"/>
          <w:sz w:val="20"/>
          <w:szCs w:val="20"/>
        </w:rPr>
        <w:commentReference w:id="2"/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5C458C">
        <w:rPr>
          <w:rFonts w:ascii="Arial" w:hAnsi="Arial"/>
          <w:i/>
          <w:color w:val="FF0000"/>
          <w:sz w:val="20"/>
        </w:rPr>
        <w:t xml:space="preserve"> </w:t>
      </w:r>
      <w:r w:rsidRPr="005C458C">
        <w:rPr>
          <w:rFonts w:ascii="Arial" w:hAnsi="Arial"/>
          <w:sz w:val="20"/>
        </w:rPr>
        <w:t>por intermédio do(a)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="00732171">
        <w:rPr>
          <w:rFonts w:ascii="Arial" w:eastAsia="Arial" w:hAnsi="Arial" w:cs="Arial"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órgão contratante</w:t>
      </w:r>
      <w:r w:rsidR="00732171">
        <w:rPr>
          <w:rFonts w:ascii="Arial" w:eastAsia="Arial" w:hAnsi="Arial" w:cs="Arial"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com sede no(a) </w:t>
      </w:r>
      <w:r w:rsidR="00732171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C2218B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C2218B">
        <w:rPr>
          <w:rFonts w:ascii="Arial" w:eastAsia="Arial" w:hAnsi="Arial" w:cs="Arial"/>
          <w:sz w:val="20"/>
          <w:szCs w:val="20"/>
        </w:rPr>
        <w:t>/</w:t>
      </w:r>
      <w:r w:rsidR="00C2218B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Pr="004827F2">
        <w:rPr>
          <w:rFonts w:ascii="Arial" w:eastAsia="Arial" w:hAnsi="Arial" w:cs="Arial"/>
          <w:sz w:val="20"/>
          <w:szCs w:val="20"/>
        </w:rPr>
        <w:t xml:space="preserve">, inscrito(a) no CNPJ sob o nº </w:t>
      </w:r>
      <w:r w:rsidR="00C2218B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Pr="004827F2">
        <w:rPr>
          <w:rFonts w:ascii="Arial" w:eastAsia="Arial" w:hAnsi="Arial" w:cs="Arial"/>
          <w:sz w:val="20"/>
          <w:szCs w:val="20"/>
        </w:rPr>
        <w:t xml:space="preserve">, neste ato representado(a) pelo(a) </w:t>
      </w:r>
      <w:r w:rsidR="00C2218B" w:rsidRPr="00C2218B">
        <w:rPr>
          <w:rFonts w:ascii="Arial" w:eastAsia="Arial" w:hAnsi="Arial" w:cs="Arial"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cargo e nome</w:t>
      </w:r>
      <w:r w:rsidR="00C2218B">
        <w:rPr>
          <w:rFonts w:ascii="Arial" w:eastAsia="Arial" w:hAnsi="Arial" w:cs="Arial"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nomeado(a) pela Portaria nº </w:t>
      </w:r>
      <w:r w:rsidR="008C42F1" w:rsidRPr="008C42F1">
        <w:rPr>
          <w:rFonts w:ascii="Arial" w:eastAsia="Arial" w:hAnsi="Arial" w:cs="Arial"/>
          <w:i/>
          <w:iCs/>
          <w:color w:val="FF0000"/>
          <w:sz w:val="20"/>
          <w:szCs w:val="20"/>
        </w:rPr>
        <w:t>XX</w:t>
      </w:r>
      <w:r w:rsidRPr="004827F2">
        <w:rPr>
          <w:rFonts w:ascii="Arial" w:eastAsia="Arial" w:hAnsi="Arial" w:cs="Arial"/>
          <w:sz w:val="20"/>
          <w:szCs w:val="20"/>
        </w:rPr>
        <w:t xml:space="preserve">,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Pr="005C458C">
        <w:rPr>
          <w:rFonts w:ascii="Arial" w:hAnsi="Arial"/>
          <w:color w:val="FF0000"/>
          <w:sz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Pr="004827F2">
        <w:rPr>
          <w:rFonts w:ascii="Arial" w:eastAsia="Arial" w:hAnsi="Arial" w:cs="Arial"/>
          <w:sz w:val="20"/>
          <w:szCs w:val="20"/>
        </w:rPr>
        <w:t>, publicada no</w:t>
      </w:r>
      <w:r w:rsidRPr="004827F2">
        <w:rPr>
          <w:rFonts w:ascii="Arial" w:eastAsia="Arial" w:hAnsi="Arial" w:cs="Arial"/>
          <w:i/>
          <w:iCs/>
          <w:sz w:val="20"/>
          <w:szCs w:val="20"/>
        </w:rPr>
        <w:t xml:space="preserve"> DOU </w:t>
      </w:r>
      <w:r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[dia]</w:t>
      </w:r>
      <w:r w:rsidR="00A74934" w:rsidRPr="004827F2">
        <w:rPr>
          <w:rFonts w:ascii="Arial" w:eastAsia="Arial" w:hAnsi="Arial" w:cs="Arial"/>
          <w:sz w:val="20"/>
          <w:szCs w:val="20"/>
        </w:rPr>
        <w:t xml:space="preserve"> 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[mês]</w:t>
      </w:r>
      <w:r w:rsidR="00A74934" w:rsidRPr="005C458C">
        <w:rPr>
          <w:rFonts w:ascii="Arial" w:hAnsi="Arial"/>
          <w:color w:val="FF0000"/>
          <w:sz w:val="20"/>
        </w:rPr>
        <w:t xml:space="preserve"> </w:t>
      </w:r>
      <w:r w:rsidR="00A74934" w:rsidRPr="004827F2">
        <w:rPr>
          <w:rFonts w:ascii="Arial" w:eastAsia="Arial" w:hAnsi="Arial" w:cs="Arial"/>
          <w:sz w:val="20"/>
          <w:szCs w:val="20"/>
        </w:rPr>
        <w:t xml:space="preserve">de </w:t>
      </w:r>
      <w:r w:rsidR="00A74934" w:rsidRPr="00A74934">
        <w:rPr>
          <w:rFonts w:ascii="Arial" w:eastAsia="Arial" w:hAnsi="Arial" w:cs="Arial"/>
          <w:i/>
          <w:iCs/>
          <w:color w:val="FF0000"/>
          <w:sz w:val="20"/>
          <w:szCs w:val="20"/>
        </w:rPr>
        <w:t>[ano]</w:t>
      </w:r>
      <w:r w:rsidRPr="004827F2">
        <w:rPr>
          <w:rFonts w:ascii="Arial" w:eastAsia="Arial" w:hAnsi="Arial" w:cs="Arial"/>
          <w:sz w:val="20"/>
          <w:szCs w:val="20"/>
        </w:rPr>
        <w:t xml:space="preserve">, portador da Matrícula Funcional nº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E31C91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nº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matrícula]</w:t>
      </w:r>
      <w:r w:rsidRPr="004827F2">
        <w:rPr>
          <w:rFonts w:ascii="Arial" w:eastAsia="Arial" w:hAnsi="Arial" w:cs="Arial"/>
          <w:sz w:val="20"/>
          <w:szCs w:val="20"/>
        </w:rPr>
        <w:t xml:space="preserve">, doravante denominado CONTRATANTE, e o(a) 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BB115A">
        <w:rPr>
          <w:rFonts w:ascii="Arial" w:eastAsia="Arial" w:hAnsi="Arial" w:cs="Arial"/>
          <w:i/>
          <w:iCs/>
          <w:color w:val="FF0000"/>
          <w:sz w:val="20"/>
          <w:szCs w:val="20"/>
        </w:rPr>
        <w:t>CONTRATADO</w:t>
      </w:r>
      <w:r w:rsidR="00E31C91" w:rsidRPr="00E31C91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Pr="005C458C">
        <w:rPr>
          <w:rFonts w:ascii="Arial" w:hAnsi="Arial"/>
          <w:sz w:val="20"/>
        </w:rPr>
        <w:t>inscrito(a) no CNPJ/MF sob o nº</w:t>
      </w:r>
      <w:r w:rsidR="007B2916" w:rsidRPr="005C458C">
        <w:rPr>
          <w:rFonts w:ascii="Arial" w:hAnsi="Arial"/>
          <w:sz w:val="20"/>
        </w:rPr>
        <w:t xml:space="preserve">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[CNPJ]</w:t>
      </w:r>
      <w:r w:rsidR="007B2916">
        <w:rPr>
          <w:rFonts w:ascii="Arial" w:eastAsia="Arial" w:hAnsi="Arial" w:cs="Arial"/>
          <w:i/>
          <w:iCs/>
          <w:color w:val="FF0000"/>
          <w:sz w:val="20"/>
          <w:szCs w:val="20"/>
        </w:rPr>
        <w:t>,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5C458C">
        <w:rPr>
          <w:rFonts w:ascii="Arial" w:hAnsi="Arial"/>
          <w:sz w:val="20"/>
        </w:rPr>
        <w:t>sediado(a) na</w:t>
      </w:r>
      <w:r w:rsidRPr="004827F2">
        <w:rPr>
          <w:rFonts w:ascii="Arial" w:eastAsia="Arial" w:hAnsi="Arial" w:cs="Arial"/>
          <w:sz w:val="20"/>
          <w:szCs w:val="20"/>
        </w:rPr>
        <w:t xml:space="preserve"> </w:t>
      </w:r>
      <w:r w:rsidR="007B2916" w:rsidRPr="00732171">
        <w:rPr>
          <w:rFonts w:ascii="Arial" w:eastAsia="Arial" w:hAnsi="Arial" w:cs="Arial"/>
          <w:i/>
          <w:iCs/>
          <w:color w:val="FF0000"/>
          <w:sz w:val="20"/>
          <w:szCs w:val="20"/>
        </w:rPr>
        <w:t>[endereço]</w:t>
      </w:r>
      <w:r w:rsidR="007B2916" w:rsidRPr="004827F2">
        <w:rPr>
          <w:rFonts w:ascii="Arial" w:eastAsia="Arial" w:hAnsi="Arial" w:cs="Arial"/>
          <w:sz w:val="20"/>
          <w:szCs w:val="20"/>
        </w:rPr>
        <w:t xml:space="preserve">, na cidade de 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[cidade]</w:t>
      </w:r>
      <w:r w:rsidR="007B2916">
        <w:rPr>
          <w:rFonts w:ascii="Arial" w:eastAsia="Arial" w:hAnsi="Arial" w:cs="Arial"/>
          <w:sz w:val="20"/>
          <w:szCs w:val="20"/>
        </w:rPr>
        <w:t>/</w:t>
      </w:r>
      <w:r w:rsidR="007B2916" w:rsidRPr="00C2218B">
        <w:rPr>
          <w:rFonts w:ascii="Arial" w:eastAsia="Arial" w:hAnsi="Arial" w:cs="Arial"/>
          <w:i/>
          <w:iCs/>
          <w:color w:val="FF0000"/>
          <w:sz w:val="20"/>
          <w:szCs w:val="20"/>
        </w:rPr>
        <w:t>[UF]</w:t>
      </w:r>
      <w:r w:rsidR="007B2916" w:rsidRPr="004827F2">
        <w:rPr>
          <w:rFonts w:ascii="Arial" w:eastAsia="Arial" w:hAnsi="Arial" w:cs="Arial"/>
          <w:sz w:val="20"/>
          <w:szCs w:val="20"/>
        </w:rPr>
        <w:t>,</w:t>
      </w:r>
      <w:r w:rsidRPr="004827F2">
        <w:rPr>
          <w:rFonts w:ascii="Arial" w:eastAsia="Arial" w:hAnsi="Arial" w:cs="Arial"/>
          <w:sz w:val="20"/>
          <w:szCs w:val="20"/>
        </w:rPr>
        <w:t xml:space="preserve"> doravante designado </w:t>
      </w:r>
      <w:r w:rsidR="00BB115A">
        <w:rPr>
          <w:rFonts w:ascii="Arial" w:eastAsia="Arial" w:hAnsi="Arial" w:cs="Arial"/>
          <w:sz w:val="20"/>
          <w:szCs w:val="20"/>
        </w:rPr>
        <w:t>CONTRATADO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5C458C">
        <w:rPr>
          <w:rFonts w:ascii="Arial" w:hAnsi="Arial"/>
          <w:sz w:val="20"/>
        </w:rPr>
        <w:t xml:space="preserve">neste ato representado(a) por 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5C458C">
        <w:rPr>
          <w:rFonts w:ascii="Arial" w:hAnsi="Arial"/>
          <w:i/>
          <w:color w:val="FF0000"/>
          <w:sz w:val="20"/>
        </w:rPr>
        <w:t xml:space="preserve">nome e função no </w:t>
      </w:r>
      <w:r w:rsidR="00BB115A">
        <w:rPr>
          <w:rFonts w:ascii="Arial" w:hAnsi="Arial"/>
          <w:i/>
          <w:color w:val="FF0000"/>
          <w:sz w:val="20"/>
        </w:rPr>
        <w:t>CONTRATADO</w:t>
      </w:r>
      <w:r w:rsidR="00AF6EE0" w:rsidRP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sz w:val="20"/>
          <w:szCs w:val="20"/>
        </w:rPr>
        <w:t xml:space="preserve">, </w:t>
      </w:r>
      <w:r w:rsidRPr="005C458C">
        <w:rPr>
          <w:rFonts w:ascii="Arial" w:hAnsi="Arial"/>
          <w:sz w:val="20"/>
        </w:rPr>
        <w:t>conforme</w:t>
      </w:r>
      <w:r w:rsidRPr="005C458C">
        <w:rPr>
          <w:rFonts w:ascii="Arial" w:hAnsi="Arial"/>
          <w:i/>
          <w:sz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atos constitutivos da empresa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</w:rPr>
        <w:t>OU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procuração apresentada nos autos</w:t>
      </w:r>
      <w:r w:rsidR="00AF6EE0">
        <w:rPr>
          <w:rFonts w:ascii="Arial" w:eastAsia="Arial" w:hAnsi="Arial" w:cs="Arial"/>
          <w:i/>
          <w:iCs/>
          <w:color w:val="FF0000"/>
          <w:sz w:val="20"/>
          <w:szCs w:val="20"/>
        </w:rPr>
        <w:t>]</w:t>
      </w:r>
      <w:r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, </w:t>
      </w:r>
      <w:r w:rsidRPr="004827F2">
        <w:rPr>
          <w:rFonts w:ascii="Arial" w:eastAsia="Arial" w:hAnsi="Arial" w:cs="Arial"/>
          <w:sz w:val="20"/>
          <w:szCs w:val="20"/>
        </w:rPr>
        <w:t>tendo em vista o que consta no Processo nº</w:t>
      </w:r>
      <w:r w:rsidR="00AF6EE0">
        <w:rPr>
          <w:rFonts w:ascii="Arial" w:eastAsia="Arial" w:hAnsi="Arial" w:cs="Arial"/>
          <w:sz w:val="20"/>
          <w:szCs w:val="20"/>
        </w:rPr>
        <w:t xml:space="preserve"> 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="00AF6EE0" w:rsidRPr="00170C67">
        <w:rPr>
          <w:rFonts w:ascii="Arial" w:hAnsi="Arial" w:cs="Arial"/>
          <w:bCs/>
          <w:sz w:val="20"/>
          <w:szCs w:val="20"/>
        </w:rPr>
        <w:t>.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r w:rsidR="00AF6EE0" w:rsidRPr="00170C67">
        <w:rPr>
          <w:rFonts w:ascii="Arial" w:hAnsi="Arial" w:cs="Arial"/>
          <w:bCs/>
          <w:sz w:val="20"/>
          <w:szCs w:val="20"/>
        </w:rPr>
        <w:t>/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="00AF6EE0" w:rsidRPr="00170C67">
        <w:rPr>
          <w:rFonts w:ascii="Arial" w:hAnsi="Arial" w:cs="Arial"/>
          <w:bCs/>
          <w:sz w:val="20"/>
          <w:szCs w:val="20"/>
        </w:rPr>
        <w:t>-</w:t>
      </w:r>
      <w:r w:rsidR="00AF6EE0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r w:rsidRPr="004827F2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4827F2">
        <w:rPr>
          <w:rFonts w:ascii="Arial" w:eastAsia="Arial" w:hAnsi="Arial" w:cs="Arial"/>
          <w:sz w:val="20"/>
          <w:szCs w:val="20"/>
        </w:rPr>
        <w:t xml:space="preserve">e em observância às disposições da </w:t>
      </w:r>
      <w:r w:rsidRPr="00AF6EE0">
        <w:rPr>
          <w:rFonts w:ascii="Arial" w:eastAsia="Arial" w:hAnsi="Arial" w:cs="Arial"/>
          <w:sz w:val="20"/>
          <w:szCs w:val="20"/>
        </w:rPr>
        <w:t>Lei nº 14.133, de 1º de abril de 2021</w:t>
      </w:r>
      <w:r w:rsidRPr="004827F2">
        <w:rPr>
          <w:rFonts w:ascii="Arial" w:eastAsia="Arial" w:hAnsi="Arial" w:cs="Arial"/>
          <w:sz w:val="20"/>
          <w:szCs w:val="20"/>
        </w:rPr>
        <w:t xml:space="preserve">, e demais legislação aplicável, resolvem celebrar o presente Termo de Contrato, decorrente </w:t>
      </w:r>
      <w:r w:rsidR="00A16C5D" w:rsidRPr="005446FF">
        <w:rPr>
          <w:rFonts w:ascii="Arial" w:eastAsia="Arial" w:hAnsi="Arial" w:cs="Arial"/>
          <w:sz w:val="20"/>
          <w:szCs w:val="20"/>
        </w:rPr>
        <w:t>do(a)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>[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>Pregão Eletrônico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] </w:t>
      </w:r>
      <w:r w:rsidR="00A16C5D" w:rsidRPr="00BD77E3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  <w:u w:val="single"/>
        </w:rPr>
        <w:t>OU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[Concorrência]</w:t>
      </w:r>
      <w:r w:rsidR="00A16C5D" w:rsidRPr="00BD77E3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  <w:u w:val="single"/>
        </w:rPr>
        <w:t xml:space="preserve"> </w:t>
      </w:r>
      <w:r w:rsidR="00A16C5D" w:rsidRPr="00656315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  <w:u w:val="single"/>
        </w:rPr>
        <w:t>OU</w:t>
      </w:r>
      <w:r w:rsidR="00A16C5D">
        <w:rPr>
          <w:rFonts w:ascii="Arial" w:eastAsia="Arial" w:hAnsi="Arial" w:cs="Arial"/>
          <w:b/>
          <w:bCs/>
          <w:i/>
          <w:iCs/>
          <w:color w:val="FF0000"/>
          <w:sz w:val="20"/>
          <w:szCs w:val="20"/>
          <w:u w:val="single"/>
        </w:rPr>
        <w:t xml:space="preserve"> </w:t>
      </w:r>
      <w:r w:rsidR="00A16C5D" w:rsidRPr="00BD77E3">
        <w:rPr>
          <w:rFonts w:ascii="Arial" w:eastAsia="Arial" w:hAnsi="Arial" w:cs="Arial"/>
          <w:i/>
          <w:iCs/>
          <w:color w:val="FF0000"/>
          <w:sz w:val="20"/>
          <w:szCs w:val="20"/>
          <w:u w:val="single"/>
        </w:rPr>
        <w:t>[</w:t>
      </w:r>
      <w:r w:rsidR="00A16C5D" w:rsidRPr="00633A5F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>Dispensa de Licitação</w:t>
      </w:r>
      <w:r w:rsidR="00A16C5D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>]</w:t>
      </w:r>
      <w:r w:rsidR="00A16C5D" w:rsidRPr="00633A5F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 xml:space="preserve"> </w:t>
      </w:r>
      <w:r w:rsidR="00A16C5D" w:rsidRPr="00633A5F">
        <w:rPr>
          <w:rStyle w:val="normaltextrun"/>
          <w:rFonts w:ascii="Arial" w:hAnsi="Arial" w:cs="Arial"/>
          <w:b/>
          <w:bCs/>
          <w:i/>
          <w:iCs/>
          <w:color w:val="FF0000"/>
          <w:sz w:val="20"/>
          <w:szCs w:val="20"/>
          <w:highlight w:val="yellow"/>
          <w:u w:val="single"/>
          <w:bdr w:val="none" w:sz="0" w:space="0" w:color="auto" w:frame="1"/>
        </w:rPr>
        <w:t>OU</w:t>
      </w:r>
      <w:r w:rsidR="00A16C5D" w:rsidRPr="00633A5F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 xml:space="preserve"> </w:t>
      </w:r>
      <w:r w:rsidR="00A16C5D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>[</w:t>
      </w:r>
      <w:r w:rsidR="00A16C5D" w:rsidRPr="00633A5F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>Inexigibilidade de Licita</w:t>
      </w:r>
      <w:r w:rsidR="00A16C5D" w:rsidRPr="002518FA">
        <w:rPr>
          <w:rStyle w:val="normaltextrun"/>
          <w:rFonts w:ascii="Arial" w:hAnsi="Arial" w:cs="Arial"/>
          <w:i/>
          <w:iCs/>
          <w:color w:val="FF0000"/>
          <w:sz w:val="20"/>
          <w:szCs w:val="20"/>
          <w:highlight w:val="yellow"/>
          <w:bdr w:val="none" w:sz="0" w:space="0" w:color="auto" w:frame="1"/>
        </w:rPr>
        <w:t>ção</w:t>
      </w:r>
      <w:r w:rsidR="00A16C5D">
        <w:rPr>
          <w:rStyle w:val="normaltextrun"/>
          <w:rFonts w:ascii="Arial" w:hAnsi="Arial" w:cs="Arial"/>
          <w:i/>
          <w:iCs/>
          <w:color w:val="FF0000"/>
          <w:sz w:val="20"/>
          <w:szCs w:val="20"/>
          <w:bdr w:val="none" w:sz="0" w:space="0" w:color="auto" w:frame="1"/>
        </w:rPr>
        <w:t>]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 w:rsidRPr="005446FF">
        <w:rPr>
          <w:rFonts w:ascii="Arial" w:eastAsia="Arial" w:hAnsi="Arial" w:cs="Arial"/>
          <w:sz w:val="20"/>
          <w:szCs w:val="20"/>
        </w:rPr>
        <w:t>nº</w:t>
      </w:r>
      <w:r w:rsidR="00A16C5D" w:rsidRPr="004827F2">
        <w:rPr>
          <w:rFonts w:ascii="Arial" w:eastAsia="Arial" w:hAnsi="Arial" w:cs="Arial"/>
          <w:i/>
          <w:iCs/>
          <w:color w:val="FF0000"/>
          <w:sz w:val="20"/>
          <w:szCs w:val="20"/>
        </w:rPr>
        <w:t xml:space="preserve"> </w:t>
      </w:r>
      <w:r w:rsidR="00A16C5D">
        <w:rPr>
          <w:rFonts w:ascii="Arial" w:eastAsia="Arial" w:hAnsi="Arial" w:cs="Arial"/>
          <w:i/>
          <w:iCs/>
          <w:color w:val="FF0000"/>
          <w:sz w:val="20"/>
          <w:szCs w:val="20"/>
        </w:rPr>
        <w:t>XX/XXXX,</w:t>
      </w:r>
      <w:r w:rsidR="00A16C5D">
        <w:rPr>
          <w:rFonts w:ascii="Arial" w:eastAsia="Arial" w:hAnsi="Arial" w:cs="Arial"/>
          <w:sz w:val="20"/>
          <w:szCs w:val="20"/>
        </w:rPr>
        <w:t xml:space="preserve"> </w:t>
      </w:r>
      <w:r w:rsidR="00A16C5D" w:rsidRPr="004827F2">
        <w:rPr>
          <w:rFonts w:ascii="Arial" w:eastAsia="Arial" w:hAnsi="Arial" w:cs="Arial"/>
          <w:sz w:val="20"/>
          <w:szCs w:val="20"/>
        </w:rPr>
        <w:t>mediante as cláusulas e condições a seguir enunciadas</w:t>
      </w:r>
      <w:r w:rsidRPr="004827F2">
        <w:rPr>
          <w:rFonts w:ascii="Arial" w:eastAsia="Arial" w:hAnsi="Arial" w:cs="Arial"/>
          <w:sz w:val="20"/>
          <w:szCs w:val="20"/>
        </w:rPr>
        <w:t>.</w:t>
      </w:r>
      <w:commentRangeEnd w:id="1"/>
      <w:r w:rsidR="00E46C38" w:rsidRPr="004827F2">
        <w:rPr>
          <w:rStyle w:val="Refdecomentrio"/>
          <w:rFonts w:ascii="Arial" w:eastAsia="Arial" w:hAnsi="Arial" w:cs="Arial"/>
          <w:sz w:val="20"/>
          <w:szCs w:val="20"/>
        </w:rPr>
        <w:commentReference w:id="1"/>
      </w:r>
    </w:p>
    <w:p w14:paraId="6729116A" w14:textId="5E845E85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0A9417FC" w:rsidR="00DC41DD" w:rsidRPr="004827F2" w:rsidRDefault="00DC41DD" w:rsidP="006B54F0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 </w:t>
      </w:r>
      <w:r w:rsidR="00B96063" w:rsidRPr="00470DF4">
        <w:t>serviços</w:t>
      </w:r>
      <w:r w:rsidR="00E26461" w:rsidRPr="00470DF4">
        <w:t xml:space="preserve"> </w:t>
      </w:r>
      <w:r w:rsidR="003B2316" w:rsidRPr="00DE512F">
        <w:t>comuns</w:t>
      </w:r>
      <w:r w:rsidR="003B2316">
        <w:t xml:space="preserve"> </w:t>
      </w:r>
      <w:r w:rsidR="00B96063">
        <w:t>de</w:t>
      </w:r>
      <w:r w:rsidR="00281603">
        <w:t xml:space="preserve"> manutenção predial sem dedicação exclusiva de mão de obra com fornecimento de peças e matérias sob demanda para o IFSP Campus Itaquaquecetuba</w:t>
      </w:r>
      <w:r w:rsidR="00B96063">
        <w:t>,</w:t>
      </w:r>
      <w:r w:rsidRPr="004827F2">
        <w:t xml:space="preserve">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470824DF" w:rsidR="00DC41DD" w:rsidRPr="004827F2" w:rsidRDefault="00B96063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70DF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CATSER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UNIDADE DE </w:t>
            </w: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lastRenderedPageBreak/>
              <w:t>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lastRenderedPageBreak/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6B7F0105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76D74692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A084DC0" w:rsidR="00DC41DD" w:rsidRPr="004827F2" w:rsidRDefault="00D5221C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commentRangeStart w:id="3"/>
            <w:commentRangeEnd w:id="3"/>
            <w:r w:rsidRPr="004827F2">
              <w:rPr>
                <w:rStyle w:val="Refdecomentrio"/>
                <w:rFonts w:ascii="Arial" w:eastAsia="Arial" w:hAnsi="Arial" w:cs="Arial"/>
                <w:color w:val="000000"/>
                <w:sz w:val="20"/>
                <w:szCs w:val="20"/>
              </w:rPr>
              <w:commentReference w:id="3"/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4E64AA">
      <w:pPr>
        <w:pStyle w:val="Nivel3"/>
      </w:pPr>
      <w:r w:rsidRPr="004827F2">
        <w:t xml:space="preserve">O </w:t>
      </w:r>
      <w:r w:rsidRPr="00BE1F9F">
        <w:t>Termo de Referência;</w:t>
      </w:r>
    </w:p>
    <w:p w14:paraId="3D264BE4" w14:textId="695AEF96" w:rsidR="009608B5" w:rsidRPr="00BE1F9F" w:rsidRDefault="009608B5" w:rsidP="009608B5">
      <w:pPr>
        <w:pStyle w:val="Nvel3-R"/>
        <w:rPr>
          <w:i w:val="0"/>
          <w:iCs w:val="0"/>
        </w:rPr>
      </w:pPr>
      <w:r w:rsidRPr="00BE1F9F">
        <w:t>O Aviso de Dispensa Eletrônica;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SEGUNDA – VIGÊNCIA E </w:t>
      </w:r>
      <w:commentRangeStart w:id="4"/>
      <w:r w:rsidRPr="004827F2">
        <w:t>PRORROGAÇÃO</w:t>
      </w:r>
      <w:commentRangeEnd w:id="4"/>
      <w:r w:rsidR="00D31C0F" w:rsidRPr="004827F2">
        <w:rPr>
          <w:rStyle w:val="Refdecomentrio"/>
          <w:color w:val="FFFFFF" w:themeColor="background1"/>
          <w:sz w:val="20"/>
          <w:szCs w:val="20"/>
        </w:rPr>
        <w:commentReference w:id="4"/>
      </w:r>
    </w:p>
    <w:p w14:paraId="2F225233" w14:textId="75D98DB7" w:rsidR="00BC18AC" w:rsidRDefault="00BC18AC" w:rsidP="00BC18AC">
      <w:pPr>
        <w:pStyle w:val="Nvel2-Red"/>
        <w:numPr>
          <w:ilvl w:val="1"/>
          <w:numId w:val="15"/>
        </w:numPr>
        <w:ind w:left="0" w:firstLine="0"/>
      </w:pPr>
      <w:bookmarkStart w:id="5" w:name="_Hlk191044510"/>
      <w:r>
        <w:t xml:space="preserve">O prazo de vigência da contratação é de </w:t>
      </w:r>
      <w:r>
        <w:rPr>
          <w:b/>
          <w:bCs/>
        </w:rPr>
        <w:t>2 (dois) meses</w:t>
      </w:r>
      <w:r>
        <w:t xml:space="preserve"> contados do(a) </w:t>
      </w:r>
      <w:r>
        <w:rPr>
          <w:b/>
          <w:bCs/>
        </w:rPr>
        <w:t>[indicar o termo inicial da vigência]</w:t>
      </w:r>
      <w:r>
        <w:t>, prorrogável sucessivamente por até 10 anos, na forma dos artigos 106 e 107 da Lei n° 14.133, de 2021.</w:t>
      </w:r>
    </w:p>
    <w:p w14:paraId="48432375" w14:textId="3D16AF58" w:rsidR="00BC18AC" w:rsidRPr="0008768D" w:rsidRDefault="00BC18AC" w:rsidP="00BC18AC">
      <w:pPr>
        <w:pStyle w:val="Nivel3"/>
        <w:rPr>
          <w:highlight w:val="yellow"/>
        </w:rPr>
      </w:pPr>
      <w:r w:rsidRPr="0008768D">
        <w:rPr>
          <w:highlight w:val="yellow"/>
        </w:rPr>
        <w:t xml:space="preserve">Esta contratação destina-se a dar tempo hábil para a elaboração e conclusão de uma licitação abrangente e mais longeva, então, a princípio, não há a intenção de prorrogar os contratos derivados deste Aviso de Contratação Direta. Contudo, caso haja algum imprevisto, poderão ser prorrogados na forma do disposto </w:t>
      </w:r>
      <w:r w:rsidRPr="0008768D">
        <w:rPr>
          <w:highlight w:val="yellow"/>
        </w:rPr>
        <w:t>nesta cláusula</w:t>
      </w:r>
      <w:r w:rsidRPr="0008768D">
        <w:rPr>
          <w:highlight w:val="yellow"/>
        </w:rPr>
        <w:t>.</w:t>
      </w:r>
    </w:p>
    <w:p w14:paraId="52B83901" w14:textId="4BC95722" w:rsidR="00BC18AC" w:rsidRDefault="00BC18AC" w:rsidP="00BC18AC">
      <w:pPr>
        <w:pStyle w:val="Nvel2-Red"/>
        <w:numPr>
          <w:ilvl w:val="1"/>
          <w:numId w:val="15"/>
        </w:numPr>
        <w:ind w:left="0" w:firstLine="0"/>
      </w:pPr>
      <w:r>
        <w:t>A prorrogação de que trata este item é condicionada ao ateste, pela autoridade competente, de que as condições e os preços permanecem vantajosos para a Administração, permitida a negociação com o CONTRATADO, atentando, ainda, para o cumprimento dos seguintes requisitos:</w:t>
      </w:r>
    </w:p>
    <w:p w14:paraId="006FCA56" w14:textId="77777777" w:rsidR="00BC18AC" w:rsidRDefault="00BC18AC" w:rsidP="00BC18AC">
      <w:pPr>
        <w:pStyle w:val="Nvel3-R"/>
        <w:numPr>
          <w:ilvl w:val="2"/>
          <w:numId w:val="15"/>
        </w:numPr>
        <w:ind w:left="284" w:firstLine="0"/>
      </w:pPr>
      <w:r>
        <w:t>Estar formalmente demonstrado no processo que a forma de prestação dos serviços tem natureza continuada;</w:t>
      </w:r>
    </w:p>
    <w:p w14:paraId="5BB1F917" w14:textId="77777777" w:rsidR="00BC18AC" w:rsidRDefault="00BC18AC" w:rsidP="00BC18AC">
      <w:pPr>
        <w:pStyle w:val="Nvel3-R"/>
        <w:numPr>
          <w:ilvl w:val="2"/>
          <w:numId w:val="15"/>
        </w:numPr>
        <w:ind w:left="284" w:firstLine="0"/>
      </w:pPr>
      <w:r>
        <w:t xml:space="preserve">Seja juntado relatório que discorra sobre a execução do contrato, com informações de que os serviços tenham sido prestados regularmente;  </w:t>
      </w:r>
    </w:p>
    <w:p w14:paraId="55ADDBDE" w14:textId="77777777" w:rsidR="00BC18AC" w:rsidRDefault="00BC18AC" w:rsidP="00BC18AC">
      <w:pPr>
        <w:pStyle w:val="Nvel3-R"/>
        <w:numPr>
          <w:ilvl w:val="2"/>
          <w:numId w:val="15"/>
        </w:numPr>
        <w:ind w:left="284" w:firstLine="0"/>
      </w:pPr>
      <w:r>
        <w:t xml:space="preserve">Seja juntada justificativa e motivo, por escrito, de que a Administração mantém interesse na realização do serviço;  </w:t>
      </w:r>
    </w:p>
    <w:p w14:paraId="09D8CA43" w14:textId="77777777" w:rsidR="00BC18AC" w:rsidRDefault="00BC18AC" w:rsidP="00BC18AC">
      <w:pPr>
        <w:pStyle w:val="Nvel3-R"/>
        <w:numPr>
          <w:ilvl w:val="2"/>
          <w:numId w:val="15"/>
        </w:numPr>
        <w:ind w:left="284" w:firstLine="0"/>
      </w:pPr>
      <w:r>
        <w:t xml:space="preserve">Haja manifestação expressa do CONTRATADO informando o interesse na prorrogação; </w:t>
      </w:r>
    </w:p>
    <w:p w14:paraId="5CD4346B" w14:textId="77777777" w:rsidR="00BC18AC" w:rsidRDefault="00BC18AC" w:rsidP="00BC18AC">
      <w:pPr>
        <w:pStyle w:val="Nvel3-R"/>
        <w:numPr>
          <w:ilvl w:val="2"/>
          <w:numId w:val="15"/>
        </w:numPr>
        <w:ind w:left="284" w:firstLine="0"/>
      </w:pPr>
      <w:r>
        <w:t>Seja comprovado que o CONTRATADO mantém as condições iniciais de habilitação; e</w:t>
      </w:r>
    </w:p>
    <w:p w14:paraId="53EBE308" w14:textId="77777777" w:rsidR="00BC18AC" w:rsidRDefault="00BC18AC" w:rsidP="00BC18AC">
      <w:pPr>
        <w:pStyle w:val="Nvel3-R"/>
        <w:numPr>
          <w:ilvl w:val="2"/>
          <w:numId w:val="15"/>
        </w:numPr>
        <w:ind w:left="284" w:firstLine="0"/>
      </w:pPr>
      <w:r>
        <w:t xml:space="preserve">Não haja registro </w:t>
      </w:r>
      <w:bookmarkStart w:id="6" w:name="_Hlk182221215"/>
      <w:bookmarkStart w:id="7" w:name="_Hlk182221187"/>
      <w:r>
        <w:t>no Cadastro Informativo de créditos não quitados do setor público federal (</w:t>
      </w:r>
      <w:commentRangeStart w:id="8"/>
      <w:r>
        <w:t>Cadin</w:t>
      </w:r>
      <w:commentRangeEnd w:id="8"/>
      <w:r>
        <w:rPr>
          <w:rStyle w:val="Refdecomentrio"/>
          <w:sz w:val="20"/>
          <w:szCs w:val="20"/>
        </w:rPr>
        <w:commentReference w:id="8"/>
      </w:r>
      <w:r>
        <w:t>)</w:t>
      </w:r>
      <w:bookmarkEnd w:id="6"/>
      <w:bookmarkEnd w:id="7"/>
      <w:r>
        <w:t>.</w:t>
      </w:r>
    </w:p>
    <w:p w14:paraId="1B7194E8" w14:textId="77777777" w:rsidR="00BC18AC" w:rsidRDefault="00BC18AC" w:rsidP="00BC18AC">
      <w:pPr>
        <w:pStyle w:val="Nvel2-Red"/>
        <w:numPr>
          <w:ilvl w:val="1"/>
          <w:numId w:val="15"/>
        </w:numPr>
        <w:ind w:left="0" w:firstLine="0"/>
      </w:pPr>
      <w:r>
        <w:t>O CONTRATADO não tem direito subjetivo à prorrogação contratual.</w:t>
      </w:r>
    </w:p>
    <w:p w14:paraId="6F6A4A71" w14:textId="77777777" w:rsidR="00BC18AC" w:rsidRDefault="00BC18AC" w:rsidP="00BC18AC">
      <w:pPr>
        <w:pStyle w:val="Nvel2-Red"/>
        <w:numPr>
          <w:ilvl w:val="1"/>
          <w:numId w:val="15"/>
        </w:numPr>
        <w:ind w:left="0" w:firstLine="0"/>
      </w:pPr>
      <w:r>
        <w:t>A prorrogação de contrato deverá ser promovida mediante celebração de termo aditivo.</w:t>
      </w:r>
    </w:p>
    <w:p w14:paraId="5BB6B9CD" w14:textId="77777777" w:rsidR="00BC18AC" w:rsidRDefault="00BC18AC" w:rsidP="00BC18AC">
      <w:pPr>
        <w:pStyle w:val="Nvel2-Red"/>
        <w:numPr>
          <w:ilvl w:val="1"/>
          <w:numId w:val="15"/>
        </w:numPr>
        <w:ind w:left="0" w:firstLine="0"/>
      </w:pPr>
      <w:r>
        <w:lastRenderedPageBreak/>
        <w:t>Nas eventuais prorrogações contratuais, os custos não renováveis já pagos ou amortizados ao longo do primeiro período de vigência da contratação deverão ser reduzidos ou eliminados como condição para a renovação.</w:t>
      </w:r>
    </w:p>
    <w:p w14:paraId="0C02C4EB" w14:textId="77777777" w:rsidR="00BC18AC" w:rsidRDefault="00BC18AC" w:rsidP="00BC18AC">
      <w:pPr>
        <w:pStyle w:val="Nvel2-Red"/>
        <w:numPr>
          <w:ilvl w:val="1"/>
          <w:numId w:val="15"/>
        </w:numPr>
        <w:ind w:left="0" w:firstLine="0"/>
      </w:pPr>
      <w:r>
        <w:t>O contrato não poderá ser prorrogado quando o CONTRATADO tiver sido penalizado nas sanções de declaração de inidoneidade ou impedimento de licitar e contratar com poder público, observadas as abrangências de aplicação.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9" w:name="_Hlk114497577"/>
      <w:bookmarkStart w:id="10" w:name="_Hlk114497502"/>
      <w:bookmarkEnd w:id="5"/>
      <w:bookmarkEnd w:id="9"/>
      <w:bookmarkEnd w:id="10"/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0A770FF3" w14:textId="258AD947" w:rsidR="00DC41DD" w:rsidRPr="004827F2" w:rsidRDefault="00DC41DD" w:rsidP="006224A3">
      <w:pPr>
        <w:pStyle w:val="Nvel2-Red"/>
      </w:pPr>
      <w:r w:rsidRPr="004827F2">
        <w:rPr>
          <w:lang w:eastAsia="en-US"/>
        </w:rPr>
        <w:t xml:space="preserve">O valor mensal da </w:t>
      </w:r>
      <w:r w:rsidRPr="004E64AA">
        <w:t>contratação</w:t>
      </w:r>
      <w:r w:rsidRPr="004827F2">
        <w:rPr>
          <w:lang w:eastAsia="en-US"/>
        </w:rPr>
        <w:t xml:space="preserve"> é de R$</w:t>
      </w:r>
      <w:r w:rsidRPr="00A6546A">
        <w:t xml:space="preserve"> </w:t>
      </w:r>
      <w:r w:rsidR="00E57E46" w:rsidRPr="007E4DFB">
        <w:rPr>
          <w:b/>
          <w:bCs/>
          <w:lang w:eastAsia="en-US"/>
        </w:rPr>
        <w:t>xxxxxx</w:t>
      </w:r>
      <w:r w:rsidRPr="004827F2">
        <w:rPr>
          <w:lang w:eastAsia="en-US"/>
        </w:rPr>
        <w:t xml:space="preserve"> (</w:t>
      </w:r>
      <w:r w:rsidR="00DC2ED2" w:rsidRPr="00DC2ED2">
        <w:rPr>
          <w:b/>
          <w:bCs/>
          <w:lang w:eastAsia="en-US"/>
        </w:rPr>
        <w:t>xxxxxxxxx</w:t>
      </w:r>
      <w:r w:rsidRPr="004827F2">
        <w:rPr>
          <w:lang w:eastAsia="en-US"/>
        </w:rPr>
        <w:t>),</w:t>
      </w:r>
      <w:r w:rsidRPr="00A6546A">
        <w:t xml:space="preserve"> </w:t>
      </w:r>
      <w:r w:rsidRPr="004827F2">
        <w:rPr>
          <w:lang w:eastAsia="en-US"/>
        </w:rPr>
        <w:t xml:space="preserve">perfazendo o valor total de </w:t>
      </w:r>
      <w:r w:rsidR="00DC2ED2" w:rsidRPr="004827F2">
        <w:rPr>
          <w:lang w:eastAsia="en-US"/>
        </w:rPr>
        <w:t>R$</w:t>
      </w:r>
      <w:r w:rsidR="00DC2ED2" w:rsidRPr="00A6546A">
        <w:t xml:space="preserve"> </w:t>
      </w:r>
      <w:r w:rsidR="00DC2ED2" w:rsidRPr="007E4DFB">
        <w:rPr>
          <w:b/>
          <w:bCs/>
          <w:lang w:eastAsia="en-US"/>
        </w:rPr>
        <w:t>xxxxxx</w:t>
      </w:r>
      <w:r w:rsidR="00DC2ED2" w:rsidRPr="004827F2">
        <w:rPr>
          <w:lang w:eastAsia="en-US"/>
        </w:rPr>
        <w:t xml:space="preserve"> (</w:t>
      </w:r>
      <w:r w:rsidR="00DC2ED2" w:rsidRPr="00DC2ED2">
        <w:rPr>
          <w:b/>
          <w:bCs/>
          <w:lang w:eastAsia="en-US"/>
        </w:rPr>
        <w:t>xxxxxxxxx</w:t>
      </w:r>
      <w:r w:rsidR="00DC2ED2" w:rsidRPr="004827F2">
        <w:rPr>
          <w:lang w:eastAsia="en-US"/>
        </w:rPr>
        <w:t>)</w:t>
      </w:r>
      <w:r w:rsidRPr="004827F2">
        <w:rPr>
          <w:lang w:eastAsia="en-US"/>
        </w:rPr>
        <w:t>.</w:t>
      </w:r>
    </w:p>
    <w:p w14:paraId="1FE4BCE6" w14:textId="77777777" w:rsidR="00B96063" w:rsidRPr="0097012A" w:rsidRDefault="00B96063" w:rsidP="004920B4">
      <w:pPr>
        <w:pStyle w:val="ou"/>
      </w:pPr>
      <w:r w:rsidRPr="004920B4">
        <w:t>OU</w:t>
      </w:r>
    </w:p>
    <w:p w14:paraId="252F88A4" w14:textId="3966FC88" w:rsidR="00B96063" w:rsidRPr="0097012A" w:rsidRDefault="00B96063" w:rsidP="00826A56">
      <w:pPr>
        <w:pStyle w:val="Nvel2-Red"/>
      </w:pPr>
      <w:r w:rsidRPr="0097012A">
        <w:t>O valor total da contratação é de R$</w:t>
      </w:r>
      <w:r w:rsidR="002073B7">
        <w:t xml:space="preserve"> </w:t>
      </w:r>
      <w:r w:rsidR="002073B7" w:rsidRPr="007E4DFB">
        <w:rPr>
          <w:b/>
          <w:bCs/>
          <w:lang w:eastAsia="en-US"/>
        </w:rPr>
        <w:t>xxxxxx</w:t>
      </w:r>
      <w:r w:rsidR="002073B7" w:rsidRPr="004827F2">
        <w:rPr>
          <w:lang w:eastAsia="en-US"/>
        </w:rPr>
        <w:t xml:space="preserve"> (</w:t>
      </w:r>
      <w:r w:rsidR="002073B7" w:rsidRPr="00DC2ED2">
        <w:rPr>
          <w:b/>
          <w:bCs/>
          <w:lang w:eastAsia="en-US"/>
        </w:rPr>
        <w:t>xxxxxxxxx</w:t>
      </w:r>
      <w:r w:rsidR="002073B7" w:rsidRPr="004827F2">
        <w:rPr>
          <w:lang w:eastAsia="en-US"/>
        </w:rPr>
        <w:t>)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827F2" w:rsidRDefault="00DC41DD" w:rsidP="004E64AA">
      <w:pPr>
        <w:pStyle w:val="Nvel2-Red"/>
      </w:pPr>
      <w:commentRangeStart w:id="11"/>
      <w:r w:rsidRPr="004827F2">
        <w:t xml:space="preserve">O valor </w:t>
      </w:r>
      <w:r w:rsidRPr="004E64AA">
        <w:t>acima</w:t>
      </w:r>
      <w:r w:rsidRPr="004827F2">
        <w:t xml:space="preserve"> é meramente estimativo, de forma que os pagamentos devidos ao </w:t>
      </w:r>
      <w:r w:rsidR="00BB115A">
        <w:t>CONTRATADO</w:t>
      </w:r>
      <w:r w:rsidRPr="004827F2">
        <w:t xml:space="preserve"> dependerão dos quantitativos efetivamente fornecidos.</w:t>
      </w:r>
      <w:commentRangeEnd w:id="11"/>
      <w:r w:rsidR="00930B95" w:rsidRPr="004827F2">
        <w:rPr>
          <w:rStyle w:val="Refdecomentrio"/>
          <w:sz w:val="20"/>
          <w:szCs w:val="20"/>
        </w:rPr>
        <w:commentReference w:id="11"/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lastRenderedPageBreak/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E929CE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1C30C7A1" w:rsidR="00DC41DD" w:rsidRPr="007E6E22" w:rsidRDefault="00DC41DD" w:rsidP="00E81CCC">
      <w:pPr>
        <w:pStyle w:val="Nivel4"/>
      </w:pPr>
      <w:r w:rsidRPr="004827F2">
        <w:t xml:space="preserve"> </w:t>
      </w:r>
      <w:bookmarkStart w:id="12" w:name="_Ref128062899"/>
      <w:commentRangeStart w:id="13"/>
      <w:r w:rsidRPr="004827F2">
        <w:t>A Administração terá o prazo de</w:t>
      </w:r>
      <w:r w:rsidRPr="004827F2">
        <w:rPr>
          <w:i/>
          <w:iCs/>
          <w:color w:val="FF0000"/>
        </w:rPr>
        <w:t xml:space="preserve"> </w:t>
      </w:r>
      <w:r w:rsidR="00281603">
        <w:rPr>
          <w:i/>
          <w:iCs/>
          <w:color w:val="FF0000"/>
        </w:rPr>
        <w:t>30 dias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12"/>
      <w:commentRangeEnd w:id="13"/>
      <w:r w:rsidR="00A14C15" w:rsidRPr="007E6E22">
        <w:rPr>
          <w:rStyle w:val="Refdecomentrio"/>
          <w:sz w:val="20"/>
          <w:szCs w:val="20"/>
        </w:rPr>
        <w:commentReference w:id="13"/>
      </w:r>
    </w:p>
    <w:p w14:paraId="0A9AC408" w14:textId="1EC29CFB" w:rsidR="00DC41DD" w:rsidRPr="00E81CCC" w:rsidRDefault="00DC41DD" w:rsidP="007E6E22">
      <w:pPr>
        <w:pStyle w:val="Nivel3"/>
        <w:rPr>
          <w:color w:val="auto"/>
        </w:rPr>
      </w:pPr>
      <w:commentRangeStart w:id="14"/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="00281603">
        <w:rPr>
          <w:i/>
          <w:color w:val="FF0000"/>
        </w:rPr>
        <w:t>30 dias</w:t>
      </w:r>
      <w:r w:rsidR="00853C8E" w:rsidRPr="00853C8E">
        <w:rPr>
          <w:color w:val="auto"/>
        </w:rPr>
        <w:t>;</w:t>
      </w:r>
      <w:commentRangeEnd w:id="14"/>
      <w:r w:rsidR="00B26930" w:rsidRPr="00E81CCC">
        <w:rPr>
          <w:rStyle w:val="Refdecomentrio"/>
          <w:color w:val="auto"/>
          <w:sz w:val="20"/>
          <w:szCs w:val="20"/>
        </w:rPr>
        <w:commentReference w:id="14"/>
      </w:r>
    </w:p>
    <w:p w14:paraId="12FAE258" w14:textId="6723288C" w:rsidR="00B96063" w:rsidRPr="00470DF4" w:rsidRDefault="00B96063" w:rsidP="00246EF7">
      <w:pPr>
        <w:pStyle w:val="Nivel3"/>
      </w:pPr>
      <w:bookmarkStart w:id="15" w:name="_Hlk114499841"/>
      <w:bookmarkEnd w:id="15"/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commentRangeStart w:id="16"/>
      <w:r w:rsidRPr="004827F2"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  <w:commentRangeEnd w:id="16"/>
      <w:r w:rsidR="002C6278" w:rsidRPr="004827F2">
        <w:rPr>
          <w:rStyle w:val="Refdecomentrio"/>
          <w:color w:val="FFFFFF" w:themeColor="background1"/>
          <w:sz w:val="20"/>
          <w:szCs w:val="20"/>
        </w:rPr>
        <w:commentReference w:id="16"/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commentRangeStart w:id="17"/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  <w:commentRangeEnd w:id="17"/>
      <w:r w:rsidR="00A81C19" w:rsidRPr="003311B1">
        <w:rPr>
          <w:rStyle w:val="Refdecomentrio"/>
          <w:sz w:val="20"/>
          <w:szCs w:val="20"/>
        </w:rPr>
        <w:commentReference w:id="17"/>
      </w:r>
    </w:p>
    <w:p w14:paraId="2F42FD05" w14:textId="46BDC627" w:rsidR="00DC41DD" w:rsidRPr="003311B1" w:rsidRDefault="00DC41DD" w:rsidP="004E64AA">
      <w:pPr>
        <w:pStyle w:val="Nivel2"/>
      </w:pPr>
      <w:r w:rsidRPr="003311B1">
        <w:lastRenderedPageBreak/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commentRangeStart w:id="18"/>
      <w:r w:rsidRPr="003311B1">
        <w:t xml:space="preserve">certidões que comprovem a regularidade perante a Fazenda Municipal ou Distrital do domicílio ou sede do </w:t>
      </w:r>
      <w:r w:rsidR="00BB115A">
        <w:t>CONTRATADO</w:t>
      </w:r>
      <w:commentRangeEnd w:id="18"/>
      <w:r w:rsidRPr="003311B1">
        <w:rPr>
          <w:rStyle w:val="Refdecomentrio"/>
          <w:sz w:val="20"/>
          <w:szCs w:val="20"/>
        </w:rPr>
        <w:commentReference w:id="18"/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F8329F">
      <w:pPr>
        <w:pStyle w:val="Nivel2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F8329F">
      <w:pPr>
        <w:pStyle w:val="Nivel2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ED23EA">
      <w:pPr>
        <w:pStyle w:val="Nivel2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19" w:name="_Hlk191049891"/>
      <w:r w:rsidR="00ED23EA" w:rsidRPr="00BE1F9F">
        <w:t>ou para qualificação na contratação direta;</w:t>
      </w:r>
    </w:p>
    <w:bookmarkEnd w:id="19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r w:rsidRPr="007C163E">
        <w:lastRenderedPageBreak/>
        <w:t>Fornecer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311B1">
      <w:pPr>
        <w:pStyle w:val="Nivel2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r w:rsidRPr="007C163E">
        <w:t>Fornecer equipamentos de proteção individual (EPI) e equipamentos de proteção coletiva (EPC),quando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20" w:name="_Ref118293030"/>
      <w:r w:rsidRPr="007C163E">
        <w:lastRenderedPageBreak/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p w14:paraId="587E8690" w14:textId="45920A38" w:rsidR="001C40A8" w:rsidRPr="003311B1" w:rsidRDefault="001C40A8" w:rsidP="00D44EDF">
      <w:pPr>
        <w:pStyle w:val="Nvel2-Red"/>
      </w:pPr>
      <w:r w:rsidRPr="003311B1">
        <w:t>Realizar os serviços de manutenção e assistência técnica no(s) seguinte(s) local(is)</w:t>
      </w:r>
      <w:r w:rsidR="00281603">
        <w:t>: IFSP Campus Itaquaquecetuba, R. Primeiro de Maio, 500 - Estação, Itaquaquecetuba - SP, 08571-050</w:t>
      </w:r>
      <w:r w:rsidRPr="003311B1">
        <w:t>;</w:t>
      </w:r>
    </w:p>
    <w:p w14:paraId="76A4AE44" w14:textId="5CEE4102" w:rsidR="001C40A8" w:rsidRPr="003311B1" w:rsidRDefault="001C40A8" w:rsidP="001C40A8">
      <w:pPr>
        <w:pStyle w:val="Nvel2-Red"/>
      </w:pPr>
      <w:bookmarkStart w:id="21" w:name="_Hlk145931178"/>
      <w:bookmarkEnd w:id="20"/>
      <w:commentRangeStart w:id="22"/>
      <w:r w:rsidRPr="003311B1">
        <w:t xml:space="preserve">Realizar a transição contratual com transferência de conhecimento, tecnologia e técnicas empregadas, sem perda de informações, podendo exigir, inclusive, a capacitação dos técnicos do </w:t>
      </w:r>
      <w:r w:rsidR="00D62882">
        <w:t>CONTRATANTE</w:t>
      </w:r>
      <w:r w:rsidRPr="003311B1">
        <w:t xml:space="preserve"> ou da nova empresa que continuará a execução dos serviços;</w:t>
      </w:r>
    </w:p>
    <w:bookmarkEnd w:id="21"/>
    <w:p w14:paraId="26BE5FB7" w14:textId="41A3806E" w:rsidR="001C40A8" w:rsidRPr="003311B1" w:rsidRDefault="001C40A8" w:rsidP="001C40A8">
      <w:pPr>
        <w:pStyle w:val="Nvel2-Red"/>
      </w:pPr>
      <w:r w:rsidRPr="003311B1">
        <w:t xml:space="preserve">Ceder ao </w:t>
      </w:r>
      <w:r w:rsidR="00D62882">
        <w:t>CONTRATANTE</w:t>
      </w:r>
      <w:r w:rsidRPr="003311B1">
        <w:t xml:space="preserve"> todos os direitos patrimoniais relativos ao objeto contratado, o qual poderá ser livremente utilizado e/ou alterado em outras ocasiões, sem necessidade de nova autorização do </w:t>
      </w:r>
      <w:r w:rsidR="00BB115A">
        <w:t>CONTRATADO</w:t>
      </w:r>
      <w:r w:rsidRPr="003311B1">
        <w:t>.</w:t>
      </w:r>
      <w:commentRangeEnd w:id="22"/>
      <w:r w:rsidRPr="003311B1">
        <w:rPr>
          <w:rStyle w:val="Refdecomentrio"/>
          <w:sz w:val="20"/>
          <w:szCs w:val="20"/>
        </w:rPr>
        <w:commentReference w:id="22"/>
      </w:r>
    </w:p>
    <w:p w14:paraId="706AB071" w14:textId="77777777" w:rsidR="001C40A8" w:rsidRPr="003311B1" w:rsidRDefault="001C40A8" w:rsidP="001C40A8">
      <w:pPr>
        <w:pStyle w:val="Nvel3-R"/>
      </w:pPr>
      <w:r w:rsidRPr="003311B1">
        <w:t>Considerando que o projeto contratado se refere a obra imaterial de caráter tecnológico, insuscetível de privilégio, a cessão dos direitos a que se refere o subitem acima inclui o fornecimento de todos os dados, documentos e elementos de informação pertinentes à tecnologia de concepção, desenvolvimento, fixação em suporte físico de qualquer natureza e aplicação da obra.</w:t>
      </w:r>
    </w:p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commentRangeStart w:id="23"/>
      <w:r w:rsidRPr="005C458C">
        <w:t>CLÁUSULA DÉCIMA</w:t>
      </w:r>
      <w:r w:rsidR="00B96063" w:rsidRPr="005C458C">
        <w:t>- OBRIGAÇÕES PERTINENTES À LGPD</w:t>
      </w:r>
      <w:commentRangeEnd w:id="23"/>
      <w:r w:rsidR="004958BE" w:rsidRPr="005C458C">
        <w:rPr>
          <w:rStyle w:val="Refdecomentrio"/>
          <w:color w:val="FFFFFF" w:themeColor="background1"/>
          <w:sz w:val="20"/>
          <w:szCs w:val="20"/>
        </w:rPr>
        <w:commentReference w:id="23"/>
      </w:r>
    </w:p>
    <w:p w14:paraId="59C40C4E" w14:textId="7C458187" w:rsidR="00B96063" w:rsidRPr="00470DF4" w:rsidRDefault="00B96063" w:rsidP="00E032FD">
      <w:pPr>
        <w:pStyle w:val="Nvel2-Red"/>
      </w:pPr>
      <w:r w:rsidRPr="00470DF4">
        <w:t xml:space="preserve">As partes deverão cumprir a </w:t>
      </w:r>
      <w:r w:rsidRPr="007C4A90">
        <w:t>Lei nº 13.709, de 2018 (LGPD)</w:t>
      </w:r>
      <w:r w:rsidRPr="00470DF4">
        <w:t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470DF4" w:rsidRDefault="00B96063" w:rsidP="00E032FD">
      <w:pPr>
        <w:pStyle w:val="Nvel2-Red"/>
      </w:pPr>
      <w:r w:rsidRPr="00470DF4">
        <w:t xml:space="preserve">Os dados </w:t>
      </w:r>
      <w:r w:rsidRPr="00E032FD">
        <w:t>obtidos</w:t>
      </w:r>
      <w:r w:rsidRPr="00470DF4">
        <w:t xml:space="preserve"> somente poderão ser utilizados para as finalidades que justificaram seu acesso e de acordo com a boa-fé e com os princípios do </w:t>
      </w:r>
      <w:r w:rsidRPr="007C4A90">
        <w:t>art. 6º da LGPD</w:t>
      </w:r>
      <w:r>
        <w:t>.</w:t>
      </w:r>
    </w:p>
    <w:p w14:paraId="433A7E68" w14:textId="77777777" w:rsidR="00B96063" w:rsidRPr="00470DF4" w:rsidRDefault="00B96063" w:rsidP="00E032FD">
      <w:pPr>
        <w:pStyle w:val="Nvel2-Red"/>
      </w:pPr>
      <w:r w:rsidRPr="00470DF4">
        <w:t xml:space="preserve">É </w:t>
      </w:r>
      <w:r w:rsidRPr="00E032FD">
        <w:t>vedado</w:t>
      </w:r>
      <w:r w:rsidRPr="00470DF4">
        <w:t xml:space="preserve"> o compartilhamento com terceiros dos dados obtidos fora das hipóteses permitidas em Lei.</w:t>
      </w:r>
    </w:p>
    <w:p w14:paraId="36104189" w14:textId="7F446B1A" w:rsidR="00B96063" w:rsidRPr="00470DF4" w:rsidRDefault="00B96063" w:rsidP="00E032FD">
      <w:pPr>
        <w:pStyle w:val="Nvel2-Red"/>
      </w:pPr>
      <w:r w:rsidRPr="00470DF4">
        <w:t xml:space="preserve">A </w:t>
      </w:r>
      <w:r w:rsidRPr="00E032FD">
        <w:t>Administração</w:t>
      </w:r>
      <w:r w:rsidRPr="00470DF4">
        <w:t xml:space="preserve"> deverá ser informada no prazo de 5 (cinco) dias úteis sobre todos os contratos de suboperação firmados ou que venham a ser celebrados pelo </w:t>
      </w:r>
      <w:r w:rsidR="00BB115A">
        <w:t>CONTRATADO</w:t>
      </w:r>
      <w:r w:rsidRPr="00470DF4">
        <w:t>.</w:t>
      </w:r>
    </w:p>
    <w:p w14:paraId="28AEF1DF" w14:textId="34D8DEAE" w:rsidR="00B96063" w:rsidRPr="00470DF4" w:rsidRDefault="00B96063" w:rsidP="00E032FD">
      <w:pPr>
        <w:pStyle w:val="Nvel2-Red"/>
      </w:pPr>
      <w:r>
        <w:t xml:space="preserve">Terminado o tratamento dos dados nos termos do </w:t>
      </w:r>
      <w:r w:rsidRPr="00D10E1F">
        <w:t>art. 15 da LGPD</w:t>
      </w:r>
      <w:r>
        <w:t xml:space="preserve">, é dever do </w:t>
      </w:r>
      <w:r w:rsidR="00BB115A">
        <w:t>CONTRATADO</w:t>
      </w:r>
      <w:r>
        <w:t xml:space="preserve"> eliminá-los, com exceção das hipóteses do </w:t>
      </w:r>
      <w:r w:rsidRPr="00D10E1F">
        <w:t>art. 16 da LGPD</w:t>
      </w:r>
      <w:r w:rsidRPr="00470DF4">
        <w:t xml:space="preserve">, incluindo aquelas em que houver necessidade de guarda de </w:t>
      </w:r>
      <w:r w:rsidRPr="00E032FD">
        <w:t>documentação</w:t>
      </w:r>
      <w:r w:rsidRPr="00470DF4">
        <w:t xml:space="preserve"> para fins de comprovação do cumprimento de obrigações legais ou contratuais e somente enquanto não prescritas essas obrigações. </w:t>
      </w:r>
    </w:p>
    <w:p w14:paraId="5A81CE54" w14:textId="78B8CBFB" w:rsidR="00B96063" w:rsidRPr="00470DF4" w:rsidRDefault="00B96063" w:rsidP="00E032FD">
      <w:pPr>
        <w:pStyle w:val="Nvel2-Red"/>
      </w:pPr>
      <w:commentRangeStart w:id="24"/>
      <w:r w:rsidRPr="00470DF4">
        <w:t xml:space="preserve">É dever do </w:t>
      </w:r>
      <w:r w:rsidR="00BB115A">
        <w:t>CONTRATADO</w:t>
      </w:r>
      <w:r w:rsidRPr="00470DF4">
        <w:t xml:space="preserve"> orientar e treinar seus empregados sobre os deveres, requisitos e responsabilidades decorrentes da LGPD. </w:t>
      </w:r>
      <w:commentRangeEnd w:id="24"/>
      <w:r w:rsidR="00C2540C" w:rsidRPr="00470DF4">
        <w:rPr>
          <w:rStyle w:val="Refdecomentrio"/>
          <w:sz w:val="20"/>
          <w:szCs w:val="20"/>
        </w:rPr>
        <w:commentReference w:id="24"/>
      </w:r>
    </w:p>
    <w:p w14:paraId="40D54FF2" w14:textId="2C1F0F93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deverá exigir de </w:t>
      </w:r>
      <w:r w:rsidR="00BB115A" w:rsidRPr="00470DF4">
        <w:t xml:space="preserve">SUBOPERADORES </w:t>
      </w:r>
      <w:r w:rsidRPr="00470DF4">
        <w:t xml:space="preserve">e </w:t>
      </w:r>
      <w:r w:rsidR="00BB115A" w:rsidRPr="00470DF4">
        <w:t xml:space="preserve">SUBCONTRATADOS </w:t>
      </w:r>
      <w:r w:rsidRPr="00470DF4">
        <w:t xml:space="preserve">o cumprimento dos deveres da presente cláusula, permanecendo </w:t>
      </w:r>
      <w:r w:rsidRPr="00E032FD">
        <w:t>integralmente</w:t>
      </w:r>
      <w:r w:rsidRPr="00470DF4">
        <w:t xml:space="preserve"> responsável por garantir sua observância.</w:t>
      </w:r>
    </w:p>
    <w:p w14:paraId="5268D22D" w14:textId="0E39EC2F" w:rsidR="00B96063" w:rsidRPr="00470DF4" w:rsidRDefault="00B96063" w:rsidP="00E032FD">
      <w:pPr>
        <w:pStyle w:val="Nvel2-Red"/>
      </w:pPr>
      <w:commentRangeStart w:id="25"/>
      <w:r w:rsidRPr="00470DF4">
        <w:t xml:space="preserve">O </w:t>
      </w:r>
      <w:r w:rsidR="00D62882">
        <w:t>CONTRATANTE</w:t>
      </w:r>
      <w:r w:rsidRPr="00470DF4">
        <w:t xml:space="preserve"> </w:t>
      </w:r>
      <w:r w:rsidRPr="00E032FD">
        <w:t>poderá</w:t>
      </w:r>
      <w:r w:rsidRPr="00470DF4">
        <w:t xml:space="preserve"> realizar diligência para aferir o cumprimento dessa cláusula, devendo o </w:t>
      </w:r>
      <w:r w:rsidR="00BB115A">
        <w:t>CONTRATADO</w:t>
      </w:r>
      <w:r w:rsidRPr="00470DF4">
        <w:t xml:space="preserve"> atender prontamente eventuais pedidos de comprovação formulados. </w:t>
      </w:r>
      <w:commentRangeEnd w:id="25"/>
      <w:r w:rsidR="003618E3" w:rsidRPr="00470DF4">
        <w:rPr>
          <w:rStyle w:val="Refdecomentrio"/>
          <w:sz w:val="20"/>
          <w:szCs w:val="20"/>
        </w:rPr>
        <w:commentReference w:id="25"/>
      </w:r>
    </w:p>
    <w:p w14:paraId="1A53EB55" w14:textId="61580EFB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</w:t>
      </w:r>
      <w:r w:rsidRPr="00E032FD">
        <w:t>deverá</w:t>
      </w:r>
      <w:r w:rsidRPr="00470DF4">
        <w:t xml:space="preserve"> prestar, no prazo fixado pelo </w:t>
      </w:r>
      <w:r w:rsidR="00D62882">
        <w:t>CONTRATANTE</w:t>
      </w:r>
      <w:r w:rsidRPr="00470DF4"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470DF4" w:rsidRDefault="00B96063" w:rsidP="00E032FD">
      <w:pPr>
        <w:pStyle w:val="Nvel2-Red"/>
      </w:pPr>
      <w:r w:rsidRPr="00470DF4">
        <w:t xml:space="preserve">Bancos de </w:t>
      </w:r>
      <w:r w:rsidRPr="00E032FD">
        <w:t>dados</w:t>
      </w:r>
      <w:r w:rsidRPr="00470DF4">
        <w:t xml:space="preserve"> formados a partir de contratos administrativos, notadamente aqueles que se proponham a armazenar dados pessoais, devem ser mantidos em ambiente virtual controlado, com registro individual rastreável de tratamentos realizados (</w:t>
      </w:r>
      <w:r w:rsidRPr="00D10E1F">
        <w:t>LGPD, art. 37</w:t>
      </w:r>
      <w:r w:rsidRPr="00470DF4">
        <w:t>), com cada acesso, data, horário e registro da finalidade, para efeito de responsabilização, em caso de eventuais omissões, desvios ou abusos.</w:t>
      </w:r>
    </w:p>
    <w:p w14:paraId="2F0D0B39" w14:textId="77777777" w:rsidR="00B96063" w:rsidRPr="00470DF4" w:rsidRDefault="00B96063" w:rsidP="00E032FD">
      <w:pPr>
        <w:pStyle w:val="Nvel3-R"/>
      </w:pPr>
      <w:r w:rsidRPr="00470DF4">
        <w:lastRenderedPageBreak/>
        <w:t xml:space="preserve">Os referidos bancos de dados devem ser desenvolvidos em formato interoperável, a fim de garantir a reutilização </w:t>
      </w:r>
      <w:r w:rsidRPr="00E032FD">
        <w:t>desses</w:t>
      </w:r>
      <w:r w:rsidRPr="00470DF4">
        <w:t xml:space="preserve"> dados pela Administração nas hipóteses previstas na LGPD.</w:t>
      </w:r>
    </w:p>
    <w:p w14:paraId="22745F47" w14:textId="77777777" w:rsidR="00B96063" w:rsidRPr="00470DF4" w:rsidRDefault="00B96063" w:rsidP="00E032FD">
      <w:pPr>
        <w:pStyle w:val="Nvel2-Red"/>
      </w:pPr>
      <w:r w:rsidRPr="00470DF4">
        <w:t xml:space="preserve">O contrato está sujeito a ser alterado nos procedimentos pertinentes ao tratamento de dados pessoais, quando </w:t>
      </w:r>
      <w:r w:rsidRPr="00E032FD">
        <w:t>indicado</w:t>
      </w:r>
      <w:r w:rsidRPr="00470DF4">
        <w:t xml:space="preserve"> pela autoridade competente, em especial a ANPD por meio de opiniões técnicas ou recomendações, editadas na forma da LGPD.</w:t>
      </w:r>
    </w:p>
    <w:p w14:paraId="6577EAE7" w14:textId="782B11EB" w:rsidR="00B96063" w:rsidRDefault="00B96063" w:rsidP="00E032FD">
      <w:pPr>
        <w:pStyle w:val="Nvel2-Red"/>
      </w:pPr>
      <w:r>
        <w:t xml:space="preserve">Os </w:t>
      </w:r>
      <w:r w:rsidRPr="00E032FD">
        <w:t>contratos</w:t>
      </w:r>
      <w:r>
        <w:t xml:space="preserve"> e convênios de que trata o </w:t>
      </w:r>
      <w:r w:rsidRPr="00D10E1F">
        <w:t>§ 1º do art. 26 da LGPD</w:t>
      </w:r>
      <w:commentRangeStart w:id="26"/>
      <w:r w:rsidRPr="00470DF4">
        <w:t xml:space="preserve"> deverão ser comunicados à autoridade nacional.</w:t>
      </w:r>
      <w:commentRangeEnd w:id="26"/>
      <w:r w:rsidR="009B04F1">
        <w:rPr>
          <w:rStyle w:val="Refdecomentrio"/>
          <w:sz w:val="20"/>
          <w:szCs w:val="20"/>
        </w:rPr>
        <w:commentReference w:id="26"/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t xml:space="preserve">CLÁUSULA DÉCIMA PRIMEIRA </w:t>
      </w:r>
      <w:r w:rsidR="00DC41DD" w:rsidRPr="004827F2">
        <w:t>– GARANTIA DE EXECUÇÃO</w:t>
      </w:r>
    </w:p>
    <w:p w14:paraId="2ABE84A4" w14:textId="549C808B" w:rsidR="00DC41DD" w:rsidRPr="007C163E" w:rsidRDefault="00DC41DD" w:rsidP="00AD38BF">
      <w:pPr>
        <w:pStyle w:val="Nvel2-Red"/>
      </w:pPr>
      <w:commentRangeStart w:id="27"/>
      <w:r w:rsidRPr="007C163E">
        <w:t>Não haverá exigência de garantia contratual da execução.</w:t>
      </w:r>
      <w:commentRangeEnd w:id="27"/>
      <w:r w:rsidR="000C4759" w:rsidRPr="007C163E">
        <w:rPr>
          <w:rStyle w:val="Refdecomentrio"/>
          <w:sz w:val="20"/>
          <w:szCs w:val="20"/>
        </w:rPr>
        <w:commentReference w:id="27"/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28" w:name="_Ref169601460"/>
      <w:bookmarkStart w:id="29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28"/>
    <w:bookmarkEnd w:id="29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0C63515F" w14:textId="77777777" w:rsidR="00AB4C5A" w:rsidRPr="00BB60EA" w:rsidRDefault="00AB4C5A" w:rsidP="007C163E">
      <w:pPr>
        <w:pStyle w:val="Nivel2"/>
        <w:spacing w:afterLines="120" w:after="288" w:line="312" w:lineRule="auto"/>
        <w:rPr>
          <w:b/>
          <w:bCs/>
          <w:u w:val="single"/>
        </w:rPr>
      </w:pPr>
      <w:bookmarkStart w:id="30" w:name="_Hlk191044452"/>
      <w:r w:rsidRPr="00BB60EA">
        <w:rPr>
          <w:i/>
          <w:iCs/>
          <w:color w:val="FF0000"/>
        </w:rPr>
        <w:t xml:space="preserve">O contrato será extinto quando vencido o prazo nele estipulado, observado o art. 75, inciso VIII, da Lei n.º 14.133/2021, independentemente de terem sido cumpridas ou não as obrigações de ambas as </w:t>
      </w:r>
      <w:commentRangeStart w:id="31"/>
      <w:r w:rsidRPr="00BB60EA">
        <w:rPr>
          <w:i/>
          <w:iCs/>
          <w:color w:val="FF0000"/>
        </w:rPr>
        <w:t>partes</w:t>
      </w:r>
      <w:commentRangeEnd w:id="31"/>
      <w:r w:rsidRPr="00BB60EA">
        <w:rPr>
          <w:rStyle w:val="Refdecomentrio"/>
          <w:i/>
          <w:iCs/>
          <w:color w:val="FF0000"/>
          <w:sz w:val="20"/>
          <w:szCs w:val="20"/>
        </w:rPr>
        <w:commentReference w:id="31"/>
      </w:r>
      <w:r w:rsidRPr="00BB60EA">
        <w:rPr>
          <w:i/>
          <w:iCs/>
          <w:color w:val="FF0000"/>
        </w:rPr>
        <w:t xml:space="preserve"> contraentes.</w:t>
      </w:r>
    </w:p>
    <w:bookmarkEnd w:id="30"/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216690">
      <w:pPr>
        <w:pStyle w:val="Nivel2"/>
      </w:pPr>
      <w:r w:rsidRPr="002D292C"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32" w:name="_Hlk191049977"/>
      <w:r w:rsidR="00E74635" w:rsidRPr="00C65C4D">
        <w:t xml:space="preserve">ou </w:t>
      </w:r>
      <w:r w:rsidR="00107338" w:rsidRPr="00C65C4D">
        <w:t>na contratação direta</w:t>
      </w:r>
      <w:bookmarkEnd w:id="32"/>
      <w:r w:rsidR="00FF3DD9" w:rsidRPr="00C65C4D">
        <w:t>,</w:t>
      </w:r>
      <w:r w:rsidR="00107338" w:rsidRPr="00C65C4D">
        <w:t xml:space="preserve"> </w:t>
      </w:r>
      <w:r w:rsidRPr="00C65C4D">
        <w:t xml:space="preserve">ou atue na </w:t>
      </w:r>
      <w:r w:rsidRPr="00C65C4D">
        <w:lastRenderedPageBreak/>
        <w:t>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r w:rsidRPr="001A3D4D">
        <w:t>arts</w:t>
      </w:r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commentRangeStart w:id="33"/>
      <w:r w:rsidRPr="007C163E">
        <w:t>As supressões resultantes de acordo celebrado entre as partes contratantes poderão exceder o limite de 25% (vinte e cinco por cento) do valor inicial atualizado do contrato.</w:t>
      </w:r>
      <w:commentRangeEnd w:id="33"/>
      <w:r w:rsidR="001A3D4D" w:rsidRPr="007C163E">
        <w:rPr>
          <w:rStyle w:val="Refdecomentrio"/>
          <w:sz w:val="20"/>
          <w:szCs w:val="20"/>
        </w:rPr>
        <w:commentReference w:id="33"/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77777777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316E51F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5060CC0C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2C80D6E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5C04C8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1D43D7BE" w14:textId="77777777" w:rsidR="009C5D2C" w:rsidRPr="001A3D4D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EB8568F" w14:textId="6619D6D3" w:rsidR="009C5D2C" w:rsidRPr="00AC239E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10DD912E" w14:textId="77777777" w:rsidR="009C5D2C" w:rsidRPr="004827F2" w:rsidRDefault="009C5D2C" w:rsidP="009C5D2C">
      <w:pPr>
        <w:pStyle w:val="Nvel2-Red"/>
      </w:pPr>
      <w:commentRangeStart w:id="34"/>
      <w:r w:rsidRPr="004827F2">
        <w:t xml:space="preserve">A </w:t>
      </w:r>
      <w:r w:rsidRPr="00216690">
        <w:t>dotação</w:t>
      </w:r>
      <w:r w:rsidRPr="004827F2">
        <w:t xml:space="preserve"> relativa aos exercícios financeiros subsequentes será indicada após aprovação da Lei Orçamentária respectiva e liberação dos créditos correspondentes, mediante apostilamento.</w:t>
      </w:r>
      <w:commentRangeEnd w:id="34"/>
      <w:r w:rsidRPr="004827F2">
        <w:rPr>
          <w:rStyle w:val="Refdecomentrio"/>
          <w:sz w:val="20"/>
          <w:szCs w:val="20"/>
        </w:rPr>
        <w:commentReference w:id="34"/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commentRangeStart w:id="35"/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  <w:commentRangeEnd w:id="35"/>
      <w:r>
        <w:rPr>
          <w:rStyle w:val="Refdecomentrio"/>
          <w:sz w:val="20"/>
          <w:szCs w:val="20"/>
        </w:rPr>
        <w:commentReference w:id="35"/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77777777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>
        <w:t xml:space="preserve"> </w:t>
      </w:r>
      <w:r w:rsidRPr="00BD656F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commentRangeStart w:id="36"/>
      <w:r w:rsidRPr="004827F2">
        <w:rPr>
          <w:rFonts w:ascii="Arial" w:hAnsi="Arial" w:cs="Arial"/>
          <w:bCs/>
          <w:sz w:val="20"/>
          <w:szCs w:val="20"/>
        </w:rPr>
        <w:lastRenderedPageBreak/>
        <w:t>_________________________</w:t>
      </w:r>
    </w:p>
    <w:p w14:paraId="0306F872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627E50" w:rsidRDefault="00DC41DD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627E50" w:rsidRDefault="00DC41DD" w:rsidP="002D292C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1785DA06" w:rsidR="00DC41DD" w:rsidRPr="002D292C" w:rsidRDefault="00DC41DD" w:rsidP="002D292C">
      <w:pPr>
        <w:spacing w:before="120" w:afterLines="120" w:after="288" w:line="312" w:lineRule="auto"/>
        <w:ind w:firstLine="567"/>
        <w:rPr>
          <w:rFonts w:ascii="Arial" w:hAnsi="Arial"/>
          <w:sz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  <w:commentRangeEnd w:id="36"/>
      <w:r w:rsidR="003310F0" w:rsidRPr="002D292C">
        <w:rPr>
          <w:rStyle w:val="Refdecomentrio"/>
          <w:rFonts w:ascii="Arial" w:hAnsi="Arial"/>
          <w:sz w:val="20"/>
          <w:szCs w:val="24"/>
        </w:rPr>
        <w:commentReference w:id="36"/>
      </w:r>
    </w:p>
    <w:sectPr w:rsidR="00DC41DD" w:rsidRPr="002D292C" w:rsidSect="00DC30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Autor" w:initials="A">
    <w:p w14:paraId="79D743EC" w14:textId="77777777" w:rsidR="002F2F20" w:rsidRDefault="002F2F20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ORIENTAÇÕES PARA USO DO MODELO – </w:t>
      </w:r>
      <w:r>
        <w:rPr>
          <w:b/>
          <w:bCs/>
          <w:i/>
          <w:iCs/>
          <w:color w:val="FF0000"/>
        </w:rPr>
        <w:t>LEITURA OBRIGATÓRIA</w:t>
      </w:r>
    </w:p>
    <w:p w14:paraId="5255A19B" w14:textId="77777777" w:rsidR="002F2F20" w:rsidRDefault="002F2F20">
      <w:pPr>
        <w:pStyle w:val="Textodecomentrio"/>
      </w:pPr>
      <w:r>
        <w:rPr>
          <w:b/>
          <w:bCs/>
          <w:i/>
          <w:iCs/>
          <w:color w:val="000000"/>
        </w:rPr>
        <w:t>1)</w:t>
      </w:r>
      <w:r>
        <w:rPr>
          <w:i/>
          <w:iCs/>
          <w:color w:val="000000"/>
        </w:rPr>
        <w:t xml:space="preserve"> O presente modelo de Contrato procura fornecer um ponto de partida para a definição do objeto e condições da contratação. </w:t>
      </w:r>
      <w:r>
        <w:rPr>
          <w:b/>
          <w:bCs/>
          <w:i/>
          <w:iCs/>
          <w:color w:val="000000"/>
        </w:rPr>
        <w:t>As cláusulas contidas nos modelos de minuta contratual, ao contrário do TR, foram feitas para sofrerem poucas alterações. No entanto, havendo a necessidade de modificações, remanesce plenamente possível assim proceder.</w:t>
      </w:r>
    </w:p>
    <w:p w14:paraId="3A258E4D" w14:textId="77777777" w:rsidR="002F2F20" w:rsidRDefault="002F2F20">
      <w:pPr>
        <w:pStyle w:val="Textodecomentrio"/>
      </w:pPr>
      <w:r>
        <w:rPr>
          <w:b/>
          <w:bCs/>
          <w:i/>
          <w:iCs/>
          <w:color w:val="000000"/>
        </w:rPr>
        <w:t>2)</w:t>
      </w:r>
      <w:r>
        <w:rPr>
          <w:i/>
          <w:iCs/>
          <w:color w:val="000000"/>
        </w:rPr>
        <w:t xml:space="preserve"> A redação em preto consiste no que se espera ser invariável. Ela até pode sofrer modificações a depender do caso concreto, mas a diferença é que não são disposições feitas para variar. Por essa razão, </w:t>
      </w:r>
      <w:r>
        <w:rPr>
          <w:b/>
          <w:bCs/>
          <w:i/>
          <w:iCs/>
          <w:color w:val="000000"/>
        </w:rPr>
        <w:t>quaisquer modificações nas partes em preto, sem marcação de itálico, devem necessariamente ser justificadas nos autos,</w:t>
      </w:r>
      <w:r>
        <w:rPr>
          <w:i/>
          <w:iCs/>
          <w:color w:val="000000"/>
        </w:rPr>
        <w:t xml:space="preserve"> sem prejuízo de eventual consulta ao órgão de assessoramento jurídico respectivo, a depender da matéria.</w:t>
      </w:r>
    </w:p>
    <w:p w14:paraId="4DD0F564" w14:textId="77777777" w:rsidR="002F2F20" w:rsidRDefault="002F2F20">
      <w:pPr>
        <w:pStyle w:val="Textodecomentrio"/>
      </w:pPr>
      <w:r>
        <w:rPr>
          <w:b/>
          <w:bCs/>
          <w:i/>
          <w:iCs/>
          <w:color w:val="000000"/>
        </w:rPr>
        <w:t>3)</w:t>
      </w:r>
      <w:r>
        <w:rPr>
          <w:i/>
          <w:iCs/>
          <w:color w:val="000000"/>
        </w:rPr>
        <w:t xml:space="preserve"> </w:t>
      </w:r>
      <w:r>
        <w:rPr>
          <w:i/>
          <w:iCs/>
          <w:color w:val="FF0000"/>
        </w:rPr>
        <w:t>Os itens deste modelo destacados em vermelho itálico devem ser preenchidos ou adotados pelo órgão ou entidade pública contratante segundo critérios de oportunidade e conveniência</w:t>
      </w:r>
      <w:r>
        <w:rPr>
          <w:i/>
          <w:iCs/>
          <w:color w:val="000000"/>
        </w:rPr>
        <w:t xml:space="preserve">, de acordo com as peculiaridades do objeto e cuidando-se para que sejam reproduzidas as mesmas definições nos demais instrumentos da contratação (minuta do Edital, se for o caso, e minuta de Termo de Referência), para que não conflitem. São previsões feitas para variarem. Eventuais justificativas podem ser exigidas a depender do caso. </w:t>
      </w:r>
    </w:p>
    <w:p w14:paraId="6462D9DD" w14:textId="77777777" w:rsidR="002F2F20" w:rsidRDefault="002F2F20">
      <w:pPr>
        <w:pStyle w:val="Textodecomentrio"/>
      </w:pPr>
      <w:r>
        <w:rPr>
          <w:b/>
          <w:bCs/>
          <w:i/>
          <w:iCs/>
          <w:color w:val="000000"/>
        </w:rPr>
        <w:t>4)</w:t>
      </w:r>
      <w:r>
        <w:rPr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</w:rPr>
        <w:t>Alguns itens receberam notas explicativas, destacadas para compreensão do agente ou setor responsável pela elaboração da Minuta Contratual</w:t>
      </w:r>
      <w:r>
        <w:rPr>
          <w:i/>
          <w:iCs/>
          <w:color w:val="000000"/>
        </w:rPr>
        <w:t xml:space="preserve">, que deverão ser devidamente suprimidas ao se finalizar o documento na versão original. </w:t>
      </w:r>
    </w:p>
    <w:p w14:paraId="3F4CD9A3" w14:textId="77777777" w:rsidR="002F2F20" w:rsidRDefault="002F2F20">
      <w:pPr>
        <w:pStyle w:val="Textodecomentrio"/>
      </w:pPr>
      <w:r>
        <w:rPr>
          <w:b/>
          <w:bCs/>
          <w:i/>
          <w:iCs/>
          <w:color w:val="000000"/>
        </w:rPr>
        <w:t>5)</w:t>
      </w:r>
      <w:r>
        <w:rPr>
          <w:i/>
          <w:iCs/>
          <w:color w:val="000000"/>
        </w:rPr>
        <w:t xml:space="preserve"> </w:t>
      </w:r>
      <w:r>
        <w:rPr>
          <w:b/>
          <w:bCs/>
          <w:i/>
          <w:iCs/>
          <w:color w:val="000000"/>
        </w:rPr>
        <w:t>Recomenda-se indicar no processo a versão (mês e ano) utilizada para elaboração da minuta</w:t>
      </w:r>
      <w:r>
        <w:rPr>
          <w:i/>
          <w:iCs/>
          <w:color w:val="000000"/>
        </w:rPr>
        <w:t>, em especial ao encaminhar o feito para análise jurídica. Tal informação consta no rodapé do documento. Essa indicação pode ocorrer expressamente no despacho de encaminhamento ou mantendo-se o rodapé na minuta encaminhada, conforme o caso. É um dado importante já que indica qual o parâmetro a ser utilizado na checagem.</w:t>
      </w:r>
    </w:p>
    <w:p w14:paraId="024620B4" w14:textId="77777777" w:rsidR="002F2F20" w:rsidRDefault="002F2F20">
      <w:pPr>
        <w:pStyle w:val="Textodecomentrio"/>
      </w:pPr>
      <w:r>
        <w:rPr>
          <w:b/>
          <w:bCs/>
          <w:i/>
          <w:iCs/>
          <w:color w:val="000000"/>
        </w:rPr>
        <w:t>6)</w:t>
      </w:r>
      <w:r>
        <w:rPr>
          <w:i/>
          <w:iCs/>
          <w:color w:val="000000"/>
        </w:rPr>
        <w:t xml:space="preserve"> O registro das atualizações feitas (Nota de Atualização) em cada versão pode ser obtido na página principal dos modelos de licitações e contratos no sítio eletrônico da AGU. Quaisquer sugestões de alteração poderão ser encaminhadas ao e-mail: </w:t>
      </w:r>
      <w:hyperlink r:id="rId1" w:history="1">
        <w:r w:rsidRPr="00A95322">
          <w:rPr>
            <w:rStyle w:val="Hyperlink"/>
            <w:b/>
            <w:bCs/>
            <w:i/>
            <w:iCs/>
          </w:rPr>
          <w:t>cgu.modeloscontratacao@agu.gov.br</w:t>
        </w:r>
      </w:hyperlink>
    </w:p>
    <w:p w14:paraId="143B1C2B" w14:textId="77777777" w:rsidR="002F2F20" w:rsidRDefault="002F2F20" w:rsidP="009E743C">
      <w:pPr>
        <w:pStyle w:val="Textodecomentrio"/>
      </w:pPr>
      <w:r>
        <w:rPr>
          <w:b/>
          <w:bCs/>
          <w:i/>
          <w:iCs/>
          <w:color w:val="000000"/>
        </w:rPr>
        <w:t>7)</w:t>
      </w:r>
      <w:r>
        <w:rPr>
          <w:i/>
          <w:iCs/>
          <w:color w:val="000000"/>
        </w:rPr>
        <w:t xml:space="preserve"> Este modelo poderá ser adotado por todos os entes federados, conforme estabelece o inciso IV do art. 19 da Lei nº 14.133, de 1º de abril de 2021, com a realização das adequações eventualmente necessárias, sobretudo em virtude da possível existência de normas locais específicas, que poderão ser consideradas no caso concreto.</w:t>
      </w:r>
    </w:p>
  </w:comment>
  <w:comment w:id="2" w:author="Autor" w:initials="A">
    <w:p w14:paraId="0555D39A" w14:textId="306697D3" w:rsidR="007B2916" w:rsidRDefault="007B2916">
      <w:pPr>
        <w:pStyle w:val="Textodecomentrio"/>
      </w:pPr>
      <w:r>
        <w:rPr>
          <w:rStyle w:val="Refdecomentrio"/>
        </w:rPr>
        <w:annotationRef/>
      </w:r>
      <w:r w:rsidRPr="007B2916">
        <w:rPr>
          <w:b/>
          <w:bCs/>
        </w:rPr>
        <w:t>Nota explicativa:</w:t>
      </w:r>
      <w:r>
        <w:t xml:space="preserve"> U</w:t>
      </w:r>
      <w:r w:rsidRPr="007B2916">
        <w:t>tilizar a menção à União somente se for órgão da Administração Direta, caso contrário incluir o nome da autarquia ou fundação conforme o caso</w:t>
      </w:r>
      <w:r>
        <w:t>.</w:t>
      </w:r>
    </w:p>
  </w:comment>
  <w:comment w:id="1" w:author="Autor" w:initials="A">
    <w:p w14:paraId="67016035" w14:textId="77777777" w:rsidR="0007397F" w:rsidRDefault="0007397F" w:rsidP="00C13597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 PARECER n.00004/2022/CNMLC/CGU/AGU (NUP: 00688.000716/2019-43), elaborado pela Câmara Nacional de Modelos de Licitação e Contratos Administrativos e aprovado pelo Consultor-Geral da União, ao tratar sobre a aplicação da Lei Geral de Proteção de Dados nos modelos de licitação e contratos, fixou o entendimento de que, nos contratos administrativos, “[...] </w:t>
      </w:r>
      <w:r>
        <w:rPr>
          <w:b/>
          <w:bCs/>
          <w:i/>
          <w:iCs/>
          <w:color w:val="000000"/>
        </w:rPr>
        <w:t>não constem os números de documentos pessoais das pessoas naturais que irão assiná-los, como ocorre normalmente com os representantes da Administração e da empresa contratada</w:t>
      </w:r>
      <w:r>
        <w:rPr>
          <w:i/>
          <w:iCs/>
          <w:color w:val="000000"/>
        </w:rPr>
        <w:t xml:space="preserve">. Em vez disso, propõe-se nos instrumentos contratuais os representantes da Administração sejam identificados apenas com a matrícula funcional [...]. Com relação aos representantes da contratada também se propõe que os instrumentos contratuais os identifiquem apenas pelo nome, até porque o </w:t>
      </w:r>
      <w:hyperlink r:id="rId2" w:anchor="art61" w:history="1">
        <w:r w:rsidRPr="002C1F3F">
          <w:rPr>
            <w:rStyle w:val="Hyperlink"/>
            <w:i/>
            <w:iCs/>
          </w:rPr>
          <w:t>art. 61 da Lei nº 8.666, de 1993</w:t>
        </w:r>
      </w:hyperlink>
      <w:r>
        <w:rPr>
          <w:i/>
          <w:iCs/>
          <w:color w:val="000000"/>
        </w:rPr>
        <w:t xml:space="preserve">, e o </w:t>
      </w:r>
      <w:hyperlink r:id="rId3" w:anchor="art89§1" w:history="1">
        <w:r w:rsidRPr="002C1F3F">
          <w:rPr>
            <w:rStyle w:val="Hyperlink"/>
            <w:i/>
            <w:iCs/>
          </w:rPr>
          <w:t>§1º do art. 89 da Lei nº 14.133, de 1º de abril de 2021</w:t>
        </w:r>
      </w:hyperlink>
      <w:r>
        <w:rPr>
          <w:i/>
          <w:iCs/>
          <w:color w:val="000000"/>
        </w:rPr>
        <w:t>, exigem apenas esse dado”.</w:t>
      </w:r>
    </w:p>
  </w:comment>
  <w:comment w:id="3" w:author="Autor" w:initials="A">
    <w:p w14:paraId="2B9BAE3F" w14:textId="77777777" w:rsidR="0007397F" w:rsidRDefault="0007397F" w:rsidP="00C13597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>Esta tabela é meramente ilustrativa, devendo ser ajustada conforme o caso concreto.</w:t>
      </w:r>
    </w:p>
  </w:comment>
  <w:comment w:id="4" w:author="Autor" w:initials="A">
    <w:p w14:paraId="3BCD60D6" w14:textId="77777777" w:rsidR="00287DC3" w:rsidRDefault="0007397F" w:rsidP="00287DC3">
      <w:pPr>
        <w:pStyle w:val="Textodecomentrio"/>
      </w:pPr>
      <w:r>
        <w:rPr>
          <w:rStyle w:val="Refdecomentrio"/>
        </w:rPr>
        <w:annotationRef/>
      </w:r>
      <w:r w:rsidR="00287DC3">
        <w:rPr>
          <w:b/>
          <w:bCs/>
          <w:i/>
          <w:iCs/>
        </w:rPr>
        <w:t>Nota Explicativa</w:t>
      </w:r>
      <w:r w:rsidR="00287DC3">
        <w:rPr>
          <w:i/>
          <w:iCs/>
        </w:rPr>
        <w:t>: As disposições a seguir decorrem dos arts. 105, 106 e 107 da Lei nº 14.133, de 2021, bem como dos dispositivos cabíveis da Instrução Normativa SEGES/MP nº 5 de 26 de maio de 2017, cuja aplicação aos processos de licitação de serviços de que dispõe a Lei n.º 14.133, de 2021, foi autorizada pela Instrução Normativa SEGES/ME nº 98, de 26 de dezembro de 2022.</w:t>
      </w:r>
    </w:p>
  </w:comment>
  <w:comment w:id="8" w:author="Autor" w:initials="A">
    <w:p w14:paraId="4D0BDE2F" w14:textId="77777777" w:rsidR="00BC18AC" w:rsidRDefault="00BC18AC" w:rsidP="00BC18A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</w:rPr>
        <w:t>Nota explicativa</w:t>
      </w:r>
      <w:r>
        <w:rPr>
          <w:i/>
          <w:iCs/>
        </w:rPr>
        <w:t>: Conforme a Lei nº 10.522, de 2002, com a redação conferida pela Lei nº 14.973, de 2024:</w:t>
      </w:r>
    </w:p>
    <w:p w14:paraId="5B5799AC" w14:textId="77777777" w:rsidR="00BC18AC" w:rsidRDefault="00BC18AC" w:rsidP="00BC18AC">
      <w:pPr>
        <w:pStyle w:val="Textodecomentrio"/>
      </w:pPr>
    </w:p>
    <w:p w14:paraId="4AAF4B34" w14:textId="77777777" w:rsidR="00BC18AC" w:rsidRDefault="00BC18AC" w:rsidP="00BC18AC">
      <w:pPr>
        <w:pStyle w:val="Textodecomentrio"/>
      </w:pPr>
      <w:r>
        <w:rPr>
          <w:i/>
          <w:iCs/>
        </w:rPr>
        <w:t>"Art. 6º É obrigatória a consulta prévia ao Cadin, pelos órgãos e entidades da Administração Pública Federal, direta e indireta, para:   (Vide Medida Provisória nº 1.259, de 2024)</w:t>
      </w:r>
    </w:p>
    <w:p w14:paraId="41E4DD10" w14:textId="77777777" w:rsidR="00BC18AC" w:rsidRDefault="00BC18AC" w:rsidP="00BC18AC">
      <w:pPr>
        <w:pStyle w:val="Textodecomentrio"/>
      </w:pPr>
      <w:r>
        <w:rPr>
          <w:i/>
          <w:iCs/>
        </w:rPr>
        <w:t>[...]</w:t>
      </w:r>
    </w:p>
    <w:p w14:paraId="04017A1F" w14:textId="77777777" w:rsidR="00BC18AC" w:rsidRDefault="00BC18AC" w:rsidP="00BC18AC">
      <w:pPr>
        <w:pStyle w:val="Textodecomentrio"/>
      </w:pPr>
      <w:r>
        <w:rPr>
          <w:i/>
          <w:iCs/>
        </w:rPr>
        <w:t>III - celebração de convênios, acordos, ajustes ou contratos que envolvam desembolso, a qualquer título, de recursos públicos, e respectivos aditamentos.</w:t>
      </w:r>
    </w:p>
    <w:p w14:paraId="47B6996E" w14:textId="77777777" w:rsidR="00BC18AC" w:rsidRDefault="00BC18AC" w:rsidP="00BC18AC">
      <w:pPr>
        <w:pStyle w:val="Textodecomentrio"/>
      </w:pPr>
      <w:r>
        <w:rPr>
          <w:i/>
          <w:iCs/>
        </w:rPr>
        <w:t>[...]</w:t>
      </w:r>
    </w:p>
    <w:p w14:paraId="4328E435" w14:textId="77777777" w:rsidR="00BC18AC" w:rsidRDefault="00BC18AC" w:rsidP="00BC18AC">
      <w:pPr>
        <w:pStyle w:val="Textodecomentrio"/>
      </w:pPr>
      <w:r>
        <w:rPr>
          <w:i/>
          <w:iCs/>
        </w:rPr>
        <w:t>Art. 6º-A. A existência de registro no Cadin, quando da consulta prévia de que trata o art. 6º, constitui fator impeditivo para a realização de qualquer dos atos previstos nos incisos I, II e III do caput do art. 6º.     (Incluído pela Lei nº 14.973, de 2024)".</w:t>
      </w:r>
    </w:p>
    <w:p w14:paraId="12C79787" w14:textId="77777777" w:rsidR="00BC18AC" w:rsidRDefault="00BC18AC" w:rsidP="00BC18AC">
      <w:pPr>
        <w:pStyle w:val="Textodecomentrio"/>
      </w:pPr>
    </w:p>
    <w:p w14:paraId="0E0CDA75" w14:textId="77777777" w:rsidR="00BC18AC" w:rsidRDefault="00BC18AC" w:rsidP="00BC18AC">
      <w:pPr>
        <w:pStyle w:val="Textodecomentrio"/>
      </w:pPr>
      <w:r>
        <w:rPr>
          <w:i/>
          <w:iCs/>
        </w:rPr>
        <w:t>A alteração veiculada pela Lei nº 14.973, de 2024, foi analisada por meio do PARECER n. 00063/2024/DECOR/CGU/AGU</w:t>
      </w:r>
    </w:p>
    <w:p w14:paraId="1E2567C3" w14:textId="77777777" w:rsidR="00BC18AC" w:rsidRDefault="00BC18AC" w:rsidP="00BC18AC">
      <w:pPr>
        <w:pStyle w:val="Textodecomentrio"/>
      </w:pPr>
      <w:r>
        <w:rPr>
          <w:i/>
          <w:iCs/>
        </w:rPr>
        <w:t xml:space="preserve">(NUP: 12600.101013/2023-10), aprovado pelo Despacho do Ministro Chefe da Advocacia-Geral da União n.º 539, de 17, de dezembro de 2024, com as seguintes conclusões: </w:t>
      </w:r>
    </w:p>
    <w:p w14:paraId="1C0A7298" w14:textId="77777777" w:rsidR="00BC18AC" w:rsidRDefault="00BC18AC" w:rsidP="00BC18AC">
      <w:pPr>
        <w:pStyle w:val="Textodecomentrio"/>
      </w:pPr>
    </w:p>
    <w:p w14:paraId="57DAE106" w14:textId="77777777" w:rsidR="00BC18AC" w:rsidRDefault="00BC18AC" w:rsidP="00BC18AC">
      <w:pPr>
        <w:pStyle w:val="Textodecomentrio"/>
      </w:pPr>
      <w:r>
        <w:rPr>
          <w:i/>
          <w:iCs/>
        </w:rPr>
        <w:t>"(a) Com a inclusão do art. 6º-A na Lei 10.522/2002 pela Lei n.º 14.973/2024 o</w:t>
      </w:r>
      <w:r>
        <w:rPr>
          <w:b/>
          <w:bCs/>
          <w:i/>
          <w:iCs/>
        </w:rPr>
        <w:t xml:space="preserve"> registro das empresas no CADIN passou a impedir a celebração de</w:t>
      </w:r>
      <w:r>
        <w:rPr>
          <w:i/>
          <w:iCs/>
        </w:rPr>
        <w:t xml:space="preserve"> convênios, acordos, ajustes ou </w:t>
      </w:r>
      <w:r>
        <w:rPr>
          <w:b/>
          <w:bCs/>
          <w:i/>
          <w:iCs/>
        </w:rPr>
        <w:t xml:space="preserve">contratos </w:t>
      </w:r>
      <w:r>
        <w:rPr>
          <w:i/>
          <w:iCs/>
        </w:rPr>
        <w:t xml:space="preserve">que envolvam desembolso, a qualquer título, de recursos públicos, </w:t>
      </w:r>
      <w:r>
        <w:rPr>
          <w:b/>
          <w:bCs/>
          <w:i/>
          <w:iCs/>
        </w:rPr>
        <w:t>e respectivos aditamentos;</w:t>
      </w:r>
    </w:p>
    <w:p w14:paraId="02F778AD" w14:textId="77777777" w:rsidR="00BC18AC" w:rsidRDefault="00BC18AC" w:rsidP="00BC18AC">
      <w:pPr>
        <w:pStyle w:val="Textodecomentrio"/>
      </w:pPr>
    </w:p>
    <w:p w14:paraId="6ADD41FD" w14:textId="77777777" w:rsidR="00BC18AC" w:rsidRDefault="00BC18AC" w:rsidP="00BC18AC">
      <w:pPr>
        <w:pStyle w:val="Textodecomentrio"/>
      </w:pPr>
      <w:r>
        <w:rPr>
          <w:i/>
          <w:iCs/>
        </w:rPr>
        <w:t xml:space="preserve"> (b) Segundo o art. 50 da Lei n.º 14.973/2024, as disposições desta Lei entraram em vigor na data da sua publicação: </w:t>
      </w:r>
      <w:r>
        <w:rPr>
          <w:b/>
          <w:bCs/>
          <w:i/>
          <w:iCs/>
        </w:rPr>
        <w:t>no dia 16 de setembro de 2024;</w:t>
      </w:r>
    </w:p>
    <w:p w14:paraId="45396925" w14:textId="77777777" w:rsidR="00BC18AC" w:rsidRDefault="00BC18AC" w:rsidP="00BC18AC">
      <w:pPr>
        <w:pStyle w:val="Textodecomentrio"/>
      </w:pPr>
    </w:p>
    <w:p w14:paraId="46837FF1" w14:textId="77777777" w:rsidR="00BC18AC" w:rsidRDefault="00BC18AC" w:rsidP="00BC18AC">
      <w:pPr>
        <w:pStyle w:val="Textodecomentrio"/>
      </w:pPr>
      <w:r>
        <w:rPr>
          <w:i/>
          <w:iCs/>
        </w:rPr>
        <w:t xml:space="preserve"> (c) Da edição desta norma </w:t>
      </w:r>
      <w:r>
        <w:rPr>
          <w:b/>
          <w:bCs/>
          <w:i/>
          <w:iCs/>
        </w:rPr>
        <w:t xml:space="preserve">não </w:t>
      </w:r>
      <w:r>
        <w:rPr>
          <w:i/>
          <w:iCs/>
        </w:rPr>
        <w:t>foram previstas regras de transição e nem autorizado o estabelecimento de um regime de transição em abstrato pela Administração Pública;</w:t>
      </w:r>
    </w:p>
    <w:p w14:paraId="3DD00FAD" w14:textId="77777777" w:rsidR="00BC18AC" w:rsidRDefault="00BC18AC" w:rsidP="00BC18AC">
      <w:pPr>
        <w:pStyle w:val="Textodecomentrio"/>
      </w:pPr>
    </w:p>
    <w:p w14:paraId="71F6327E" w14:textId="77777777" w:rsidR="00BC18AC" w:rsidRDefault="00BC18AC" w:rsidP="00BC18AC">
      <w:pPr>
        <w:pStyle w:val="Textodecomentrio"/>
      </w:pPr>
      <w:r>
        <w:rPr>
          <w:i/>
          <w:iCs/>
        </w:rPr>
        <w:t xml:space="preserve"> (d) O </w:t>
      </w:r>
      <w:r>
        <w:rPr>
          <w:b/>
          <w:bCs/>
          <w:i/>
          <w:iCs/>
        </w:rPr>
        <w:t>art. 6º- A da Lei nº 10.522/2002 deve ser aplicado aos</w:t>
      </w:r>
      <w:r>
        <w:rPr>
          <w:i/>
          <w:iCs/>
        </w:rPr>
        <w:t xml:space="preserve"> convênios, acordos, ajustes e </w:t>
      </w:r>
      <w:r>
        <w:rPr>
          <w:b/>
          <w:bCs/>
          <w:i/>
          <w:iCs/>
        </w:rPr>
        <w:t xml:space="preserve">contratos </w:t>
      </w:r>
      <w:r>
        <w:rPr>
          <w:i/>
          <w:iCs/>
        </w:rPr>
        <w:t>que envolvam desembolso, a qualquer título, de recursos públicos, f</w:t>
      </w:r>
      <w:r>
        <w:rPr>
          <w:b/>
          <w:bCs/>
          <w:i/>
          <w:iCs/>
        </w:rPr>
        <w:t xml:space="preserve">irmados a partir da data da publicação da norma;  </w:t>
      </w:r>
      <w:r>
        <w:rPr>
          <w:i/>
          <w:iCs/>
        </w:rPr>
        <w:t xml:space="preserve">[...]". </w:t>
      </w:r>
    </w:p>
    <w:p w14:paraId="0CFBF307" w14:textId="77777777" w:rsidR="00BC18AC" w:rsidRDefault="00BC18AC" w:rsidP="00BC18AC">
      <w:pPr>
        <w:pStyle w:val="Textodecomentrio"/>
      </w:pPr>
    </w:p>
    <w:p w14:paraId="38A712B5" w14:textId="77777777" w:rsidR="00BC18AC" w:rsidRDefault="00BC18AC" w:rsidP="00BC18AC">
      <w:pPr>
        <w:pStyle w:val="Textodecomentrio"/>
      </w:pPr>
      <w:r>
        <w:rPr>
          <w:i/>
          <w:iCs/>
        </w:rPr>
        <w:t>Assim, para os contratos administrativos firmados a partir do dia 16 de setembro de 2024, deverá incidir o disposto no art. 6º-A da Lei n.º 10.522, de 2002, de modo que o registro do particular no CADIN constitui fator impeditivo à formalização do aditamento contratual.</w:t>
      </w:r>
    </w:p>
  </w:comment>
  <w:comment w:id="11" w:author="Autor" w:initials="A">
    <w:p w14:paraId="5C01D335" w14:textId="10778953" w:rsidR="00495DDC" w:rsidRDefault="002F2F20" w:rsidP="00495DDC">
      <w:pPr>
        <w:pStyle w:val="Textodecomentrio"/>
      </w:pPr>
      <w:r>
        <w:rPr>
          <w:rStyle w:val="Refdecomentrio"/>
        </w:rPr>
        <w:annotationRef/>
      </w:r>
      <w:r w:rsidR="00495DDC">
        <w:rPr>
          <w:b/>
          <w:bCs/>
          <w:i/>
          <w:iCs/>
          <w:color w:val="000000"/>
        </w:rPr>
        <w:t>Nota explicativa</w:t>
      </w:r>
      <w:r w:rsidR="00495DDC">
        <w:rPr>
          <w:i/>
          <w:iCs/>
          <w:color w:val="000000"/>
        </w:rPr>
        <w:t>: Caso se trate de contrato de valor estimativo, em que a própria demanda é variável, cabe inserir esse subitem.</w:t>
      </w:r>
    </w:p>
  </w:comment>
  <w:comment w:id="13" w:author="Autor" w:initials="A">
    <w:p w14:paraId="00D17D58" w14:textId="6E2175FD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Explicativa: </w:t>
      </w:r>
      <w:r>
        <w:rPr>
          <w:i/>
          <w:iCs/>
          <w:color w:val="000000"/>
        </w:rPr>
        <w:t xml:space="preserve">Nos termos do art. 123 da Lei nº 14.133/21, a Administração tem o dever de decidir questões contratuais que lhe são apresentadas. O prazo </w:t>
      </w:r>
      <w:r w:rsidR="00996724">
        <w:rPr>
          <w:i/>
          <w:iCs/>
          <w:color w:val="000000"/>
        </w:rPr>
        <w:t>desse item</w:t>
      </w:r>
      <w:r>
        <w:rPr>
          <w:i/>
          <w:iCs/>
          <w:color w:val="000000"/>
        </w:rPr>
        <w:t xml:space="preserve"> pode ser especificado pela Administração, conforme a complexidade do objeto contratual e os trâmites internos das áreas envolvidas na execução contratual. Caso não haja especificação, o art. 123, parágrafo único, da Lei n.º 14.133, de 2021, e o art. 28, do Decreto n.º 11.246, de 2022, estabelecem que o prazo será de um mês.</w:t>
      </w:r>
    </w:p>
  </w:comment>
  <w:comment w:id="14" w:author="Autor" w:initials="A">
    <w:p w14:paraId="16A6BC0B" w14:textId="77777777" w:rsidR="00CC4CC2" w:rsidRDefault="002F2F20" w:rsidP="00375DBD">
      <w:pPr>
        <w:pStyle w:val="Textodecomentrio"/>
      </w:pPr>
      <w:r>
        <w:rPr>
          <w:rStyle w:val="Refdecomentrio"/>
        </w:rPr>
        <w:annotationRef/>
      </w:r>
      <w:r w:rsidR="00CC4CC2">
        <w:rPr>
          <w:b/>
          <w:bCs/>
          <w:i/>
          <w:iCs/>
        </w:rPr>
        <w:t>Nota Explicativa:</w:t>
      </w:r>
      <w:r w:rsidR="00CC4CC2">
        <w:rPr>
          <w:i/>
          <w:iCs/>
        </w:rPr>
        <w:t xml:space="preserve"> O art. 92, inciso XI, da Lei nº 14.133, de 2021, prevê que é cláusula necessária do contrato administrativo aquela que versa sobre “o prazo para resposta ao pedido de restabelecimento do equilíbrio econômico-financeiro, quando for o caso”. Como a lei não indicou o prazo a ser adotado nesse caso específico, a Administração poderá se utilizar do mesmo prazo previsto para as situações abrangidas, em geral, pelo art. 123 do texto legal, o que deverá ser analisado conforme as especificidades de cada órgão.</w:t>
      </w:r>
    </w:p>
  </w:comment>
  <w:comment w:id="16" w:author="Autor" w:initials="A">
    <w:p w14:paraId="2E071B82" w14:textId="5120C9AF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. Este modelo contém obrigações gerais que podem ser aplicadas aos mais diversos tipos de contratações. Entretanto, compete ao órgão verificar as peculiaridades a fim de definir quais obrigações serão aplicáveis, incluindo, modificando ou excluindo itens a depender das especificidades do </w:t>
      </w:r>
      <w:r>
        <w:rPr>
          <w:i/>
          <w:iCs/>
        </w:rPr>
        <w:t>objeto.</w:t>
      </w:r>
    </w:p>
  </w:comment>
  <w:comment w:id="17" w:author="Autor" w:initials="A">
    <w:p w14:paraId="0E337874" w14:textId="77777777" w:rsidR="002F2F20" w:rsidRDefault="002F2F20" w:rsidP="009E743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>. Cada vício, defeito ou incorreção verificada pelo fiscal do contrato reveste-se de peculiar característica. Por isso que, diante da natureza do objeto contratado, pode ser impróprio determinar prazo único para as correções devidas, devendo o fiscal do contrato, avaliar o caso concreto, para o fim de fixar prazo para as correções.</w:t>
      </w:r>
    </w:p>
  </w:comment>
  <w:comment w:id="18" w:author="Autor" w:initials="A">
    <w:p w14:paraId="501153C0" w14:textId="77777777" w:rsidR="00D10E1F" w:rsidRDefault="00D10E1F" w:rsidP="00D10E1F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 1:</w:t>
      </w:r>
      <w:r>
        <w:rPr>
          <w:i/>
          <w:iCs/>
          <w:color w:val="000000"/>
        </w:rPr>
        <w:t xml:space="preserve"> O artigo 193 do CTN preceitua que a prova da quitação de todos os tributos devidos dar-se-á no âmbito da Fazenda Pública interessada. Portanto, a comprovação de inscrição no cadastro de contribuinte e regularidade fiscal correspondente considerará a natureza da atividade objeto da contratação.</w:t>
      </w:r>
    </w:p>
    <w:p w14:paraId="43C6BAC0" w14:textId="1B825BB3" w:rsidR="00D10E1F" w:rsidRDefault="00D10E1F" w:rsidP="00D10E1F">
      <w:pPr>
        <w:pStyle w:val="Textodecomentrio"/>
      </w:pPr>
      <w:r>
        <w:rPr>
          <w:i/>
          <w:iCs/>
          <w:color w:val="000000"/>
        </w:rPr>
        <w:t xml:space="preserve">Via de regra, a prestação de serviços de modo geral é hipótese de incidência de tributação municipal (Imposto Sobre Serviços de Qualquer Natureza - ISSQN), conforme lista anexa </w:t>
      </w:r>
      <w:r w:rsidRPr="00857287">
        <w:rPr>
          <w:i/>
          <w:iCs/>
        </w:rPr>
        <w:t>à Lei Complementar nº 116/2003</w:t>
      </w:r>
      <w:r>
        <w:rPr>
          <w:i/>
          <w:iCs/>
          <w:color w:val="000000"/>
        </w:rPr>
        <w:t xml:space="preserve">.  </w:t>
      </w:r>
    </w:p>
    <w:p w14:paraId="0A8E46C4" w14:textId="12D6DCCE" w:rsidR="00D10E1F" w:rsidRDefault="00D10E1F">
      <w:pPr>
        <w:pStyle w:val="Textodecomentrio"/>
      </w:pPr>
      <w:r>
        <w:rPr>
          <w:i/>
          <w:iCs/>
          <w:color w:val="000000"/>
        </w:rPr>
        <w:t>Existem, contudo, situações em que a prestação de um serviço pode dar ensejo à incidência de tributação estadual pelo ICMS. Como exemplos, citem-se os serviços de transporte interestadual e intermunicipal e os serviços de comunicação (</w:t>
      </w:r>
      <w:r w:rsidRPr="00857287">
        <w:rPr>
          <w:i/>
          <w:iCs/>
        </w:rPr>
        <w:t>art. 155, II, da CF/88</w:t>
      </w:r>
      <w:r>
        <w:rPr>
          <w:i/>
          <w:iCs/>
          <w:color w:val="000000"/>
        </w:rPr>
        <w:t xml:space="preserve">), bem como as exceções expressamente previstas na lista da referida LC 116/2003. </w:t>
      </w:r>
    </w:p>
  </w:comment>
  <w:comment w:id="22" w:author="Autor" w:initials="A">
    <w:p w14:paraId="1EC713AD" w14:textId="3BDCF4BD" w:rsidR="001C40A8" w:rsidRDefault="001C40A8" w:rsidP="001C40A8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</w:rPr>
        <w:t xml:space="preserve">Nota explicativa 1: </w:t>
      </w:r>
      <w:r>
        <w:rPr>
          <w:i/>
          <w:iCs/>
        </w:rPr>
        <w:t xml:space="preserve">Incluir </w:t>
      </w:r>
      <w:r w:rsidR="00852A7D">
        <w:rPr>
          <w:i/>
          <w:iCs/>
        </w:rPr>
        <w:t>esses itens</w:t>
      </w:r>
      <w:r>
        <w:rPr>
          <w:i/>
          <w:iCs/>
        </w:rPr>
        <w:t xml:space="preserve"> caso o contrato tenha por objeto</w:t>
      </w:r>
      <w:r>
        <w:rPr>
          <w:i/>
          <w:iCs/>
          <w:color w:val="000000"/>
        </w:rPr>
        <w:t xml:space="preserve"> a elaboração de </w:t>
      </w:r>
      <w:r>
        <w:rPr>
          <w:i/>
          <w:iCs/>
        </w:rPr>
        <w:t xml:space="preserve">projetos ou a execução de serviços técnicos especializados, inclusive daqueles que contemplem o desenvolvimento de programas e aplicações de internet para computadores, máquinas, equipamentos e dispositivos de tratamento e de comunicação da informação (software) - e a respectiva documentação técnica associada, conforme </w:t>
      </w:r>
      <w:hyperlink r:id="rId4" w:anchor="art93" w:history="1">
        <w:r w:rsidRPr="00B0791D">
          <w:rPr>
            <w:rStyle w:val="Hyperlink"/>
            <w:i/>
            <w:iCs/>
          </w:rPr>
          <w:t>art. 93, caput, da Lei n.º 14.133/2021.</w:t>
        </w:r>
      </w:hyperlink>
      <w:r>
        <w:rPr>
          <w:i/>
          <w:iCs/>
        </w:rPr>
        <w:t xml:space="preserve"> </w:t>
      </w:r>
    </w:p>
    <w:p w14:paraId="564A99E8" w14:textId="77777777" w:rsidR="001C40A8" w:rsidRDefault="001C40A8" w:rsidP="001C40A8">
      <w:pPr>
        <w:pStyle w:val="Textodecomentrio"/>
      </w:pPr>
      <w:r>
        <w:rPr>
          <w:b/>
          <w:bCs/>
          <w:i/>
          <w:iCs/>
        </w:rPr>
        <w:t>Nota Explicativa 2:</w:t>
      </w:r>
      <w:r>
        <w:rPr>
          <w:i/>
          <w:iCs/>
        </w:rPr>
        <w:t xml:space="preserve"> Vale registrar que o </w:t>
      </w:r>
      <w:hyperlink r:id="rId5" w:anchor="art93§2" w:history="1">
        <w:r w:rsidRPr="00B0791D">
          <w:rPr>
            <w:rStyle w:val="Hyperlink"/>
            <w:i/>
            <w:iCs/>
          </w:rPr>
          <w:t>§2º do art. 93</w:t>
        </w:r>
      </w:hyperlink>
      <w:r>
        <w:rPr>
          <w:i/>
          <w:iCs/>
        </w:rPr>
        <w:t xml:space="preserve"> admite que a Administração deixe de exigir a cessão de direitos “quando o objeto da contratação envolver atividade de pesquisa e desenvolvimento de caráter científico, tecnológico ou de inovação, considerados os princípios e os mecanismos instituídos pela </w:t>
      </w:r>
      <w:hyperlink r:id="rId6" w:history="1">
        <w:r w:rsidRPr="00B0791D">
          <w:rPr>
            <w:rStyle w:val="Hyperlink"/>
            <w:i/>
            <w:iCs/>
          </w:rPr>
          <w:t>Lei nº 10.973, de 2 de dezembro de 2004</w:t>
        </w:r>
      </w:hyperlink>
      <w:r>
        <w:rPr>
          <w:i/>
          <w:iCs/>
        </w:rPr>
        <w:t>”.</w:t>
      </w:r>
    </w:p>
    <w:p w14:paraId="06FF2CC1" w14:textId="77777777" w:rsidR="001C40A8" w:rsidRDefault="001C40A8" w:rsidP="001C40A8">
      <w:pPr>
        <w:pStyle w:val="Textodecomentrio"/>
      </w:pPr>
      <w:r>
        <w:rPr>
          <w:b/>
          <w:bCs/>
          <w:i/>
          <w:iCs/>
        </w:rPr>
        <w:t>Nota Explicativa 3:</w:t>
      </w:r>
      <w:r>
        <w:rPr>
          <w:i/>
          <w:iCs/>
        </w:rPr>
        <w:t xml:space="preserve"> Acrescentar o subitem a seguir caso o objeto consista na elaboração de projeto relativo a obra imaterial de caráter tecnológico, insuscetível de privilégio, nos termos do </w:t>
      </w:r>
      <w:hyperlink r:id="rId7" w:anchor="art93§1" w:history="1">
        <w:r w:rsidRPr="00B0791D">
          <w:rPr>
            <w:rStyle w:val="Hyperlink"/>
            <w:i/>
            <w:iCs/>
          </w:rPr>
          <w:t>art. 93, § 1º, da Lei n.º 14.133/2021.</w:t>
        </w:r>
      </w:hyperlink>
      <w:r>
        <w:rPr>
          <w:i/>
          <w:iCs/>
        </w:rPr>
        <w:t xml:space="preserve"> </w:t>
      </w:r>
    </w:p>
  </w:comment>
  <w:comment w:id="23" w:author="Autor" w:initials="A">
    <w:p w14:paraId="509EB1C7" w14:textId="30E89755" w:rsidR="0007397F" w:rsidRDefault="0007397F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 xml:space="preserve">Nota Explicativa 1: </w:t>
      </w:r>
      <w:r>
        <w:rPr>
          <w:i/>
          <w:iCs/>
          <w:color w:val="000000"/>
        </w:rPr>
        <w:t xml:space="preserve">As cláusulas </w:t>
      </w:r>
      <w:r w:rsidR="00720DEC">
        <w:rPr>
          <w:i/>
          <w:iCs/>
          <w:color w:val="000000"/>
        </w:rPr>
        <w:t>dessa seção</w:t>
      </w:r>
      <w:r>
        <w:rPr>
          <w:i/>
          <w:iCs/>
          <w:color w:val="000000"/>
        </w:rPr>
        <w:t xml:space="preserve"> são necessárias para cumprimento </w:t>
      </w:r>
      <w:hyperlink r:id="rId8" w:history="1">
        <w:r w:rsidRPr="00284F43">
          <w:rPr>
            <w:rStyle w:val="Hyperlink"/>
            <w:i/>
            <w:iCs/>
          </w:rPr>
          <w:t>da Lei nº 13.709, de 14 de agosto de 2018 (LGPD</w:t>
        </w:r>
      </w:hyperlink>
      <w:r>
        <w:rPr>
          <w:i/>
          <w:iCs/>
          <w:color w:val="000000"/>
        </w:rPr>
        <w:t>), caso a contratação envolva, de qualquer forma, o tratamento de dados pessoais, devendo ser incluída e ajustada nessa hipótese.</w:t>
      </w:r>
    </w:p>
    <w:p w14:paraId="7316F3F6" w14:textId="77777777" w:rsidR="0007397F" w:rsidRDefault="0007397F">
      <w:pPr>
        <w:pStyle w:val="Textodecomentrio"/>
      </w:pPr>
      <w:r>
        <w:rPr>
          <w:b/>
          <w:bCs/>
          <w:i/>
          <w:iCs/>
          <w:color w:val="000000"/>
        </w:rPr>
        <w:t xml:space="preserve">Nota Explicativa 2: </w:t>
      </w:r>
      <w:r>
        <w:rPr>
          <w:i/>
          <w:iCs/>
          <w:color w:val="000000"/>
        </w:rPr>
        <w:t>Caso o objeto do contrato envolva, ainda que indiretamente, o acesso ou o tratamento de dados pessoais, é possível que a Administração estabeleça modelagem contratual por meio da qual seja imposto ao Contratado o dever de disponibilizar à Administração a possibilidade de acesso direto a esses dados, o que deve se dar com todas as cautelas cabíveis em relação ao tema.</w:t>
      </w:r>
    </w:p>
    <w:p w14:paraId="529A07F2" w14:textId="77777777" w:rsidR="0007397F" w:rsidRDefault="0007397F">
      <w:pPr>
        <w:pStyle w:val="Textodecomentrio"/>
      </w:pPr>
      <w:r>
        <w:rPr>
          <w:i/>
          <w:iCs/>
          <w:color w:val="000000"/>
        </w:rPr>
        <w:t>Vale lembrar que eventual requerimento administrativo do titular dos dados será direcionado à Administração, sendo certo que comandos oriundos de Autoridade Regulatória ou do Poder Judiciário serão igualmente direcionados à Administração, inclusive com risco de responsabilização objetiva. Por isso, em situações em que for justificável, fica a recomendação para que a Administração crie condições para que possa atender tempestivamente o requerimento do titular dos dados ou eventual comando regulatório ou judicial. Tudo isso para que a Administração tenha condições de atender o requerimento ou comando tempestivamente, sem depender exclusivamente do Contratado para tanto.</w:t>
      </w:r>
    </w:p>
    <w:p w14:paraId="7A2FB82F" w14:textId="77777777" w:rsidR="0007397F" w:rsidRDefault="0007397F" w:rsidP="00C13597">
      <w:pPr>
        <w:pStyle w:val="Textodecomentrio"/>
      </w:pPr>
      <w:r>
        <w:rPr>
          <w:i/>
          <w:iCs/>
          <w:color w:val="000000"/>
        </w:rPr>
        <w:t>O tema deve ser avaliado pela Administração com base nos riscos da contratação em relação aos dados pessoais eventualmente envolvidos.</w:t>
      </w:r>
    </w:p>
  </w:comment>
  <w:comment w:id="24" w:author="Autor" w:initials="A">
    <w:p w14:paraId="13B9EB26" w14:textId="77777777" w:rsidR="0007397F" w:rsidRDefault="0007397F" w:rsidP="00C13597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: Conforme PARECER n. 00004/2022/CNMLC/CGU/AGU, é possível também a exigência de declaração, firmada por representante da empresa, de que seus empregados estão capacitados e/ou firmaram termo de responsabilidade de cumprimento da LGPD. Ademais, em situações específicas, é possível exigir tal providência de cada empregado. Incumbe ao Contratante avaliar a necessidade de medida dessa natureza. </w:t>
      </w:r>
    </w:p>
  </w:comment>
  <w:comment w:id="25" w:author="Autor" w:initials="A">
    <w:p w14:paraId="5E7EBEE2" w14:textId="77777777" w:rsidR="0007397F" w:rsidRDefault="0007397F" w:rsidP="00C13597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</w:t>
      </w:r>
      <w:r>
        <w:rPr>
          <w:i/>
          <w:iCs/>
          <w:color w:val="000000"/>
        </w:rPr>
        <w:t xml:space="preserve">: Se o Contratante entender oportuno, é possível especificar, nesta cláusula, rotinas ou diligências mais adequadas ao objeto contratual respectivo. </w:t>
      </w:r>
    </w:p>
  </w:comment>
  <w:comment w:id="26" w:author="Autor" w:initials="A">
    <w:p w14:paraId="32C5DB95" w14:textId="77777777" w:rsidR="00287DC3" w:rsidRDefault="0007397F" w:rsidP="00287DC3">
      <w:pPr>
        <w:pStyle w:val="Textodecomentrio"/>
      </w:pPr>
      <w:r>
        <w:rPr>
          <w:rStyle w:val="Refdecomentrio"/>
        </w:rPr>
        <w:annotationRef/>
      </w:r>
      <w:r w:rsidR="00287DC3">
        <w:rPr>
          <w:b/>
          <w:bCs/>
          <w:i/>
          <w:iCs/>
          <w:highlight w:val="yellow"/>
        </w:rPr>
        <w:t>Nota Explicativa 1</w:t>
      </w:r>
      <w:r w:rsidR="00287DC3">
        <w:rPr>
          <w:i/>
          <w:iCs/>
          <w:highlight w:val="yellow"/>
        </w:rPr>
        <w:t>: Todas as disposições da presente cláusula são meramente indicativas. Pode ser necessário que se suprimam algumas das obrigações ou se arrolem outras, conforme as peculiaridades do órgão e as especificações do serviço a ser executado.</w:t>
      </w:r>
    </w:p>
    <w:p w14:paraId="6B85B360" w14:textId="77777777" w:rsidR="00287DC3" w:rsidRDefault="00287DC3" w:rsidP="00287DC3">
      <w:pPr>
        <w:pStyle w:val="Textodecomentrio"/>
      </w:pPr>
      <w:r>
        <w:rPr>
          <w:i/>
          <w:iCs/>
          <w:highlight w:val="yellow"/>
        </w:rPr>
        <w:t xml:space="preserve"> </w:t>
      </w:r>
      <w:r>
        <w:rPr>
          <w:b/>
          <w:bCs/>
          <w:i/>
          <w:iCs/>
          <w:highlight w:val="yellow"/>
        </w:rPr>
        <w:t>Nota explicativa 2:</w:t>
      </w:r>
      <w:r>
        <w:rPr>
          <w:i/>
          <w:iCs/>
          <w:highlight w:val="yellow"/>
        </w:rPr>
        <w:t xml:space="preserve"> Caso a contratação envolva a transferência internacional de dados pessoais (art. 33, da Lei nº 13.709, de 2018, e Resolução CD/ANPD nº 19, de 23 de agosto de 2024), é possível exigir do controlador envolvido na operação a apresentação de garantias de cumprimento dos princípios, dos direitos do titular e do regime de proteção de dados previstos na LGPD, na forma, dentre outras, de cláusulas-padrão contratuais (art. 33, II, da LGPD, arts. 15 a 17 da Resolução CD/ANPD nº 19, de 2024). </w:t>
      </w:r>
    </w:p>
    <w:p w14:paraId="033F5853" w14:textId="77777777" w:rsidR="00287DC3" w:rsidRDefault="00287DC3" w:rsidP="00287DC3">
      <w:pPr>
        <w:pStyle w:val="Textodecomentrio"/>
      </w:pPr>
      <w:r>
        <w:rPr>
          <w:i/>
          <w:iCs/>
          <w:highlight w:val="yellow"/>
        </w:rPr>
        <w:t xml:space="preserve">As cláusulas-padrão contratuais estabelecem garantias mínimas para que, mesmo em países onde o regime de proteção de dados é diferente do Brasil, os dados pessoais continuem protegidos conforme os padrões exigidos pela LGPD.  Trata-se de cláusulas predefinidas pela ANPD, que podem ser incorporadas a contratos celebrados para reger especificamente transferências internacionais de dados ou a contratos com objeto mais amplo, como, por exemplo, um contrato administrativo de prestação de serviço. </w:t>
      </w:r>
    </w:p>
    <w:p w14:paraId="302C11BD" w14:textId="77777777" w:rsidR="00287DC3" w:rsidRDefault="00287DC3" w:rsidP="00287DC3">
      <w:pPr>
        <w:pStyle w:val="Textodecomentrio"/>
      </w:pPr>
      <w:r>
        <w:rPr>
          <w:i/>
          <w:iCs/>
          <w:highlight w:val="yellow"/>
        </w:rPr>
        <w:t xml:space="preserve">Essas cláusulas estão previstas no Anexo II da Resolução CD/ANPD nº 19, de 2024, e sua implementação nos contratos administrativos, quando for o caso, pressupõe a adoção integral e sem alteração do texto disponibilizado pela ANPD. </w:t>
      </w:r>
    </w:p>
    <w:p w14:paraId="74300946" w14:textId="77777777" w:rsidR="00287DC3" w:rsidRDefault="00287DC3" w:rsidP="00287DC3">
      <w:pPr>
        <w:pStyle w:val="Textodecomentrio"/>
      </w:pPr>
      <w:r>
        <w:rPr>
          <w:i/>
          <w:iCs/>
          <w:highlight w:val="yellow"/>
        </w:rPr>
        <w:t xml:space="preserve">Em hipóteses tais, as Seções I, II e III do Anexo II da Resolução CD/ANPD nº 19, de 2024, deverão figurar como documento anexo do instrumento contratual, e as demais disposições do termo de contrato não poderão excluir, modificar ou contrariar, direta ou indiretamente, o disposto nas cláusulas-padrão contratuais. Além disso, deverão ser adotadas as medidas de transparência previstas no art. 17 da Resolução CD/ANPD nº 19, de 2024. </w:t>
      </w:r>
    </w:p>
  </w:comment>
  <w:comment w:id="27" w:author="Autor" w:initials="A">
    <w:p w14:paraId="12FC41E5" w14:textId="1EAC98B9" w:rsidR="008B5CB0" w:rsidRDefault="00494882" w:rsidP="008B5CB0">
      <w:pPr>
        <w:pStyle w:val="Textodecomentrio"/>
      </w:pPr>
      <w:r w:rsidRPr="003C5F74">
        <w:rPr>
          <w:rStyle w:val="Refdecomentrio"/>
          <w:highlight w:val="yellow"/>
        </w:rPr>
        <w:annotationRef/>
      </w:r>
      <w:r w:rsidR="008B5CB0">
        <w:rPr>
          <w:b/>
          <w:bCs/>
          <w:i/>
          <w:iCs/>
          <w:color w:val="000000"/>
        </w:rPr>
        <w:t>Nota explicativa</w:t>
      </w:r>
      <w:r w:rsidR="008B5CB0">
        <w:rPr>
          <w:i/>
          <w:iCs/>
          <w:color w:val="000000"/>
        </w:rPr>
        <w:t xml:space="preserve">: Fica a critério da Administração exigir, ou não, a garantia (salvo nos casos em que consta em norma a obrigatoriedade de sua exigência). Exigindo, deve haver previsão no edital </w:t>
      </w:r>
      <w:r w:rsidR="008B5CB0">
        <w:rPr>
          <w:i/>
          <w:iCs/>
          <w:color w:val="000000"/>
          <w:highlight w:val="yellow"/>
        </w:rPr>
        <w:t xml:space="preserve">ou aviso de contratação direta </w:t>
      </w:r>
      <w:r w:rsidR="008B5CB0">
        <w:rPr>
          <w:i/>
          <w:iCs/>
          <w:color w:val="000000"/>
        </w:rPr>
        <w:t xml:space="preserve"> e no contrato. Não exigindo, deve fazer constar a previsão, e justificar as razões para essa decisão, considerando os estudos preliminares e a análise de riscos feita para a contratação. </w:t>
      </w:r>
    </w:p>
  </w:comment>
  <w:comment w:id="31" w:author="Autor" w:initials="A">
    <w:p w14:paraId="593550A0" w14:textId="77777777" w:rsidR="00287DC3" w:rsidRDefault="00AB4C5A" w:rsidP="00287DC3">
      <w:pPr>
        <w:pStyle w:val="Textodecomentrio"/>
      </w:pPr>
      <w:r>
        <w:rPr>
          <w:rStyle w:val="Refdecomentrio"/>
        </w:rPr>
        <w:annotationRef/>
      </w:r>
      <w:r w:rsidR="00287DC3">
        <w:rPr>
          <w:b/>
          <w:bCs/>
          <w:i/>
          <w:iCs/>
          <w:color w:val="000000"/>
        </w:rPr>
        <w:t xml:space="preserve">Nota Explicativa: </w:t>
      </w:r>
      <w:r w:rsidR="00287DC3">
        <w:rPr>
          <w:i/>
          <w:iCs/>
          <w:color w:val="000000"/>
        </w:rPr>
        <w:t>Use a redação desse item para contratos decorrentes da</w:t>
      </w:r>
      <w:r w:rsidR="00287DC3">
        <w:rPr>
          <w:b/>
          <w:bCs/>
          <w:i/>
          <w:iCs/>
          <w:color w:val="000000"/>
        </w:rPr>
        <w:t xml:space="preserve"> </w:t>
      </w:r>
      <w:r w:rsidR="00287DC3">
        <w:rPr>
          <w:i/>
          <w:iCs/>
          <w:color w:val="000000"/>
        </w:rPr>
        <w:t>hipótese de dispensa de licitação prevista no art. 75, inciso VIII, da Lei n° 14.133/2021.</w:t>
      </w:r>
    </w:p>
  </w:comment>
  <w:comment w:id="33" w:author="Autor" w:initials="A">
    <w:p w14:paraId="2EF3F81F" w14:textId="16FDFC10" w:rsidR="00F8119B" w:rsidRDefault="001A3D4D" w:rsidP="00F8119B">
      <w:pPr>
        <w:pStyle w:val="Textodecomentrio"/>
      </w:pPr>
      <w:r>
        <w:rPr>
          <w:rStyle w:val="Refdecomentrio"/>
        </w:rPr>
        <w:annotationRef/>
      </w:r>
      <w:r w:rsidR="00F8119B">
        <w:rPr>
          <w:b/>
          <w:bCs/>
          <w:i/>
          <w:iCs/>
        </w:rPr>
        <w:t>Nota Explicativa:</w:t>
      </w:r>
      <w:r w:rsidR="00F8119B">
        <w:t xml:space="preserve"> </w:t>
      </w:r>
      <w:r w:rsidR="00F8119B">
        <w:rPr>
          <w:i/>
          <w:iCs/>
        </w:rPr>
        <w:t xml:space="preserve">A Consultoria-Geral da União, por meio do PARECER n. 00061/2024/DECOR/CGU/AGU (NUP: 00688.001623/2024-01), uniformizou o entendimento de que é possível a supressão do objeto do contrato administrativo em percentual superior a 25% (art. 125 da Lei 14.133/2021), mediante acordo entre as partes, nos seguintes termos: </w:t>
      </w:r>
    </w:p>
    <w:p w14:paraId="60827708" w14:textId="77777777" w:rsidR="00F8119B" w:rsidRDefault="00F8119B" w:rsidP="00F8119B">
      <w:pPr>
        <w:pStyle w:val="Textodecomentrio"/>
      </w:pPr>
      <w:r>
        <w:rPr>
          <w:i/>
          <w:iCs/>
        </w:rPr>
        <w:t> </w:t>
      </w:r>
    </w:p>
    <w:p w14:paraId="081D4979" w14:textId="77777777" w:rsidR="00F8119B" w:rsidRDefault="00F8119B" w:rsidP="00F8119B">
      <w:pPr>
        <w:pStyle w:val="Textodecomentrio"/>
      </w:pPr>
      <w:r>
        <w:rPr>
          <w:i/>
          <w:iCs/>
        </w:rPr>
        <w:t xml:space="preserve">"36.  Diante de tudo quanto exposto, conclui-se ser possível a </w:t>
      </w:r>
      <w:r>
        <w:rPr>
          <w:b/>
          <w:bCs/>
          <w:i/>
          <w:iCs/>
        </w:rPr>
        <w:t>supressão</w:t>
      </w:r>
      <w:r>
        <w:rPr>
          <w:i/>
          <w:iCs/>
        </w:rPr>
        <w:t xml:space="preserve"> </w:t>
      </w:r>
      <w:r>
        <w:rPr>
          <w:b/>
          <w:bCs/>
          <w:i/>
          <w:iCs/>
        </w:rPr>
        <w:t xml:space="preserve">parcial consensual de contrato administrativo em percentual superior àqueles estabelecidos pelo art. 125 da Lei 14.133/2021. </w:t>
      </w:r>
    </w:p>
    <w:p w14:paraId="66985915" w14:textId="77777777" w:rsidR="00F8119B" w:rsidRDefault="00F8119B" w:rsidP="00F8119B">
      <w:pPr>
        <w:pStyle w:val="Textodecomentrio"/>
      </w:pPr>
      <w:r>
        <w:rPr>
          <w:i/>
          <w:iCs/>
        </w:rPr>
        <w:t>37. Tal supressão parcial consensual do contrato administrativo deve respeitar os princípios enunciados no art. 5º da Lei 14.133/2021; deve ser adequadamente fundamentada; e pode ensejar a responsabilização de servidor por falha do projeto.</w:t>
      </w:r>
    </w:p>
    <w:p w14:paraId="68E8D2A4" w14:textId="77777777" w:rsidR="00F8119B" w:rsidRDefault="00F8119B" w:rsidP="00F8119B">
      <w:pPr>
        <w:pStyle w:val="Textodecomentrio"/>
      </w:pPr>
      <w:r>
        <w:rPr>
          <w:i/>
          <w:iCs/>
        </w:rPr>
        <w:t>38. Sugere-se, ainda, veicular, no edital da licitação, a possibilidade de supressão do contrato administrativo de maneira consensual em percentual superior ao estabelecido no art. 125 da Lei 14.133/2021."</w:t>
      </w:r>
    </w:p>
  </w:comment>
  <w:comment w:id="34" w:author="Autor" w:initials="A">
    <w:p w14:paraId="56FA932D" w14:textId="41150EFF" w:rsidR="009C5D2C" w:rsidRDefault="009C5D2C" w:rsidP="009C5D2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O art. 106, II, da Lei nº 14.133, de 2021 prevê para contratações de fornecimentos continuados que “a Administração deverá atestar, no início da contratação e de cada exercício, a existência de créditos orçamentários vinculados à contratação e a vantagem em sua manutenção”.</w:t>
      </w:r>
    </w:p>
  </w:comment>
  <w:comment w:id="35" w:author="Autor" w:initials="A">
    <w:p w14:paraId="65ED19EF" w14:textId="77777777" w:rsidR="009C5D2C" w:rsidRDefault="009C5D2C" w:rsidP="009C5D2C">
      <w:pPr>
        <w:pStyle w:val="Textodecomentrio"/>
      </w:pPr>
      <w:r>
        <w:rPr>
          <w:rStyle w:val="Refdecomentrio"/>
        </w:rPr>
        <w:annotationRef/>
      </w:r>
      <w:r>
        <w:rPr>
          <w:b/>
          <w:bCs/>
          <w:i/>
          <w:iCs/>
          <w:color w:val="000000"/>
        </w:rPr>
        <w:t>Nota explicativa:</w:t>
      </w:r>
      <w:r>
        <w:rPr>
          <w:i/>
          <w:iCs/>
          <w:color w:val="000000"/>
        </w:rPr>
        <w:t xml:space="preserve"> No Acórdão n.º 2569/2018 – Plenário, o TCU concluiu que “ A Administração Pública pode invocar a Lei 8.078/1990 (CDC), na condição de destinatária final de bens e serviços, quando suas prerrogativas estabelecidas na legislação de licitações e contratos forem insuficientes para garantir a proteção mínima dos interesses da sociedade [...]”.</w:t>
      </w:r>
    </w:p>
    <w:p w14:paraId="5408D7F0" w14:textId="77777777" w:rsidR="009C5D2C" w:rsidRDefault="009C5D2C" w:rsidP="009C5D2C">
      <w:pPr>
        <w:pStyle w:val="Textodecomentrio"/>
      </w:pPr>
      <w:r>
        <w:rPr>
          <w:i/>
          <w:iCs/>
          <w:color w:val="000000"/>
        </w:rPr>
        <w:t xml:space="preserve">(cf. Boletim de Jurisprudência n.º 244, sessões 6 e 7 de novembro de 2018). Consta do referido Acórdão, nesse sentido, que: </w:t>
      </w:r>
    </w:p>
    <w:p w14:paraId="72510486" w14:textId="77777777" w:rsidR="009C5D2C" w:rsidRDefault="009C5D2C" w:rsidP="009C5D2C">
      <w:pPr>
        <w:pStyle w:val="Textodecomentrio"/>
      </w:pPr>
      <w:r>
        <w:rPr>
          <w:i/>
          <w:iCs/>
          <w:color w:val="000000"/>
        </w:rPr>
        <w:t>“307. Como é exposto no exame técnico transcrito no relatório do TC-016.501/2003-0, acolhido integralmente pelo Relator do Acórdão 1.670/2003-Plenário, Ministro-Substituto Lincoln Magalhães da Rocha, a Lei 8.078/1990 é aplicável à Administração Pública enquanto consumidora de bens e serviços. Isso porque ao definir, em seu art. 2º, ’consumidor’ como toda pessoa física ou jurídica que adquire ou utiliza produto ou serviço como destinatário final, a Lei não fez nenhuma exceção, podendo, portanto, a Administração Pública se utilizar de todos os direitos ali estabelecidos na condição de consumidora. Ainda de acordo com o citado relatório, esse é o entendimento dos doutrinadores Leon Fredja, Celso Bastos e Toshio Mukai. Diversas outras deliberações do TCU também vão nesse sentido, como o Acórdão 1.729/2008-TCU-Plenário, de relatoria do Ministro Valmir Campelo, o Acórdão 5.736/2011-TCU-Primeira Câmara, de relatoria do Ministro-Substituto Weder de Oliveira, e as Decisões 634/1996 e 1.045/2000, ambas do Plenário, de relatoria dos ministros Homero Santos e Adylson Motta, respectivamente.”</w:t>
      </w:r>
    </w:p>
  </w:comment>
  <w:comment w:id="36" w:author="Autor" w:initials="A">
    <w:p w14:paraId="7402F11C" w14:textId="77777777" w:rsidR="007D79D0" w:rsidRDefault="002F2F20" w:rsidP="007D79D0">
      <w:pPr>
        <w:pStyle w:val="Textodecomentrio"/>
      </w:pPr>
      <w:r>
        <w:rPr>
          <w:rStyle w:val="Refdecomentrio"/>
        </w:rPr>
        <w:annotationRef/>
      </w:r>
      <w:r w:rsidR="007D79D0">
        <w:rPr>
          <w:b/>
          <w:bCs/>
          <w:i/>
          <w:iCs/>
        </w:rPr>
        <w:t>Nota Explicativa</w:t>
      </w:r>
      <w:r w:rsidR="007D79D0">
        <w:rPr>
          <w:i/>
          <w:iCs/>
        </w:rPr>
        <w:t xml:space="preserve">: A recente Lei nº 14.620, de 13 de julho de 2023, inseriu o § 4º ao art. 784 do Código de Processo Civil. Referido dispositivo dispõe que: “Nos títulos executivos constituídos ou atestados por meio eletrônico, é admitida qualquer modalidade de assinatura eletrônica prevista em lei, </w:t>
      </w:r>
      <w:r w:rsidR="007D79D0">
        <w:rPr>
          <w:i/>
          <w:iCs/>
          <w:u w:val="single"/>
        </w:rPr>
        <w:t>dispensada a assinatura de testemunhas quando sua integridade for conferida por provedor de assinatura</w:t>
      </w:r>
      <w:r w:rsidR="007D79D0">
        <w:rPr>
          <w:i/>
          <w:iCs/>
        </w:rPr>
        <w:t>”.</w:t>
      </w:r>
    </w:p>
    <w:p w14:paraId="2FE8AD78" w14:textId="77777777" w:rsidR="007D79D0" w:rsidRDefault="007D79D0" w:rsidP="007D79D0">
      <w:pPr>
        <w:pStyle w:val="Textodecomentrio"/>
      </w:pPr>
    </w:p>
    <w:p w14:paraId="718E3C5F" w14:textId="77777777" w:rsidR="007D79D0" w:rsidRDefault="007D79D0" w:rsidP="007D79D0">
      <w:pPr>
        <w:pStyle w:val="Textodecomentrio"/>
      </w:pPr>
      <w:r>
        <w:rPr>
          <w:i/>
          <w:iCs/>
        </w:rPr>
        <w:t>Após diligências promovidas pela CNMLC/CGU, verificou-se que a assinatura eletrônica realizada no SEI não atenderia ao requisito exigido pela referida norma (integridade conferível por provedor de assinatura). Nesse sentido, permanece a recomendação de que o termo aditivo seja assinado por duas testemunhas, em conformidade à Nota n. 00013/2021/DECOR/CGU/AGU e respectivos Despachos de Aprovação (NUP 23282.002192/2019-93).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43B1C2B" w15:done="0"/>
  <w15:commentEx w15:paraId="0555D39A" w15:done="0"/>
  <w15:commentEx w15:paraId="67016035" w15:done="0"/>
  <w15:commentEx w15:paraId="2B9BAE3F" w15:done="0"/>
  <w15:commentEx w15:paraId="3BCD60D6" w15:done="0"/>
  <w15:commentEx w15:paraId="38A712B5" w15:done="0"/>
  <w15:commentEx w15:paraId="5C01D335" w15:done="0"/>
  <w15:commentEx w15:paraId="00D17D58" w15:done="0"/>
  <w15:commentEx w15:paraId="16A6BC0B" w15:done="0"/>
  <w15:commentEx w15:paraId="2E071B82" w15:done="0"/>
  <w15:commentEx w15:paraId="0E337874" w15:done="0"/>
  <w15:commentEx w15:paraId="0A8E46C4" w15:done="0"/>
  <w15:commentEx w15:paraId="06FF2CC1" w15:done="0"/>
  <w15:commentEx w15:paraId="7A2FB82F" w15:done="0"/>
  <w15:commentEx w15:paraId="13B9EB26" w15:done="0"/>
  <w15:commentEx w15:paraId="5E7EBEE2" w15:done="0"/>
  <w15:commentEx w15:paraId="74300946" w15:done="0"/>
  <w15:commentEx w15:paraId="12FC41E5" w15:done="0"/>
  <w15:commentEx w15:paraId="593550A0" w15:done="0"/>
  <w15:commentEx w15:paraId="68E8D2A4" w15:done="0"/>
  <w15:commentEx w15:paraId="56FA932D" w15:done="0"/>
  <w15:commentEx w15:paraId="72510486" w15:done="0"/>
  <w15:commentEx w15:paraId="718E3C5F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43B1C2B" w16cid:durableId="274D5759"/>
  <w16cid:commentId w16cid:paraId="0555D39A" w16cid:durableId="6AE93F1A"/>
  <w16cid:commentId w16cid:paraId="67016035" w16cid:durableId="274C210D"/>
  <w16cid:commentId w16cid:paraId="2B9BAE3F" w16cid:durableId="274C2430"/>
  <w16cid:commentId w16cid:paraId="3BCD60D6" w16cid:durableId="33423186"/>
  <w16cid:commentId w16cid:paraId="38A712B5" w16cid:durableId="1EF4920D"/>
  <w16cid:commentId w16cid:paraId="5C01D335" w16cid:durableId="274AD523"/>
  <w16cid:commentId w16cid:paraId="00D17D58" w16cid:durableId="274ADA08"/>
  <w16cid:commentId w16cid:paraId="16A6BC0B" w16cid:durableId="274ADA81"/>
  <w16cid:commentId w16cid:paraId="2E071B82" w16cid:durableId="274ADAF4"/>
  <w16cid:commentId w16cid:paraId="0E337874" w16cid:durableId="274ADB38"/>
  <w16cid:commentId w16cid:paraId="0A8E46C4" w16cid:durableId="41EDABFA"/>
  <w16cid:commentId w16cid:paraId="06FF2CC1" w16cid:durableId="274C3CCF"/>
  <w16cid:commentId w16cid:paraId="7A2FB82F" w16cid:durableId="274C4090"/>
  <w16cid:commentId w16cid:paraId="13B9EB26" w16cid:durableId="274C423A"/>
  <w16cid:commentId w16cid:paraId="5E7EBEE2" w16cid:durableId="274C4221"/>
  <w16cid:commentId w16cid:paraId="74300946" w16cid:durableId="274C473C"/>
  <w16cid:commentId w16cid:paraId="12FC41E5" w16cid:durableId="274C4781"/>
  <w16cid:commentId w16cid:paraId="593550A0" w16cid:durableId="16289525"/>
  <w16cid:commentId w16cid:paraId="68E8D2A4" w16cid:durableId="7C8AA647"/>
  <w16cid:commentId w16cid:paraId="56FA932D" w16cid:durableId="270A7360"/>
  <w16cid:commentId w16cid:paraId="72510486" w16cid:durableId="4E3F427B"/>
  <w16cid:commentId w16cid:paraId="718E3C5F" w16cid:durableId="274B0BE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46D41" w14:textId="77777777" w:rsidR="00ED2938" w:rsidRDefault="00ED2938">
      <w:r>
        <w:separator/>
      </w:r>
    </w:p>
  </w:endnote>
  <w:endnote w:type="continuationSeparator" w:id="0">
    <w:p w14:paraId="3B877A81" w14:textId="77777777" w:rsidR="00ED2938" w:rsidRDefault="00ED2938">
      <w:r>
        <w:continuationSeparator/>
      </w:r>
    </w:p>
  </w:endnote>
  <w:endnote w:type="continuationNotice" w:id="1">
    <w:p w14:paraId="03EF78A5" w14:textId="77777777" w:rsidR="00ED2938" w:rsidRDefault="00ED29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C20CD" w14:textId="77777777" w:rsidR="00287DC3" w:rsidRDefault="00287DC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14:paraId="58DEC1BC" w14:textId="77777777" w:rsidR="002F2F20" w:rsidRPr="00627E50" w:rsidRDefault="002F2F20" w:rsidP="00E96341">
        <w:pPr>
          <w:pStyle w:val="Rodap"/>
          <w:rPr>
            <w:rFonts w:ascii="Arial" w:hAnsi="Arial"/>
            <w:color w:val="548DD4" w:themeColor="text2" w:themeTint="99"/>
            <w:spacing w:val="60"/>
            <w:sz w:val="16"/>
          </w:rPr>
        </w:pP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  <w:r w:rsidRPr="00627E50">
          <w:rPr>
            <w:rFonts w:ascii="Arial" w:hAnsi="Arial"/>
            <w:color w:val="548DD4" w:themeColor="text2" w:themeTint="99"/>
            <w:spacing w:val="60"/>
            <w:sz w:val="22"/>
          </w:rPr>
          <w:tab/>
        </w:r>
      </w:p>
      <w:p w14:paraId="1D29B53F" w14:textId="49292C8C" w:rsidR="002F2F20" w:rsidRPr="00821C09" w:rsidRDefault="002F2F20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627E50">
          <w:rPr>
            <w:rFonts w:ascii="Arial" w:hAnsi="Arial"/>
            <w:color w:val="7F7F7F" w:themeColor="text1" w:themeTint="80"/>
            <w:spacing w:val="60"/>
            <w:sz w:val="22"/>
          </w:rPr>
          <w:tab/>
        </w:r>
        <w:r w:rsidRPr="00821C09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14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391312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16</w:t>
        </w:r>
        <w:r w:rsidRPr="00821C09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14:paraId="70C145D7" w14:textId="641B0475" w:rsidR="002F2F20" w:rsidRPr="00A4355A" w:rsidRDefault="002F2F20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821C09">
          <w:rPr>
            <w:rFonts w:ascii="Arial" w:hAnsi="Arial" w:cs="Arial"/>
            <w:sz w:val="14"/>
            <w:szCs w:val="14"/>
          </w:rPr>
          <w:t xml:space="preserve">Câmara Nacional de Modelos de Licitações e Contratos </w:t>
        </w:r>
        <w:r w:rsidRPr="00A4355A">
          <w:rPr>
            <w:rFonts w:ascii="Arial" w:hAnsi="Arial" w:cs="Arial"/>
            <w:sz w:val="14"/>
            <w:szCs w:val="14"/>
          </w:rPr>
          <w:t>da Consultoria-Geral da União</w:t>
        </w:r>
      </w:p>
      <w:p w14:paraId="7231549D" w14:textId="394165BA" w:rsidR="002F2F20" w:rsidRPr="00DE512F" w:rsidRDefault="00544B42" w:rsidP="00E162B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Modelo de 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Termo de </w:t>
        </w:r>
        <w:r w:rsidR="00B22351" w:rsidRPr="00434877">
          <w:rPr>
            <w:rFonts w:ascii="Arial" w:hAnsi="Arial" w:cs="Arial"/>
            <w:sz w:val="14"/>
            <w:szCs w:val="14"/>
          </w:rPr>
          <w:t>C</w:t>
        </w:r>
        <w:r w:rsidR="002F2F20" w:rsidRPr="00434877">
          <w:rPr>
            <w:rFonts w:ascii="Arial" w:hAnsi="Arial" w:cs="Arial"/>
            <w:sz w:val="14"/>
            <w:szCs w:val="14"/>
          </w:rPr>
          <w:t>ontrato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- </w:t>
        </w:r>
        <w:r w:rsidR="00F8119B" w:rsidRPr="00434877">
          <w:rPr>
            <w:rFonts w:ascii="Arial" w:hAnsi="Arial" w:cs="Arial"/>
            <w:sz w:val="14"/>
            <w:szCs w:val="14"/>
          </w:rPr>
          <w:t xml:space="preserve">Licitação e Contratação Direta 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- </w:t>
        </w:r>
        <w:r w:rsidR="0007397F" w:rsidRPr="00434877">
          <w:rPr>
            <w:rFonts w:ascii="Arial" w:hAnsi="Arial" w:cs="Arial"/>
            <w:sz w:val="14"/>
            <w:szCs w:val="14"/>
          </w:rPr>
          <w:t>Serviços</w:t>
        </w:r>
        <w:r w:rsidR="00472B0E" w:rsidRPr="00434877">
          <w:rPr>
            <w:rFonts w:ascii="Arial" w:hAnsi="Arial" w:cs="Arial"/>
            <w:sz w:val="14"/>
            <w:szCs w:val="14"/>
          </w:rPr>
          <w:t xml:space="preserve"> </w:t>
        </w:r>
        <w:r w:rsidR="00DE512F" w:rsidRPr="00434877">
          <w:rPr>
            <w:rFonts w:ascii="Arial" w:hAnsi="Arial" w:cs="Arial"/>
            <w:sz w:val="14"/>
            <w:szCs w:val="14"/>
          </w:rPr>
          <w:t>sem</w:t>
        </w:r>
        <w:r w:rsidR="0007397F" w:rsidRPr="00434877">
          <w:rPr>
            <w:rFonts w:ascii="Arial" w:hAnsi="Arial" w:cs="Arial"/>
            <w:sz w:val="14"/>
            <w:szCs w:val="14"/>
          </w:rPr>
          <w:t xml:space="preserve"> regime de dedicação exclusiva de mão de obra </w:t>
        </w:r>
        <w:r w:rsidR="00472B0E" w:rsidRPr="00434877">
          <w:rPr>
            <w:rFonts w:ascii="Arial" w:hAnsi="Arial" w:cs="Arial"/>
            <w:sz w:val="14"/>
            <w:szCs w:val="14"/>
          </w:rPr>
          <w:t>-</w:t>
        </w:r>
        <w:r w:rsidR="002F2F20" w:rsidRPr="00434877">
          <w:rPr>
            <w:rFonts w:ascii="Arial" w:hAnsi="Arial" w:cs="Arial"/>
            <w:sz w:val="14"/>
            <w:szCs w:val="14"/>
          </w:rPr>
          <w:t xml:space="preserve"> Lei nº 14.133, de 2021</w:t>
        </w:r>
      </w:p>
      <w:p w14:paraId="2220F664" w14:textId="707DAB07" w:rsidR="002F2F20" w:rsidRPr="00A4355A" w:rsidRDefault="00A4355A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A4355A">
          <w:rPr>
            <w:rFonts w:ascii="Arial" w:hAnsi="Arial" w:cs="Arial"/>
            <w:sz w:val="14"/>
            <w:szCs w:val="14"/>
          </w:rPr>
          <w:t xml:space="preserve">Aprovado </w:t>
        </w:r>
        <w:r w:rsidR="002F2F20" w:rsidRPr="00A4355A">
          <w:rPr>
            <w:rFonts w:ascii="Arial" w:hAnsi="Arial" w:cs="Arial"/>
            <w:sz w:val="14"/>
            <w:szCs w:val="14"/>
          </w:rPr>
          <w:t>pela Secretaria de Gestão e Inovação</w:t>
        </w:r>
      </w:p>
      <w:p w14:paraId="5A7743A4" w14:textId="77777777" w:rsidR="005446FF" w:rsidRPr="00DE512F" w:rsidRDefault="002F2F20" w:rsidP="00EF4A41">
        <w:pPr>
          <w:pStyle w:val="Rodap"/>
          <w:rPr>
            <w:rFonts w:ascii="Arial" w:hAnsi="Arial"/>
            <w:sz w:val="14"/>
          </w:rPr>
        </w:pPr>
        <w:r w:rsidRPr="00A4355A">
          <w:rPr>
            <w:rFonts w:ascii="Arial" w:hAnsi="Arial" w:cs="Arial"/>
            <w:sz w:val="14"/>
            <w:szCs w:val="14"/>
          </w:rPr>
          <w:t>Identidade visual pela Secretaria de Gestão e Inovação</w:t>
        </w:r>
      </w:p>
      <w:p w14:paraId="7E6308F2" w14:textId="6FF3B573" w:rsidR="002F2F20" w:rsidRPr="00DE512F" w:rsidRDefault="005446FF" w:rsidP="00225EC5">
        <w:pPr>
          <w:pStyle w:val="Rodap"/>
          <w:rPr>
            <w:rFonts w:ascii="Arial" w:hAnsi="Arial"/>
            <w:sz w:val="14"/>
          </w:rPr>
        </w:pPr>
        <w:r w:rsidRPr="00434877">
          <w:rPr>
            <w:rFonts w:ascii="Arial" w:hAnsi="Arial" w:cs="Arial"/>
            <w:sz w:val="14"/>
            <w:szCs w:val="14"/>
          </w:rPr>
          <w:t xml:space="preserve">Atualização: </w:t>
        </w:r>
        <w:r w:rsidR="00287DC3">
          <w:rPr>
            <w:rFonts w:ascii="Arial" w:hAnsi="Arial" w:cs="Arial"/>
            <w:sz w:val="14"/>
            <w:szCs w:val="14"/>
          </w:rPr>
          <w:t>DEZ</w:t>
        </w:r>
        <w:r w:rsidR="00F8119B" w:rsidRPr="00434877">
          <w:rPr>
            <w:rFonts w:ascii="Arial" w:hAnsi="Arial" w:cs="Arial"/>
            <w:sz w:val="14"/>
            <w:szCs w:val="14"/>
          </w:rPr>
          <w:t>/2025</w:t>
        </w:r>
        <w:r w:rsidR="00F8119B" w:rsidRPr="00434877" w:rsidDel="00F8119B">
          <w:rPr>
            <w:rFonts w:ascii="Arial" w:hAnsi="Arial" w:cs="Arial"/>
            <w:sz w:val="14"/>
            <w:szCs w:val="14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D9F3" w14:textId="77777777" w:rsidR="00287DC3" w:rsidRDefault="00287D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0736F" w14:textId="77777777" w:rsidR="00ED2938" w:rsidRDefault="00ED2938">
      <w:r>
        <w:separator/>
      </w:r>
    </w:p>
  </w:footnote>
  <w:footnote w:type="continuationSeparator" w:id="0">
    <w:p w14:paraId="57CA8CC2" w14:textId="77777777" w:rsidR="00ED2938" w:rsidRDefault="00ED2938">
      <w:r>
        <w:continuationSeparator/>
      </w:r>
    </w:p>
  </w:footnote>
  <w:footnote w:type="continuationNotice" w:id="1">
    <w:p w14:paraId="214BF43C" w14:textId="77777777" w:rsidR="00ED2938" w:rsidRDefault="00ED29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5F2D" w14:textId="77777777" w:rsidR="00287DC3" w:rsidRDefault="00287DC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61" w14:textId="10723C03" w:rsidR="002F2F20" w:rsidRPr="005C458C" w:rsidRDefault="002F2F20" w:rsidP="005642F8">
    <w:pPr>
      <w:pStyle w:val="Cabealho"/>
      <w:jc w:val="right"/>
      <w:rPr>
        <w:rFonts w:ascii="Arial" w:hAnsi="Arial"/>
        <w:sz w:val="20"/>
      </w:rPr>
    </w:pPr>
    <w:r w:rsidRPr="004827F2">
      <w:rPr>
        <w:rFonts w:ascii="Arial" w:hAnsi="Arial" w:cs="Arial"/>
        <w:sz w:val="20"/>
        <w:szCs w:val="20"/>
      </w:rPr>
      <w:t xml:space="preserve">TERMO DE CONTRATO ADMINISTRATIVO Nº </w:t>
    </w:r>
    <w:r w:rsidRPr="00B22351">
      <w:rPr>
        <w:rFonts w:ascii="Arial" w:hAnsi="Arial" w:cs="Arial"/>
        <w:i/>
        <w:iCs/>
        <w:color w:val="FF0000"/>
        <w:sz w:val="20"/>
        <w:szCs w:val="20"/>
      </w:rPr>
      <w:t>XX/XXXX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F592" w14:textId="77777777" w:rsidR="00287DC3" w:rsidRDefault="00287D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106026504">
    <w:abstractNumId w:val="11"/>
  </w:num>
  <w:num w:numId="2" w16cid:durableId="1990985445">
    <w:abstractNumId w:val="0"/>
  </w:num>
  <w:num w:numId="3" w16cid:durableId="1125544186">
    <w:abstractNumId w:val="44"/>
  </w:num>
  <w:num w:numId="4" w16cid:durableId="300767402">
    <w:abstractNumId w:val="48"/>
  </w:num>
  <w:num w:numId="5" w16cid:durableId="1777289360">
    <w:abstractNumId w:val="23"/>
  </w:num>
  <w:num w:numId="6" w16cid:durableId="2049067172">
    <w:abstractNumId w:val="20"/>
  </w:num>
  <w:num w:numId="7" w16cid:durableId="1862477675">
    <w:abstractNumId w:val="30"/>
  </w:num>
  <w:num w:numId="8" w16cid:durableId="696542643">
    <w:abstractNumId w:val="38"/>
  </w:num>
  <w:num w:numId="9" w16cid:durableId="208595489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4170947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79161116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43263973">
    <w:abstractNumId w:val="22"/>
  </w:num>
  <w:num w:numId="13" w16cid:durableId="1154100253">
    <w:abstractNumId w:val="19"/>
  </w:num>
  <w:num w:numId="14" w16cid:durableId="119496979">
    <w:abstractNumId w:val="10"/>
  </w:num>
  <w:num w:numId="15" w16cid:durableId="16140979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7712619">
    <w:abstractNumId w:val="2"/>
  </w:num>
  <w:num w:numId="17" w16cid:durableId="211963729">
    <w:abstractNumId w:val="4"/>
  </w:num>
  <w:num w:numId="18" w16cid:durableId="1419790893">
    <w:abstractNumId w:val="5"/>
  </w:num>
  <w:num w:numId="19" w16cid:durableId="16591064">
    <w:abstractNumId w:val="49"/>
  </w:num>
  <w:num w:numId="20" w16cid:durableId="1657689004">
    <w:abstractNumId w:val="49"/>
  </w:num>
  <w:num w:numId="21" w16cid:durableId="564221337">
    <w:abstractNumId w:val="32"/>
  </w:num>
  <w:num w:numId="22" w16cid:durableId="487943659">
    <w:abstractNumId w:val="32"/>
  </w:num>
  <w:num w:numId="23" w16cid:durableId="1003900467">
    <w:abstractNumId w:val="11"/>
  </w:num>
  <w:num w:numId="24" w16cid:durableId="730616946">
    <w:abstractNumId w:val="29"/>
  </w:num>
  <w:num w:numId="25" w16cid:durableId="342174254">
    <w:abstractNumId w:val="25"/>
  </w:num>
  <w:num w:numId="26" w16cid:durableId="1811091326">
    <w:abstractNumId w:val="27"/>
  </w:num>
  <w:num w:numId="27" w16cid:durableId="2130196075">
    <w:abstractNumId w:val="40"/>
  </w:num>
  <w:num w:numId="28" w16cid:durableId="1626738587">
    <w:abstractNumId w:val="11"/>
  </w:num>
  <w:num w:numId="29" w16cid:durableId="1358921456">
    <w:abstractNumId w:val="11"/>
  </w:num>
  <w:num w:numId="30" w16cid:durableId="1839540183">
    <w:abstractNumId w:val="11"/>
  </w:num>
  <w:num w:numId="31" w16cid:durableId="725492053">
    <w:abstractNumId w:val="11"/>
  </w:num>
  <w:num w:numId="32" w16cid:durableId="886330868">
    <w:abstractNumId w:val="7"/>
  </w:num>
  <w:num w:numId="33" w16cid:durableId="933705702">
    <w:abstractNumId w:val="11"/>
  </w:num>
  <w:num w:numId="34" w16cid:durableId="12633013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1449595">
    <w:abstractNumId w:val="13"/>
  </w:num>
  <w:num w:numId="36" w16cid:durableId="1880237869">
    <w:abstractNumId w:val="18"/>
  </w:num>
  <w:num w:numId="37" w16cid:durableId="1249577625">
    <w:abstractNumId w:val="3"/>
  </w:num>
  <w:num w:numId="38" w16cid:durableId="1023896335">
    <w:abstractNumId w:val="35"/>
  </w:num>
  <w:num w:numId="39" w16cid:durableId="879391179">
    <w:abstractNumId w:val="6"/>
  </w:num>
  <w:num w:numId="40" w16cid:durableId="284888949">
    <w:abstractNumId w:val="1"/>
  </w:num>
  <w:num w:numId="41" w16cid:durableId="811604504">
    <w:abstractNumId w:val="45"/>
  </w:num>
  <w:num w:numId="42" w16cid:durableId="59599936">
    <w:abstractNumId w:val="14"/>
  </w:num>
  <w:num w:numId="43" w16cid:durableId="661158838">
    <w:abstractNumId w:val="36"/>
  </w:num>
  <w:num w:numId="44" w16cid:durableId="715010399">
    <w:abstractNumId w:val="9"/>
  </w:num>
  <w:num w:numId="45" w16cid:durableId="1783187972">
    <w:abstractNumId w:val="31"/>
  </w:num>
  <w:num w:numId="46" w16cid:durableId="2067876548">
    <w:abstractNumId w:val="34"/>
  </w:num>
  <w:num w:numId="47" w16cid:durableId="251282014">
    <w:abstractNumId w:val="42"/>
  </w:num>
  <w:num w:numId="48" w16cid:durableId="486241288">
    <w:abstractNumId w:val="17"/>
  </w:num>
  <w:num w:numId="49" w16cid:durableId="1434012615">
    <w:abstractNumId w:val="16"/>
  </w:num>
  <w:num w:numId="50" w16cid:durableId="160237648">
    <w:abstractNumId w:val="15"/>
  </w:num>
  <w:num w:numId="51" w16cid:durableId="1890994866">
    <w:abstractNumId w:val="43"/>
  </w:num>
  <w:num w:numId="52" w16cid:durableId="625233540">
    <w:abstractNumId w:val="26"/>
  </w:num>
  <w:num w:numId="53" w16cid:durableId="1634671540">
    <w:abstractNumId w:val="33"/>
  </w:num>
  <w:num w:numId="54" w16cid:durableId="1922520889">
    <w:abstractNumId w:val="39"/>
  </w:num>
  <w:num w:numId="55" w16cid:durableId="1539707649">
    <w:abstractNumId w:val="24"/>
  </w:num>
  <w:num w:numId="56" w16cid:durableId="358626430">
    <w:abstractNumId w:val="41"/>
  </w:num>
  <w:num w:numId="57" w16cid:durableId="647396341">
    <w:abstractNumId w:val="28"/>
  </w:num>
  <w:num w:numId="58" w16cid:durableId="619724504">
    <w:abstractNumId w:val="12"/>
  </w:num>
  <w:num w:numId="59" w16cid:durableId="783578990">
    <w:abstractNumId w:val="37"/>
  </w:num>
  <w:num w:numId="60" w16cid:durableId="924193444">
    <w:abstractNumId w:val="46"/>
  </w:num>
  <w:num w:numId="61" w16cid:durableId="1000154859">
    <w:abstractNumId w:val="47"/>
  </w:num>
  <w:num w:numId="62" w16cid:durableId="1805461442">
    <w:abstractNumId w:val="8"/>
  </w:num>
  <w:num w:numId="63" w16cid:durableId="19126323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utor">
    <w15:presenceInfo w15:providerId="None" w15:userId="Auto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removePersonalInformation/>
  <w:removeDateAndTime/>
  <w:mirrorMargins/>
  <w:activeWritingStyle w:appName="MSWord" w:lang="pt-BR" w:vendorID="64" w:dllVersion="0" w:nlCheck="1" w:checkStyle="0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68D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1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603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1CA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764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56D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8F1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8AC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28F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938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comment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5-2018/2018/lei/l13709.htm" TargetMode="External"/><Relationship Id="rId3" Type="http://schemas.openxmlformats.org/officeDocument/2006/relationships/hyperlink" Target="http://www.planalto.gov.br/ccivil_03/_ato2019-2022/2021/lei/L14133.htm" TargetMode="Externa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hyperlink" Target="https://www.planalto.gov.br/ccivil_03/leis/l8666cons.htm" TargetMode="External"/><Relationship Id="rId1" Type="http://schemas.openxmlformats.org/officeDocument/2006/relationships/hyperlink" Target="mailto:cgu.modeloscontratacao@agu.gov.br" TargetMode="External"/><Relationship Id="rId6" Type="http://schemas.openxmlformats.org/officeDocument/2006/relationships/hyperlink" Target="https://www.planalto.gov.br/ccivil_03/_ato2004-2006/2004/lei/l10.973.htm" TargetMode="External"/><Relationship Id="rId5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hyperlink" Target="http://www.planalto.gov.br/ccivil_03/_ato2019-2022/2021/lei/L14133.htm" TargetMode="External"/></Relationship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3945</Words>
  <Characters>21307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2025-03-24T17:59:00Z</dcterms:created>
  <dcterms:modified xsi:type="dcterms:W3CDTF">2026-02-12T18:34:00Z</dcterms:modified>
</cp:coreProperties>
</file>