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B4CB1" w14:textId="770C3DEB" w:rsidR="008716FD" w:rsidRPr="00AA40E0" w:rsidRDefault="00121266" w:rsidP="00AA40E0">
      <w:pPr>
        <w:spacing w:after="120" w:line="240" w:lineRule="auto"/>
        <w:jc w:val="both"/>
        <w:rPr>
          <w:rFonts w:asciiTheme="minorHAnsi" w:hAnsiTheme="minorHAnsi" w:cstheme="minorHAnsi"/>
          <w:b/>
          <w:sz w:val="24"/>
          <w:szCs w:val="24"/>
        </w:rPr>
      </w:pPr>
      <w:bookmarkStart w:id="0" w:name="_Hlk160616545"/>
      <w:r w:rsidRPr="00AA40E0">
        <w:rPr>
          <w:rFonts w:asciiTheme="minorHAnsi" w:hAnsiTheme="minorHAnsi" w:cstheme="minorHAnsi"/>
          <w:b/>
          <w:sz w:val="24"/>
          <w:szCs w:val="24"/>
        </w:rPr>
        <w:t>ESTUDO TÉCNICO PRELIMINAR - ETP</w:t>
      </w:r>
    </w:p>
    <w:p w14:paraId="0EFF1DC7" w14:textId="71C74A63" w:rsidR="0014777B" w:rsidRPr="00AA40E0" w:rsidRDefault="0014777B" w:rsidP="00AA40E0">
      <w:pPr>
        <w:shd w:val="clear" w:color="auto" w:fill="B4C6E7" w:themeFill="accent5" w:themeFillTint="66"/>
        <w:spacing w:after="120" w:line="240" w:lineRule="auto"/>
        <w:jc w:val="both"/>
        <w:rPr>
          <w:rFonts w:asciiTheme="minorHAnsi" w:hAnsiTheme="minorHAnsi" w:cstheme="minorHAnsi"/>
          <w:b/>
          <w:sz w:val="24"/>
          <w:szCs w:val="24"/>
        </w:rPr>
      </w:pPr>
      <w:r w:rsidRPr="00AA40E0">
        <w:rPr>
          <w:rFonts w:asciiTheme="minorHAnsi" w:hAnsiTheme="minorHAnsi" w:cstheme="minorHAnsi"/>
          <w:b/>
          <w:sz w:val="24"/>
          <w:szCs w:val="24"/>
        </w:rPr>
        <w:t>1 – INFORMAÇÕES GERAIS</w:t>
      </w:r>
    </w:p>
    <w:p w14:paraId="3C82E7AD" w14:textId="19EB0DE7" w:rsidR="00121266" w:rsidRPr="00AA40E0" w:rsidRDefault="002F1D6A" w:rsidP="00AA40E0">
      <w:pPr>
        <w:spacing w:after="120" w:line="240" w:lineRule="auto"/>
        <w:jc w:val="both"/>
        <w:rPr>
          <w:rFonts w:asciiTheme="minorHAnsi" w:hAnsiTheme="minorHAnsi" w:cstheme="minorHAnsi"/>
          <w:sz w:val="24"/>
          <w:szCs w:val="24"/>
        </w:rPr>
      </w:pPr>
      <w:r w:rsidRPr="00AA40E0">
        <w:rPr>
          <w:rFonts w:asciiTheme="minorHAnsi" w:hAnsiTheme="minorHAnsi" w:cstheme="minorHAnsi"/>
          <w:b/>
          <w:bCs/>
          <w:sz w:val="24"/>
          <w:szCs w:val="24"/>
        </w:rPr>
        <w:t xml:space="preserve">Departamento </w:t>
      </w:r>
      <w:r w:rsidR="0014777B" w:rsidRPr="00AA40E0">
        <w:rPr>
          <w:rFonts w:asciiTheme="minorHAnsi" w:hAnsiTheme="minorHAnsi" w:cstheme="minorHAnsi"/>
          <w:b/>
          <w:bCs/>
          <w:sz w:val="24"/>
          <w:szCs w:val="24"/>
        </w:rPr>
        <w:t>Requisitante</w:t>
      </w:r>
      <w:r w:rsidR="00121266" w:rsidRPr="00AA40E0">
        <w:rPr>
          <w:rFonts w:asciiTheme="minorHAnsi" w:hAnsiTheme="minorHAnsi" w:cstheme="minorHAnsi"/>
          <w:b/>
          <w:bCs/>
          <w:sz w:val="24"/>
          <w:szCs w:val="24"/>
        </w:rPr>
        <w:t>:</w:t>
      </w:r>
      <w:r w:rsidR="00FA6FAD">
        <w:rPr>
          <w:rFonts w:asciiTheme="minorHAnsi" w:hAnsiTheme="minorHAnsi" w:cstheme="minorHAnsi"/>
          <w:b/>
          <w:bCs/>
          <w:sz w:val="24"/>
          <w:szCs w:val="24"/>
        </w:rPr>
        <w:t xml:space="preserve"> ITAPEVIPREV</w:t>
      </w:r>
    </w:p>
    <w:bookmarkEnd w:id="0"/>
    <w:p w14:paraId="48F2F78F" w14:textId="113090AB" w:rsidR="0014777B" w:rsidRPr="00AA40E0" w:rsidRDefault="0014777B" w:rsidP="00AA40E0">
      <w:pPr>
        <w:shd w:val="clear" w:color="auto" w:fill="B4C6E7" w:themeFill="accent5" w:themeFillTint="66"/>
        <w:spacing w:after="120" w:line="240" w:lineRule="auto"/>
        <w:jc w:val="both"/>
        <w:rPr>
          <w:rFonts w:asciiTheme="minorHAnsi" w:hAnsiTheme="minorHAnsi" w:cstheme="minorHAnsi"/>
          <w:b/>
          <w:sz w:val="24"/>
          <w:szCs w:val="24"/>
        </w:rPr>
      </w:pPr>
      <w:r w:rsidRPr="00AA40E0">
        <w:rPr>
          <w:rFonts w:asciiTheme="minorHAnsi" w:hAnsiTheme="minorHAnsi" w:cstheme="minorHAnsi"/>
          <w:b/>
          <w:sz w:val="24"/>
          <w:szCs w:val="24"/>
        </w:rPr>
        <w:t>2 – DIAGNÓSTICO DA SITUAÇÃO ATUAL</w:t>
      </w:r>
    </w:p>
    <w:p w14:paraId="49E76F12" w14:textId="5993306B" w:rsidR="00887915" w:rsidRPr="00AA40E0" w:rsidRDefault="000E6CCA" w:rsidP="00AA40E0">
      <w:pPr>
        <w:pBdr>
          <w:top w:val="nil"/>
          <w:left w:val="nil"/>
          <w:bottom w:val="nil"/>
          <w:right w:val="nil"/>
          <w:between w:val="nil"/>
        </w:pBdr>
        <w:suppressAutoHyphens w:val="0"/>
        <w:spacing w:after="120" w:line="240" w:lineRule="auto"/>
        <w:jc w:val="both"/>
        <w:rPr>
          <w:rFonts w:asciiTheme="minorHAnsi" w:hAnsiTheme="minorHAnsi" w:cstheme="minorHAnsi"/>
          <w:b/>
          <w:bCs/>
          <w:sz w:val="24"/>
          <w:szCs w:val="24"/>
        </w:rPr>
      </w:pPr>
      <w:r w:rsidRPr="00AA40E0">
        <w:rPr>
          <w:rFonts w:asciiTheme="minorHAnsi" w:hAnsiTheme="minorHAnsi" w:cstheme="minorHAnsi"/>
          <w:b/>
          <w:bCs/>
          <w:sz w:val="24"/>
          <w:szCs w:val="24"/>
        </w:rPr>
        <w:t xml:space="preserve">2.1. </w:t>
      </w:r>
      <w:r w:rsidR="00887915" w:rsidRPr="00AA40E0">
        <w:rPr>
          <w:rFonts w:asciiTheme="minorHAnsi" w:hAnsiTheme="minorHAnsi" w:cstheme="minorHAnsi"/>
          <w:b/>
          <w:bCs/>
          <w:sz w:val="24"/>
          <w:szCs w:val="24"/>
        </w:rPr>
        <w:t>Descrição da necessidade da contratação</w:t>
      </w:r>
      <w:r w:rsidR="00720A81" w:rsidRPr="00AA40E0">
        <w:rPr>
          <w:rFonts w:asciiTheme="minorHAnsi" w:hAnsiTheme="minorHAnsi" w:cstheme="minorHAnsi"/>
          <w:b/>
          <w:bCs/>
          <w:sz w:val="24"/>
          <w:szCs w:val="24"/>
        </w:rPr>
        <w:t xml:space="preserve"> </w:t>
      </w:r>
    </w:p>
    <w:p w14:paraId="6D19CAEF" w14:textId="318836E4" w:rsidR="000B4FD3" w:rsidRDefault="00995A68" w:rsidP="000B4FD3">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995A68">
        <w:rPr>
          <w:rFonts w:asciiTheme="minorHAnsi" w:hAnsiTheme="minorHAnsi" w:cstheme="minorHAnsi"/>
          <w:sz w:val="24"/>
          <w:szCs w:val="24"/>
        </w:rPr>
        <w:t xml:space="preserve">Atualmente, o Fundo de Previdência do Município de Itapevi </w:t>
      </w:r>
      <w:r>
        <w:rPr>
          <w:rFonts w:asciiTheme="minorHAnsi" w:hAnsiTheme="minorHAnsi" w:cstheme="minorHAnsi"/>
          <w:sz w:val="24"/>
          <w:szCs w:val="24"/>
        </w:rPr>
        <w:t>-</w:t>
      </w:r>
      <w:r w:rsidRPr="00995A68">
        <w:rPr>
          <w:rFonts w:asciiTheme="minorHAnsi" w:hAnsiTheme="minorHAnsi" w:cstheme="minorHAnsi"/>
          <w:sz w:val="24"/>
          <w:szCs w:val="24"/>
        </w:rPr>
        <w:t xml:space="preserve"> ITAPEVIPREV necessita de suporte técnico especializado para acompanhamento e assessoramento das atividades relacionadas à gestão dos investimentos do Regime Próprio de Previdência Social </w:t>
      </w:r>
      <w:r>
        <w:rPr>
          <w:rFonts w:asciiTheme="minorHAnsi" w:hAnsiTheme="minorHAnsi" w:cstheme="minorHAnsi"/>
          <w:sz w:val="24"/>
          <w:szCs w:val="24"/>
        </w:rPr>
        <w:t>(</w:t>
      </w:r>
      <w:r w:rsidRPr="00995A68">
        <w:rPr>
          <w:rFonts w:asciiTheme="minorHAnsi" w:hAnsiTheme="minorHAnsi" w:cstheme="minorHAnsi"/>
          <w:sz w:val="24"/>
          <w:szCs w:val="24"/>
        </w:rPr>
        <w:t>RPPS</w:t>
      </w:r>
      <w:r>
        <w:rPr>
          <w:rFonts w:asciiTheme="minorHAnsi" w:hAnsiTheme="minorHAnsi" w:cstheme="minorHAnsi"/>
          <w:sz w:val="24"/>
          <w:szCs w:val="24"/>
        </w:rPr>
        <w:t>)</w:t>
      </w:r>
      <w:r w:rsidRPr="00995A68">
        <w:rPr>
          <w:rFonts w:asciiTheme="minorHAnsi" w:hAnsiTheme="minorHAnsi" w:cstheme="minorHAnsi"/>
          <w:sz w:val="24"/>
          <w:szCs w:val="24"/>
        </w:rPr>
        <w:t xml:space="preserve">, considerando a complexidade das normas aplicáveis ao setor, a constante atualização da legislação previdenciária e financeira, bem como as exigências dos órgãos reguladores e fiscalizadores. A gestão dos recursos previdenciários demanda conhecimento técnico específico para análise da carteira de investimentos, elaboração de estudos estratégicos, acompanhamento de riscos, credenciamento de instituições financeiras, elaboração e apoio no envio de demonstrativos obrigatórios junto aos sistemas oficiais e suporte técnico para tomada de decisões relacionadas à política de investimentos do RPPS. Além disso, o ITAPEVIPREV possui a necessidade de manutenção das práticas de governança e controles internos relacionados ao Pró-Gestão RPPS nível IV, exigindo acompanhamento técnico contínuo e especializado para preservação dos padrões de qualidade, conformidade e eficiência administrativa já implementados </w:t>
      </w:r>
      <w:r>
        <w:rPr>
          <w:rFonts w:asciiTheme="minorHAnsi" w:hAnsiTheme="minorHAnsi" w:cstheme="minorHAnsi"/>
          <w:sz w:val="24"/>
          <w:szCs w:val="24"/>
        </w:rPr>
        <w:t>no ITAPEVIPREV</w:t>
      </w:r>
      <w:r w:rsidRPr="00995A68">
        <w:rPr>
          <w:rFonts w:asciiTheme="minorHAnsi" w:hAnsiTheme="minorHAnsi" w:cstheme="minorHAnsi"/>
          <w:sz w:val="24"/>
          <w:szCs w:val="24"/>
        </w:rPr>
        <w:t>. Nesse contexto, a contratação de empresa especializada mostra-se indispensável para garantir segurança técnica, continuidade dos serviços, eficiência operacional, apoio estratégico aos gestores e conformidade com as exigências legais e normativas aplicáveis aos investimentos dos RPPS.</w:t>
      </w:r>
    </w:p>
    <w:p w14:paraId="13DFA183" w14:textId="77777777" w:rsidR="00995A68" w:rsidRPr="000B4FD3" w:rsidRDefault="00995A68" w:rsidP="000B4FD3">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p>
    <w:p w14:paraId="57D8289B" w14:textId="4574B4CE" w:rsidR="00121266" w:rsidRDefault="00121266" w:rsidP="00AA40E0">
      <w:pPr>
        <w:pStyle w:val="PargrafodaLista"/>
        <w:numPr>
          <w:ilvl w:val="1"/>
          <w:numId w:val="36"/>
        </w:numPr>
        <w:pBdr>
          <w:top w:val="nil"/>
          <w:left w:val="nil"/>
          <w:bottom w:val="nil"/>
          <w:right w:val="nil"/>
          <w:between w:val="nil"/>
        </w:pBdr>
        <w:suppressAutoHyphens w:val="0"/>
        <w:spacing w:after="120" w:line="240" w:lineRule="auto"/>
        <w:jc w:val="both"/>
        <w:rPr>
          <w:rFonts w:asciiTheme="minorHAnsi" w:hAnsiTheme="minorHAnsi" w:cstheme="minorHAnsi"/>
          <w:b/>
          <w:bCs/>
          <w:sz w:val="24"/>
          <w:szCs w:val="24"/>
        </w:rPr>
      </w:pPr>
      <w:r w:rsidRPr="00AA40E0">
        <w:rPr>
          <w:rFonts w:asciiTheme="minorHAnsi" w:hAnsiTheme="minorHAnsi" w:cstheme="minorHAnsi"/>
          <w:b/>
          <w:bCs/>
          <w:sz w:val="24"/>
          <w:szCs w:val="24"/>
        </w:rPr>
        <w:t xml:space="preserve">Alinhamento entre a contratação e o planejamento da </w:t>
      </w:r>
      <w:r w:rsidR="009C568A" w:rsidRPr="00AA40E0">
        <w:rPr>
          <w:rFonts w:asciiTheme="minorHAnsi" w:hAnsiTheme="minorHAnsi" w:cstheme="minorHAnsi"/>
          <w:b/>
          <w:bCs/>
          <w:sz w:val="24"/>
          <w:szCs w:val="24"/>
        </w:rPr>
        <w:t>Administração</w:t>
      </w:r>
    </w:p>
    <w:p w14:paraId="2DDF6296" w14:textId="5C797706" w:rsidR="00EB31AA" w:rsidRDefault="00EB31AA" w:rsidP="00EB31AA">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EB31AA">
        <w:rPr>
          <w:rFonts w:asciiTheme="minorHAnsi" w:hAnsiTheme="minorHAnsi" w:cstheme="minorHAnsi"/>
          <w:sz w:val="24"/>
          <w:szCs w:val="24"/>
        </w:rPr>
        <w:t xml:space="preserve">Informa-se que a presente contratação encontra-se devidamente prevista no Plano de Contratações Anual – PCA do exercício de </w:t>
      </w:r>
      <w:r w:rsidR="007649C8">
        <w:rPr>
          <w:rFonts w:asciiTheme="minorHAnsi" w:hAnsiTheme="minorHAnsi" w:cstheme="minorHAnsi"/>
          <w:sz w:val="24"/>
          <w:szCs w:val="24"/>
        </w:rPr>
        <w:t>2026</w:t>
      </w:r>
      <w:r w:rsidR="00834731">
        <w:rPr>
          <w:rFonts w:asciiTheme="minorHAnsi" w:hAnsiTheme="minorHAnsi" w:cstheme="minorHAnsi"/>
          <w:sz w:val="24"/>
          <w:szCs w:val="24"/>
        </w:rPr>
        <w:t xml:space="preserve"> (link: </w:t>
      </w:r>
      <w:hyperlink r:id="rId8" w:history="1">
        <w:r w:rsidR="00834731" w:rsidRPr="006013C6">
          <w:rPr>
            <w:rStyle w:val="Hyperlink"/>
            <w:rFonts w:asciiTheme="minorHAnsi" w:hAnsiTheme="minorHAnsi" w:cstheme="minorHAnsi"/>
            <w:sz w:val="24"/>
            <w:szCs w:val="24"/>
          </w:rPr>
          <w:t>https://pncp.gov.br/app/pca/46523031000128/2026/2</w:t>
        </w:r>
      </w:hyperlink>
      <w:r w:rsidR="00834731">
        <w:rPr>
          <w:rFonts w:asciiTheme="minorHAnsi" w:hAnsiTheme="minorHAnsi" w:cstheme="minorHAnsi"/>
          <w:sz w:val="24"/>
          <w:szCs w:val="24"/>
        </w:rPr>
        <w:t xml:space="preserve"> ) Id do Item no PCA </w:t>
      </w:r>
      <w:r w:rsidR="00F87F6F" w:rsidRPr="00F87F6F">
        <w:rPr>
          <w:rFonts w:asciiTheme="minorHAnsi" w:hAnsiTheme="minorHAnsi" w:cstheme="minorHAnsi"/>
          <w:sz w:val="24"/>
          <w:szCs w:val="24"/>
        </w:rPr>
        <w:t>1295</w:t>
      </w:r>
      <w:r w:rsidRPr="00EB31AA">
        <w:rPr>
          <w:rFonts w:asciiTheme="minorHAnsi" w:hAnsiTheme="minorHAnsi" w:cstheme="minorHAnsi"/>
          <w:sz w:val="24"/>
          <w:szCs w:val="24"/>
        </w:rPr>
        <w:t xml:space="preserve">, em conformidade com as diretrizes de planejamento e gestão orçamentária do Itapeviprev. Ressalta-se que o referido serviço vem sendo regularmente prestado </w:t>
      </w:r>
      <w:r w:rsidR="00F87F6F">
        <w:rPr>
          <w:rFonts w:asciiTheme="minorHAnsi" w:hAnsiTheme="minorHAnsi" w:cstheme="minorHAnsi"/>
          <w:sz w:val="24"/>
          <w:szCs w:val="24"/>
        </w:rPr>
        <w:t>ao ItapeviPrev</w:t>
      </w:r>
      <w:r w:rsidRPr="00EB31AA">
        <w:rPr>
          <w:rFonts w:asciiTheme="minorHAnsi" w:hAnsiTheme="minorHAnsi" w:cstheme="minorHAnsi"/>
          <w:sz w:val="24"/>
          <w:szCs w:val="24"/>
        </w:rPr>
        <w:t>, demonstrando sua relevância e caráter contínuo para o pleno funcionamento das atividades institucionais. Dessa forma, a previsão no PCA reforça a necessidade e a regularidade da contratação, observando os princípios da eficiência, economicidade e continuidade do serviço público.</w:t>
      </w:r>
    </w:p>
    <w:p w14:paraId="0BC2B51C" w14:textId="77777777" w:rsidR="00F87F6F" w:rsidRPr="00EB31AA" w:rsidRDefault="00F87F6F" w:rsidP="00EB31AA">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p>
    <w:p w14:paraId="4AFBAD2D" w14:textId="50368184" w:rsidR="00695A87" w:rsidRPr="00AA40E0" w:rsidRDefault="00121266" w:rsidP="00AA40E0">
      <w:pPr>
        <w:pStyle w:val="PargrafodaLista"/>
        <w:numPr>
          <w:ilvl w:val="1"/>
          <w:numId w:val="36"/>
        </w:numPr>
        <w:pBdr>
          <w:top w:val="nil"/>
          <w:left w:val="nil"/>
          <w:bottom w:val="nil"/>
          <w:right w:val="nil"/>
          <w:between w:val="nil"/>
        </w:pBdr>
        <w:suppressAutoHyphens w:val="0"/>
        <w:spacing w:after="120" w:line="240" w:lineRule="auto"/>
        <w:jc w:val="both"/>
        <w:rPr>
          <w:rFonts w:asciiTheme="minorHAnsi" w:hAnsiTheme="minorHAnsi" w:cstheme="minorHAnsi"/>
          <w:b/>
          <w:bCs/>
          <w:sz w:val="24"/>
          <w:szCs w:val="24"/>
        </w:rPr>
      </w:pPr>
      <w:r w:rsidRPr="00AA40E0">
        <w:rPr>
          <w:rFonts w:asciiTheme="minorHAnsi" w:hAnsiTheme="minorHAnsi" w:cstheme="minorHAnsi"/>
          <w:b/>
          <w:bCs/>
          <w:sz w:val="24"/>
          <w:szCs w:val="24"/>
        </w:rPr>
        <w:t>Descrição dos requisitos</w:t>
      </w:r>
      <w:bookmarkStart w:id="1" w:name="_Hlk160616681"/>
      <w:bookmarkStart w:id="2" w:name="_Hlk160609900"/>
      <w:r w:rsidR="006C5F9A">
        <w:rPr>
          <w:rFonts w:asciiTheme="minorHAnsi" w:hAnsiTheme="minorHAnsi" w:cstheme="minorHAnsi"/>
          <w:b/>
          <w:bCs/>
          <w:sz w:val="24"/>
          <w:szCs w:val="24"/>
        </w:rPr>
        <w:t xml:space="preserve"> da futura contratada</w:t>
      </w:r>
    </w:p>
    <w:p w14:paraId="02A7C440" w14:textId="674830A9" w:rsidR="006A66AB" w:rsidRDefault="006C5F9A" w:rsidP="00AA40E0">
      <w:pPr>
        <w:spacing w:after="120"/>
        <w:jc w:val="both"/>
        <w:rPr>
          <w:rFonts w:asciiTheme="minorHAnsi" w:hAnsiTheme="minorHAnsi" w:cstheme="minorHAnsi"/>
          <w:sz w:val="24"/>
          <w:szCs w:val="24"/>
          <w:shd w:val="clear" w:color="auto" w:fill="FFFFFF"/>
        </w:rPr>
      </w:pPr>
      <w:r w:rsidRPr="006C5F9A">
        <w:rPr>
          <w:rFonts w:asciiTheme="minorHAnsi" w:hAnsiTheme="minorHAnsi" w:cstheme="minorHAnsi"/>
          <w:sz w:val="24"/>
          <w:szCs w:val="24"/>
          <w:shd w:val="clear" w:color="auto" w:fill="FFFFFF"/>
        </w:rPr>
        <w:t>A empresa a ser contratada deverá possuir comprovada experiência na prestação de serviços especializados de consultoria em investimentos voltados aos</w:t>
      </w:r>
      <w:r>
        <w:rPr>
          <w:rFonts w:asciiTheme="minorHAnsi" w:hAnsiTheme="minorHAnsi" w:cstheme="minorHAnsi"/>
          <w:sz w:val="24"/>
          <w:szCs w:val="24"/>
          <w:shd w:val="clear" w:color="auto" w:fill="FFFFFF"/>
        </w:rPr>
        <w:t xml:space="preserve"> </w:t>
      </w:r>
      <w:r w:rsidRPr="006C5F9A">
        <w:rPr>
          <w:rFonts w:asciiTheme="minorHAnsi" w:hAnsiTheme="minorHAnsi" w:cstheme="minorHAnsi"/>
          <w:sz w:val="24"/>
          <w:szCs w:val="24"/>
          <w:shd w:val="clear" w:color="auto" w:fill="FFFFFF"/>
        </w:rPr>
        <w:t xml:space="preserve">RPPS, demonstrando conhecimento técnico compatível com as exigências legais, normativas e </w:t>
      </w:r>
      <w:r w:rsidRPr="006C5F9A">
        <w:rPr>
          <w:rFonts w:asciiTheme="minorHAnsi" w:hAnsiTheme="minorHAnsi" w:cstheme="minorHAnsi"/>
          <w:sz w:val="24"/>
          <w:szCs w:val="24"/>
          <w:shd w:val="clear" w:color="auto" w:fill="FFFFFF"/>
        </w:rPr>
        <w:lastRenderedPageBreak/>
        <w:t>operacionais aplicáveis à gestão dos recursos previdenciários. Deverá disponibilizar equipe técnica qualificada para assessoramento em análise e acompanhamento da carteira de investimentos, elaboração de estudos técnicos, orientação estratégica para tomada de decisões, apoio no credenciamento de instituições financeiras, suporte às obrigações relacionadas aos demonstrativos e sistemas oficiais vinculados à Secretaria de Previdência, além de apoio técnico especializado para manutenção das práticas de governança e do Pró-Gestão RPPS nível IV. A futura contratada deverá possuir estrutura operacional e tecnológica compatível com a execução dos serviços, incluindo ferramentas de apoio à gestão dos investimentos e emissão de relatórios técnicos, garantindo eficiência, segurança das informações e continuidade dos atendimentos. Também deverá comprovar regularidade jurídica, fiscal e trabalhista, bem como aptidão técnica mediante apresentação de documentos e atestados compatíveis com o objeto da contratação, demonstrando capacidade para execução dos serviços de forma contínua, especializada e alinhada às necessidades do ITAPEVIPREV.</w:t>
      </w:r>
    </w:p>
    <w:p w14:paraId="1EEA857A" w14:textId="77777777" w:rsidR="006C5F9A" w:rsidRPr="00AA40E0" w:rsidRDefault="006C5F9A" w:rsidP="00AA40E0">
      <w:pPr>
        <w:spacing w:after="120"/>
        <w:jc w:val="both"/>
        <w:rPr>
          <w:rFonts w:asciiTheme="minorHAnsi" w:hAnsiTheme="minorHAnsi" w:cstheme="minorHAnsi"/>
          <w:sz w:val="24"/>
          <w:szCs w:val="24"/>
          <w:shd w:val="clear" w:color="auto" w:fill="FFFFFF"/>
        </w:rPr>
      </w:pPr>
    </w:p>
    <w:p w14:paraId="69C6EC19" w14:textId="209A548A" w:rsidR="006049CA" w:rsidRPr="00AA40E0" w:rsidRDefault="00DF53ED" w:rsidP="00AA40E0">
      <w:pPr>
        <w:pStyle w:val="PargrafodaLista"/>
        <w:numPr>
          <w:ilvl w:val="2"/>
          <w:numId w:val="36"/>
        </w:numPr>
        <w:spacing w:after="120"/>
        <w:jc w:val="both"/>
        <w:rPr>
          <w:rFonts w:asciiTheme="minorHAnsi" w:hAnsiTheme="minorHAnsi" w:cstheme="minorHAnsi"/>
          <w:b/>
          <w:bCs/>
          <w:sz w:val="24"/>
          <w:szCs w:val="24"/>
          <w:shd w:val="clear" w:color="auto" w:fill="FFFFFF"/>
        </w:rPr>
      </w:pPr>
      <w:r w:rsidRPr="00AA40E0">
        <w:rPr>
          <w:rFonts w:asciiTheme="minorHAnsi" w:hAnsiTheme="minorHAnsi" w:cstheme="minorHAnsi"/>
          <w:b/>
          <w:bCs/>
          <w:sz w:val="24"/>
          <w:szCs w:val="24"/>
          <w:shd w:val="clear" w:color="auto" w:fill="FFFFFF"/>
        </w:rPr>
        <w:t>Requisitos específicos</w:t>
      </w:r>
    </w:p>
    <w:p w14:paraId="1817464F" w14:textId="4C7FBBCA" w:rsidR="003359B3" w:rsidRDefault="006C5F9A" w:rsidP="00AA40E0">
      <w:pPr>
        <w:spacing w:after="120"/>
        <w:jc w:val="both"/>
        <w:rPr>
          <w:rFonts w:asciiTheme="minorHAnsi" w:hAnsiTheme="minorHAnsi" w:cstheme="minorHAnsi"/>
          <w:sz w:val="24"/>
          <w:szCs w:val="24"/>
          <w:shd w:val="clear" w:color="auto" w:fill="FFFFFF"/>
        </w:rPr>
      </w:pPr>
      <w:r w:rsidRPr="006C5F9A">
        <w:rPr>
          <w:rFonts w:asciiTheme="minorHAnsi" w:hAnsiTheme="minorHAnsi" w:cstheme="minorHAnsi"/>
          <w:sz w:val="24"/>
          <w:szCs w:val="24"/>
          <w:shd w:val="clear" w:color="auto" w:fill="FFFFFF"/>
        </w:rPr>
        <w:t xml:space="preserve">A seguir, os principais requisitos necessários para a adequada execução dos serviços pretendidos, considerando as exigências técnicas, operacionais e normativas relacionadas à consultoria em investimentos e gestão de ativos financeiros para RPPS. A futura contratada deverá possuir experiência comprovada na prestação de serviços similares ao objeto da contratação, demonstrando aptidão técnica para assessoramento em investimentos, acompanhamento de carteira, elaboração de estudos técnicos, apoio às obrigações regulatórias e suporte ao Pró-Gestão RPPS nível IV. Deverá ainda disponibilizar equipe técnica qualificada e estrutura operacional compatível com a complexidade dos serviços, incluindo ferramentas tecnológicas de apoio à gestão dos investimentos, emissão de relatórios e acompanhamento das informações necessárias à execução contratual, garantindo eficiência, segurança das informações, continuidade dos serviços e conformidade com as normas aplicáveis </w:t>
      </w:r>
      <w:r>
        <w:rPr>
          <w:rFonts w:asciiTheme="minorHAnsi" w:hAnsiTheme="minorHAnsi" w:cstheme="minorHAnsi"/>
          <w:sz w:val="24"/>
          <w:szCs w:val="24"/>
          <w:shd w:val="clear" w:color="auto" w:fill="FFFFFF"/>
        </w:rPr>
        <w:t>a</w:t>
      </w:r>
      <w:r w:rsidRPr="006C5F9A">
        <w:rPr>
          <w:rFonts w:asciiTheme="minorHAnsi" w:hAnsiTheme="minorHAnsi" w:cstheme="minorHAnsi"/>
          <w:sz w:val="24"/>
          <w:szCs w:val="24"/>
          <w:shd w:val="clear" w:color="auto" w:fill="FFFFFF"/>
        </w:rPr>
        <w:t xml:space="preserve"> RPPS</w:t>
      </w:r>
      <w:r w:rsidR="003359B3" w:rsidRPr="00AA40E0">
        <w:rPr>
          <w:rFonts w:asciiTheme="minorHAnsi" w:hAnsiTheme="minorHAnsi" w:cstheme="minorHAnsi"/>
          <w:sz w:val="24"/>
          <w:szCs w:val="24"/>
          <w:shd w:val="clear" w:color="auto" w:fill="FFFFFF"/>
        </w:rPr>
        <w:t>.</w:t>
      </w:r>
    </w:p>
    <w:p w14:paraId="44DD396B" w14:textId="77777777" w:rsidR="006C5F9A" w:rsidRPr="00AA40E0" w:rsidRDefault="006C5F9A" w:rsidP="00AA40E0">
      <w:pPr>
        <w:spacing w:after="120"/>
        <w:jc w:val="both"/>
        <w:rPr>
          <w:rFonts w:asciiTheme="minorHAnsi" w:hAnsiTheme="minorHAnsi" w:cstheme="minorHAnsi"/>
          <w:sz w:val="24"/>
          <w:szCs w:val="24"/>
          <w:shd w:val="clear" w:color="auto" w:fill="FFFFFF"/>
        </w:rPr>
      </w:pPr>
    </w:p>
    <w:p w14:paraId="1446FD70" w14:textId="4268E3D3" w:rsidR="00067A2E" w:rsidRPr="00AA40E0" w:rsidRDefault="00261E83" w:rsidP="00AA40E0">
      <w:pPr>
        <w:shd w:val="clear" w:color="auto" w:fill="B4C6E7" w:themeFill="accent5" w:themeFillTint="66"/>
        <w:spacing w:after="120" w:line="240" w:lineRule="auto"/>
        <w:jc w:val="both"/>
        <w:rPr>
          <w:rFonts w:asciiTheme="minorHAnsi" w:hAnsiTheme="minorHAnsi" w:cstheme="minorHAnsi"/>
          <w:b/>
          <w:sz w:val="24"/>
          <w:szCs w:val="24"/>
        </w:rPr>
      </w:pPr>
      <w:r w:rsidRPr="00AA40E0">
        <w:rPr>
          <w:rFonts w:asciiTheme="minorHAnsi" w:hAnsiTheme="minorHAnsi" w:cstheme="minorHAnsi"/>
          <w:b/>
          <w:sz w:val="24"/>
          <w:szCs w:val="24"/>
        </w:rPr>
        <w:t xml:space="preserve">3. </w:t>
      </w:r>
      <w:r w:rsidR="00067A2E" w:rsidRPr="00AA40E0">
        <w:rPr>
          <w:rFonts w:asciiTheme="minorHAnsi" w:hAnsiTheme="minorHAnsi" w:cstheme="minorHAnsi"/>
          <w:b/>
          <w:sz w:val="24"/>
          <w:szCs w:val="24"/>
        </w:rPr>
        <w:t>PROSPECÇÃO DE SOLUÇÕES</w:t>
      </w:r>
    </w:p>
    <w:bookmarkEnd w:id="1"/>
    <w:p w14:paraId="033EBEB7" w14:textId="19271FF7" w:rsidR="00422113" w:rsidRPr="00AA40E0" w:rsidRDefault="00261E83"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hAnsiTheme="minorHAnsi" w:cstheme="minorHAnsi"/>
          <w:b/>
          <w:bCs/>
          <w:sz w:val="24"/>
          <w:szCs w:val="24"/>
        </w:rPr>
      </w:pPr>
      <w:r w:rsidRPr="00AA40E0">
        <w:rPr>
          <w:rFonts w:asciiTheme="minorHAnsi" w:hAnsiTheme="minorHAnsi" w:cstheme="minorHAnsi"/>
          <w:b/>
          <w:bCs/>
          <w:sz w:val="24"/>
          <w:szCs w:val="24"/>
        </w:rPr>
        <w:t xml:space="preserve">3.1. </w:t>
      </w:r>
      <w:r w:rsidR="006D7928" w:rsidRPr="00AA40E0">
        <w:rPr>
          <w:rFonts w:asciiTheme="minorHAnsi" w:hAnsiTheme="minorHAnsi" w:cstheme="minorHAnsi"/>
          <w:b/>
          <w:bCs/>
          <w:sz w:val="24"/>
          <w:szCs w:val="24"/>
        </w:rPr>
        <w:t>Levantamento de Mercado</w:t>
      </w:r>
    </w:p>
    <w:p w14:paraId="05E3FB66" w14:textId="4CEA0159" w:rsidR="006C5F9A" w:rsidRDefault="006C5F9A" w:rsidP="00AA40E0">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6C5F9A">
        <w:rPr>
          <w:rFonts w:asciiTheme="minorHAnsi" w:hAnsiTheme="minorHAnsi" w:cstheme="minorHAnsi"/>
          <w:sz w:val="24"/>
          <w:szCs w:val="24"/>
        </w:rPr>
        <w:t xml:space="preserve">Após estudos e análises detalhadas das soluções disponíveis no mercado para atendimento das necessidades do ITAPEVIPREV relacionadas à gestão dos investimentos do RPPS, considerando os requisitos técnicos, operacionais e regulatórios envolvidos, foram avaliadas alternativas capazes de atender às demandas </w:t>
      </w:r>
      <w:r>
        <w:rPr>
          <w:rFonts w:asciiTheme="minorHAnsi" w:hAnsiTheme="minorHAnsi" w:cstheme="minorHAnsi"/>
          <w:sz w:val="24"/>
          <w:szCs w:val="24"/>
        </w:rPr>
        <w:t xml:space="preserve">do ItapeviPrev </w:t>
      </w:r>
      <w:r w:rsidRPr="006C5F9A">
        <w:rPr>
          <w:rFonts w:asciiTheme="minorHAnsi" w:hAnsiTheme="minorHAnsi" w:cstheme="minorHAnsi"/>
          <w:sz w:val="24"/>
          <w:szCs w:val="24"/>
        </w:rPr>
        <w:t xml:space="preserve">quanto ao acompanhamento da carteira de investimentos, suporte técnico especializado, elaboração de estudos estratégicos, apoio às obrigações junto aos órgãos reguladores e manutenção </w:t>
      </w:r>
      <w:r w:rsidRPr="006C5F9A">
        <w:rPr>
          <w:rFonts w:asciiTheme="minorHAnsi" w:hAnsiTheme="minorHAnsi" w:cstheme="minorHAnsi"/>
          <w:sz w:val="24"/>
          <w:szCs w:val="24"/>
        </w:rPr>
        <w:lastRenderedPageBreak/>
        <w:t>das práticas de governança relacionadas ao Pró-Gestão RPPS nível IV. Entre as possibilidades analisadas, verificou-se a alternativa de execução parcial das atividades por servidores internos, a contratação fracionada de diferentes empresas para execução dos serviços especializados e a contratação de empresa especializada para prestação integrada dos serviços. Contudo, observou-se que a execução interna mostra-se limitada diante da complexidade técnica das atividades e da necessidade de conhecimento especializado contínuo sobre investimentos, mercado financeiro, normas previdenciárias e governança do RPPS. Também se verificou que o fracionamento dos serviços poderia comprometer a integração das atividades, a padronização das informações, a eficiência operacional e a uniformidade das orientações técnicas prestadas ao ITAPEVIPREV. Dessa forma, concluiu-se que a contratação de empresa especializada para prestação integrada dos serviços representa a solução mais adequada, considerando a necessidade de suporte técnico contínuo, especialização profissional, acompanhamento estratégico dos investimentos e fortalecimento da governança previdenciária d</w:t>
      </w:r>
      <w:r>
        <w:rPr>
          <w:rFonts w:asciiTheme="minorHAnsi" w:hAnsiTheme="minorHAnsi" w:cstheme="minorHAnsi"/>
          <w:sz w:val="24"/>
          <w:szCs w:val="24"/>
        </w:rPr>
        <w:t>o ITAPEVIPREV</w:t>
      </w:r>
      <w:r w:rsidRPr="006C5F9A">
        <w:rPr>
          <w:rFonts w:asciiTheme="minorHAnsi" w:hAnsiTheme="minorHAnsi" w:cstheme="minorHAnsi"/>
          <w:sz w:val="24"/>
          <w:szCs w:val="24"/>
        </w:rPr>
        <w:t>.</w:t>
      </w:r>
    </w:p>
    <w:p w14:paraId="468DEA10" w14:textId="77777777" w:rsidR="006C5F9A" w:rsidRPr="00AA40E0" w:rsidRDefault="006C5F9A" w:rsidP="00AA40E0">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p>
    <w:p w14:paraId="34BDBA2B" w14:textId="043C0067" w:rsidR="00422113" w:rsidRPr="00422113" w:rsidRDefault="00422113" w:rsidP="00AA40E0">
      <w:pPr>
        <w:spacing w:after="120" w:line="240" w:lineRule="auto"/>
        <w:jc w:val="both"/>
        <w:rPr>
          <w:rFonts w:asciiTheme="minorHAnsi" w:hAnsiTheme="minorHAnsi" w:cstheme="minorHAnsi"/>
          <w:b/>
          <w:bCs/>
          <w:sz w:val="24"/>
          <w:szCs w:val="24"/>
          <w:shd w:val="clear" w:color="auto" w:fill="FFFFFF"/>
        </w:rPr>
      </w:pPr>
      <w:r w:rsidRPr="00422113">
        <w:rPr>
          <w:rFonts w:asciiTheme="minorHAnsi" w:hAnsiTheme="minorHAnsi" w:cstheme="minorHAnsi"/>
          <w:b/>
          <w:bCs/>
          <w:sz w:val="24"/>
          <w:szCs w:val="24"/>
          <w:shd w:val="clear" w:color="auto" w:fill="FFFFFF"/>
        </w:rPr>
        <w:t xml:space="preserve">3.2. Descrição da solução </w:t>
      </w:r>
    </w:p>
    <w:p w14:paraId="7894168D" w14:textId="0937DB8E" w:rsidR="00DF5374" w:rsidRDefault="006C5F9A" w:rsidP="00AA40E0">
      <w:pPr>
        <w:spacing w:after="120" w:line="240" w:lineRule="auto"/>
        <w:jc w:val="both"/>
        <w:rPr>
          <w:rFonts w:asciiTheme="minorHAnsi" w:hAnsiTheme="minorHAnsi" w:cstheme="minorHAnsi"/>
          <w:sz w:val="24"/>
          <w:szCs w:val="24"/>
          <w:shd w:val="clear" w:color="auto" w:fill="FFFFFF"/>
        </w:rPr>
      </w:pPr>
      <w:r w:rsidRPr="006C5F9A">
        <w:rPr>
          <w:rFonts w:asciiTheme="minorHAnsi" w:hAnsiTheme="minorHAnsi" w:cstheme="minorHAnsi"/>
          <w:sz w:val="24"/>
          <w:szCs w:val="24"/>
          <w:shd w:val="clear" w:color="auto" w:fill="FFFFFF"/>
        </w:rPr>
        <w:t xml:space="preserve">A solução proposta consiste na contratação de empresa especializada para prestação de serviços de consultoria em investimentos e gestão de ativos financeiros voltados ao Regime Próprio de Previdência Social – RPPS, contemplando assessoramento técnico contínuo ao ITAPEVIPREV nas atividades relacionadas ao acompanhamento da carteira de investimentos, análise de riscos, apoio à tomada de decisões estratégicas, elaboração de estudos técnicos, suporte às obrigações regulatórias e atendimento das exigências da Secretaria de Previdência e demais órgãos de controle. A solução também contempla apoio técnico especializado para manutenção das práticas de governança relacionadas ao Pró-Gestão RPPS nível IV, suporte no credenciamento de instituições financeiras, acompanhamento da política de investimentos, elaboração de relatórios técnicos e estudos de Asset Liability Management </w:t>
      </w:r>
      <w:r>
        <w:rPr>
          <w:rFonts w:asciiTheme="minorHAnsi" w:hAnsiTheme="minorHAnsi" w:cstheme="minorHAnsi"/>
          <w:sz w:val="24"/>
          <w:szCs w:val="24"/>
          <w:shd w:val="clear" w:color="auto" w:fill="FFFFFF"/>
        </w:rPr>
        <w:t>(</w:t>
      </w:r>
      <w:r w:rsidRPr="006C5F9A">
        <w:rPr>
          <w:rFonts w:asciiTheme="minorHAnsi" w:hAnsiTheme="minorHAnsi" w:cstheme="minorHAnsi"/>
          <w:sz w:val="24"/>
          <w:szCs w:val="24"/>
          <w:shd w:val="clear" w:color="auto" w:fill="FFFFFF"/>
        </w:rPr>
        <w:t>ALM</w:t>
      </w:r>
      <w:r>
        <w:rPr>
          <w:rFonts w:asciiTheme="minorHAnsi" w:hAnsiTheme="minorHAnsi" w:cstheme="minorHAnsi"/>
          <w:sz w:val="24"/>
          <w:szCs w:val="24"/>
          <w:shd w:val="clear" w:color="auto" w:fill="FFFFFF"/>
        </w:rPr>
        <w:t>)</w:t>
      </w:r>
      <w:r w:rsidRPr="006C5F9A">
        <w:rPr>
          <w:rFonts w:asciiTheme="minorHAnsi" w:hAnsiTheme="minorHAnsi" w:cstheme="minorHAnsi"/>
          <w:sz w:val="24"/>
          <w:szCs w:val="24"/>
          <w:shd w:val="clear" w:color="auto" w:fill="FFFFFF"/>
        </w:rPr>
        <w:t xml:space="preserve">, visando contribuir para o equilíbrio financeiro, a eficiência operacional, a segurança na gestão dos recursos previdenciários e a conformidade com as normas aplicáveis </w:t>
      </w:r>
      <w:r>
        <w:rPr>
          <w:rFonts w:asciiTheme="minorHAnsi" w:hAnsiTheme="minorHAnsi" w:cstheme="minorHAnsi"/>
          <w:sz w:val="24"/>
          <w:szCs w:val="24"/>
          <w:shd w:val="clear" w:color="auto" w:fill="FFFFFF"/>
        </w:rPr>
        <w:t xml:space="preserve">a </w:t>
      </w:r>
      <w:r w:rsidRPr="006C5F9A">
        <w:rPr>
          <w:rFonts w:asciiTheme="minorHAnsi" w:hAnsiTheme="minorHAnsi" w:cstheme="minorHAnsi"/>
          <w:sz w:val="24"/>
          <w:szCs w:val="24"/>
          <w:shd w:val="clear" w:color="auto" w:fill="FFFFFF"/>
        </w:rPr>
        <w:t>RPPS. A contratação integrada dos serviços permite maior alinhamento técnico, continuidade operacional, padronização das informações e suporte especializado contínuo às atividades desenvolvidas pelo ITAPEVIPREV</w:t>
      </w:r>
      <w:r w:rsidR="00DF5374" w:rsidRPr="00AA40E0">
        <w:rPr>
          <w:rFonts w:asciiTheme="minorHAnsi" w:hAnsiTheme="minorHAnsi" w:cstheme="minorHAnsi"/>
          <w:sz w:val="24"/>
          <w:szCs w:val="24"/>
          <w:shd w:val="clear" w:color="auto" w:fill="FFFFFF"/>
        </w:rPr>
        <w:t>.</w:t>
      </w:r>
    </w:p>
    <w:p w14:paraId="4EC2587C" w14:textId="77777777" w:rsidR="006C5F9A" w:rsidRPr="00AA40E0" w:rsidRDefault="006C5F9A" w:rsidP="00AA40E0">
      <w:pPr>
        <w:spacing w:after="120" w:line="240" w:lineRule="auto"/>
        <w:jc w:val="both"/>
        <w:rPr>
          <w:rFonts w:asciiTheme="minorHAnsi" w:hAnsiTheme="minorHAnsi" w:cstheme="minorHAnsi"/>
          <w:sz w:val="24"/>
          <w:szCs w:val="24"/>
          <w:shd w:val="clear" w:color="auto" w:fill="FFFFFF"/>
        </w:rPr>
      </w:pPr>
    </w:p>
    <w:p w14:paraId="1FA7F24F" w14:textId="23E18BF2" w:rsidR="00CB6AD2" w:rsidRPr="00337D1B" w:rsidRDefault="00CB6AD2" w:rsidP="00AA40E0">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bookmarkStart w:id="3" w:name="_Hlk160609908"/>
      <w:bookmarkEnd w:id="2"/>
      <w:r w:rsidRPr="00337D1B">
        <w:rPr>
          <w:rFonts w:asciiTheme="minorHAnsi" w:hAnsiTheme="minorHAnsi" w:cstheme="minorHAnsi"/>
          <w:b/>
          <w:bCs/>
          <w:sz w:val="24"/>
          <w:szCs w:val="24"/>
        </w:rPr>
        <w:t>3.</w:t>
      </w:r>
      <w:r w:rsidR="00422113" w:rsidRPr="00337D1B">
        <w:rPr>
          <w:rFonts w:asciiTheme="minorHAnsi" w:hAnsiTheme="minorHAnsi" w:cstheme="minorHAnsi"/>
          <w:b/>
          <w:bCs/>
          <w:sz w:val="24"/>
          <w:szCs w:val="24"/>
        </w:rPr>
        <w:t>3.</w:t>
      </w:r>
      <w:r w:rsidRPr="00337D1B">
        <w:rPr>
          <w:rFonts w:asciiTheme="minorHAnsi" w:hAnsiTheme="minorHAnsi" w:cstheme="minorHAnsi"/>
          <w:b/>
          <w:bCs/>
          <w:sz w:val="24"/>
          <w:szCs w:val="24"/>
        </w:rPr>
        <w:t xml:space="preserve"> Estimativa dos quantitativos</w:t>
      </w:r>
      <w:r w:rsidR="00275B0E" w:rsidRPr="00337D1B">
        <w:rPr>
          <w:rFonts w:asciiTheme="minorHAnsi" w:hAnsiTheme="minorHAnsi" w:cstheme="minorHAnsi"/>
          <w:b/>
          <w:bCs/>
          <w:sz w:val="24"/>
          <w:szCs w:val="24"/>
        </w:rPr>
        <w:t xml:space="preserve"> </w:t>
      </w:r>
    </w:p>
    <w:p w14:paraId="20431696" w14:textId="39C7F9BE" w:rsidR="008D549D" w:rsidRDefault="006C5F9A" w:rsidP="00AA40E0">
      <w:pPr>
        <w:suppressAutoHyphens w:val="0"/>
        <w:autoSpaceDE w:val="0"/>
        <w:autoSpaceDN w:val="0"/>
        <w:adjustRightInd w:val="0"/>
        <w:spacing w:after="120" w:line="240" w:lineRule="auto"/>
        <w:jc w:val="both"/>
        <w:rPr>
          <w:rFonts w:asciiTheme="minorHAnsi" w:eastAsiaTheme="minorHAnsi" w:hAnsiTheme="minorHAnsi" w:cstheme="minorHAnsi"/>
          <w:sz w:val="24"/>
          <w:szCs w:val="24"/>
          <w:lang w:eastAsia="en-US"/>
        </w:rPr>
      </w:pPr>
      <w:r w:rsidRPr="006C5F9A">
        <w:rPr>
          <w:rFonts w:asciiTheme="minorHAnsi" w:eastAsiaTheme="minorHAnsi" w:hAnsiTheme="minorHAnsi" w:cstheme="minorHAnsi"/>
          <w:sz w:val="24"/>
          <w:szCs w:val="24"/>
          <w:lang w:eastAsia="en-US"/>
        </w:rPr>
        <w:t>Contratação de uma (01) empresa para prestação de serviços especializados de consultoria em investimentos e gestão de ativos financeiros para o RPPS, contemplando suporte técnico, acompanhamento da carteira de investimentos, elaboração de estudos de ALM, apoio às obrigações regulatórias, suporte ao credenciamento de instituições financeiras e manutenção das práticas relacionadas ao Pró-Gestão RPPS nível IV, de forma continuada pelo período de 12 (doze) meses, podendo ser prorrogado nos termos da Lei nº 14.133/2021.</w:t>
      </w:r>
    </w:p>
    <w:p w14:paraId="5EE6E197" w14:textId="77777777" w:rsidR="006C5F9A" w:rsidRPr="00AA40E0" w:rsidRDefault="006C5F9A" w:rsidP="00AA40E0">
      <w:pPr>
        <w:suppressAutoHyphens w:val="0"/>
        <w:autoSpaceDE w:val="0"/>
        <w:autoSpaceDN w:val="0"/>
        <w:adjustRightInd w:val="0"/>
        <w:spacing w:after="120" w:line="240" w:lineRule="auto"/>
        <w:jc w:val="both"/>
        <w:rPr>
          <w:rFonts w:asciiTheme="minorHAnsi" w:eastAsiaTheme="minorHAnsi" w:hAnsiTheme="minorHAnsi" w:cstheme="minorHAnsi"/>
          <w:sz w:val="24"/>
          <w:szCs w:val="24"/>
          <w:lang w:eastAsia="en-US"/>
        </w:rPr>
      </w:pPr>
    </w:p>
    <w:p w14:paraId="4BBCE088" w14:textId="34C3033B" w:rsidR="00121266" w:rsidRPr="00FA6FAD" w:rsidRDefault="00261E83"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hAnsiTheme="minorHAnsi" w:cstheme="minorHAnsi"/>
          <w:b/>
          <w:bCs/>
          <w:sz w:val="24"/>
          <w:szCs w:val="24"/>
        </w:rPr>
      </w:pPr>
      <w:r w:rsidRPr="00FA6FAD">
        <w:rPr>
          <w:rFonts w:asciiTheme="minorHAnsi" w:hAnsiTheme="minorHAnsi" w:cstheme="minorHAnsi"/>
          <w:b/>
          <w:bCs/>
          <w:sz w:val="24"/>
          <w:szCs w:val="24"/>
        </w:rPr>
        <w:t>3.</w:t>
      </w:r>
      <w:r w:rsidR="00422113" w:rsidRPr="00FA6FAD">
        <w:rPr>
          <w:rFonts w:asciiTheme="minorHAnsi" w:hAnsiTheme="minorHAnsi" w:cstheme="minorHAnsi"/>
          <w:b/>
          <w:bCs/>
          <w:sz w:val="24"/>
          <w:szCs w:val="24"/>
        </w:rPr>
        <w:t>4</w:t>
      </w:r>
      <w:r w:rsidRPr="00FA6FAD">
        <w:rPr>
          <w:rFonts w:asciiTheme="minorHAnsi" w:hAnsiTheme="minorHAnsi" w:cstheme="minorHAnsi"/>
          <w:b/>
          <w:bCs/>
          <w:sz w:val="24"/>
          <w:szCs w:val="24"/>
        </w:rPr>
        <w:t xml:space="preserve">. </w:t>
      </w:r>
      <w:r w:rsidR="00121266" w:rsidRPr="00FA6FAD">
        <w:rPr>
          <w:rFonts w:asciiTheme="minorHAnsi" w:hAnsiTheme="minorHAnsi" w:cstheme="minorHAnsi"/>
          <w:b/>
          <w:bCs/>
          <w:sz w:val="24"/>
          <w:szCs w:val="24"/>
        </w:rPr>
        <w:t xml:space="preserve">Estimativa </w:t>
      </w:r>
      <w:r w:rsidR="006D7928" w:rsidRPr="00FA6FAD">
        <w:rPr>
          <w:rFonts w:asciiTheme="minorHAnsi" w:hAnsiTheme="minorHAnsi" w:cstheme="minorHAnsi"/>
          <w:b/>
          <w:bCs/>
          <w:sz w:val="24"/>
          <w:szCs w:val="24"/>
        </w:rPr>
        <w:t>do valor da contratação</w:t>
      </w:r>
    </w:p>
    <w:p w14:paraId="3E593518" w14:textId="5D6AC28A" w:rsidR="005215F9" w:rsidRDefault="005215F9" w:rsidP="00AA40E0">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5215F9">
        <w:rPr>
          <w:rFonts w:asciiTheme="minorHAnsi" w:hAnsiTheme="minorHAnsi" w:cstheme="minorHAnsi"/>
          <w:sz w:val="24"/>
          <w:szCs w:val="24"/>
        </w:rPr>
        <w:t xml:space="preserve">O valor mensal estimado da contratação corresponde a R$ </w:t>
      </w:r>
      <w:r w:rsidR="00556BE0" w:rsidRPr="00556BE0">
        <w:rPr>
          <w:rFonts w:asciiTheme="minorHAnsi" w:hAnsiTheme="minorHAnsi" w:cstheme="minorHAnsi"/>
          <w:sz w:val="24"/>
          <w:szCs w:val="24"/>
        </w:rPr>
        <w:t>3</w:t>
      </w:r>
      <w:r w:rsidR="00556BE0">
        <w:rPr>
          <w:rFonts w:asciiTheme="minorHAnsi" w:hAnsiTheme="minorHAnsi" w:cstheme="minorHAnsi"/>
          <w:sz w:val="24"/>
          <w:szCs w:val="24"/>
        </w:rPr>
        <w:t>.</w:t>
      </w:r>
      <w:r w:rsidR="00556BE0" w:rsidRPr="00556BE0">
        <w:rPr>
          <w:rFonts w:asciiTheme="minorHAnsi" w:hAnsiTheme="minorHAnsi" w:cstheme="minorHAnsi"/>
          <w:sz w:val="24"/>
          <w:szCs w:val="24"/>
        </w:rPr>
        <w:t>249,96</w:t>
      </w:r>
      <w:r w:rsidRPr="005215F9">
        <w:rPr>
          <w:rFonts w:asciiTheme="minorHAnsi" w:hAnsiTheme="minorHAnsi" w:cstheme="minorHAnsi"/>
          <w:sz w:val="24"/>
          <w:szCs w:val="24"/>
        </w:rPr>
        <w:t xml:space="preserve">, totalizando R$ </w:t>
      </w:r>
      <w:r w:rsidR="00556BE0" w:rsidRPr="00556BE0">
        <w:rPr>
          <w:rFonts w:asciiTheme="minorHAnsi" w:hAnsiTheme="minorHAnsi" w:cstheme="minorHAnsi"/>
          <w:sz w:val="24"/>
          <w:szCs w:val="24"/>
        </w:rPr>
        <w:t>38</w:t>
      </w:r>
      <w:r w:rsidR="00556BE0">
        <w:rPr>
          <w:rFonts w:asciiTheme="minorHAnsi" w:hAnsiTheme="minorHAnsi" w:cstheme="minorHAnsi"/>
          <w:sz w:val="24"/>
          <w:szCs w:val="24"/>
        </w:rPr>
        <w:t>.</w:t>
      </w:r>
      <w:r w:rsidR="00556BE0" w:rsidRPr="00556BE0">
        <w:rPr>
          <w:rFonts w:asciiTheme="minorHAnsi" w:hAnsiTheme="minorHAnsi" w:cstheme="minorHAnsi"/>
          <w:sz w:val="24"/>
          <w:szCs w:val="24"/>
        </w:rPr>
        <w:t>999,52</w:t>
      </w:r>
      <w:r w:rsidR="00556BE0">
        <w:rPr>
          <w:rFonts w:asciiTheme="minorHAnsi" w:hAnsiTheme="minorHAnsi" w:cstheme="minorHAnsi"/>
          <w:sz w:val="24"/>
          <w:szCs w:val="24"/>
        </w:rPr>
        <w:t xml:space="preserve"> </w:t>
      </w:r>
      <w:r w:rsidRPr="005215F9">
        <w:rPr>
          <w:rFonts w:asciiTheme="minorHAnsi" w:hAnsiTheme="minorHAnsi" w:cstheme="minorHAnsi"/>
          <w:sz w:val="24"/>
          <w:szCs w:val="24"/>
        </w:rPr>
        <w:t>para o período de 12 (doze) meses, apurado mediante proposta comercial apresentada ao ITAPEVIPREV, observada a compatibilidade com os valores praticados em contratações similares identificadas no Portal Nacional de Contratações Públicas – PNCP para serviços técnicos especializados compatíveis com o objeto pretendido.</w:t>
      </w:r>
      <w:r>
        <w:rPr>
          <w:rFonts w:asciiTheme="minorHAnsi" w:hAnsiTheme="minorHAnsi" w:cstheme="minorHAnsi"/>
          <w:sz w:val="24"/>
          <w:szCs w:val="24"/>
        </w:rPr>
        <w:t xml:space="preserve"> Propostas analisadas:</w:t>
      </w:r>
      <w:r>
        <w:rPr>
          <w:rFonts w:asciiTheme="minorHAnsi" w:hAnsiTheme="minorHAnsi" w:cstheme="minorHAnsi"/>
          <w:sz w:val="24"/>
          <w:szCs w:val="24"/>
        </w:rPr>
        <w:br/>
      </w:r>
    </w:p>
    <w:p w14:paraId="7422FCD5" w14:textId="365D8F8F" w:rsidR="00EC11A1" w:rsidRPr="005215F9" w:rsidRDefault="00EC11A1" w:rsidP="00AA40E0">
      <w:pPr>
        <w:pBdr>
          <w:top w:val="nil"/>
          <w:left w:val="nil"/>
          <w:bottom w:val="nil"/>
          <w:right w:val="nil"/>
          <w:between w:val="nil"/>
        </w:pBdr>
        <w:suppressAutoHyphens w:val="0"/>
        <w:spacing w:after="120" w:line="240" w:lineRule="auto"/>
        <w:jc w:val="both"/>
        <w:rPr>
          <w:rFonts w:asciiTheme="minorHAnsi" w:hAnsiTheme="minorHAnsi" w:cstheme="minorHAnsi"/>
          <w:b/>
          <w:bCs/>
          <w:color w:val="000000" w:themeColor="text1"/>
          <w:sz w:val="24"/>
          <w:szCs w:val="24"/>
        </w:rPr>
      </w:pPr>
      <w:hyperlink r:id="rId9" w:history="1">
        <w:r w:rsidRPr="005215F9">
          <w:rPr>
            <w:rStyle w:val="Hyperlink"/>
            <w:rFonts w:asciiTheme="minorHAnsi" w:hAnsiTheme="minorHAnsi" w:cstheme="minorHAnsi"/>
            <w:b/>
            <w:bCs/>
            <w:color w:val="000000" w:themeColor="text1"/>
            <w:sz w:val="24"/>
            <w:szCs w:val="24"/>
          </w:rPr>
          <w:t>https://pncp.gov.br/app/editais/12870883000170/2025/57</w:t>
        </w:r>
      </w:hyperlink>
    </w:p>
    <w:p w14:paraId="3C77EE92" w14:textId="502AC194" w:rsidR="002D7402" w:rsidRDefault="002D7402" w:rsidP="00EC11A1">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RPPS do Município de ITU/SP - </w:t>
      </w:r>
      <w:r w:rsidRPr="002D7402">
        <w:rPr>
          <w:rFonts w:asciiTheme="minorHAnsi" w:hAnsiTheme="minorHAnsi" w:cstheme="minorHAnsi"/>
          <w:sz w:val="24"/>
          <w:szCs w:val="24"/>
        </w:rPr>
        <w:t>ITUPREV</w:t>
      </w:r>
    </w:p>
    <w:p w14:paraId="77A8C58E" w14:textId="42C8CA1D" w:rsidR="002D7402" w:rsidRDefault="002D7402" w:rsidP="00EC11A1">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Contratação tipo: </w:t>
      </w:r>
      <w:r w:rsidRPr="002D7402">
        <w:rPr>
          <w:rFonts w:asciiTheme="minorHAnsi" w:hAnsiTheme="minorHAnsi" w:cstheme="minorHAnsi"/>
          <w:sz w:val="24"/>
          <w:szCs w:val="24"/>
        </w:rPr>
        <w:t>Inexigibilidade</w:t>
      </w:r>
    </w:p>
    <w:p w14:paraId="65CC5EFA" w14:textId="1FF7E277" w:rsidR="00EC11A1" w:rsidRDefault="00EC11A1" w:rsidP="00EC11A1">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EC11A1">
        <w:rPr>
          <w:rFonts w:asciiTheme="minorHAnsi" w:hAnsiTheme="minorHAnsi" w:cstheme="minorHAnsi"/>
          <w:sz w:val="24"/>
          <w:szCs w:val="24"/>
        </w:rPr>
        <w:t>MATIAS E LEITAO CONSULTORES ASSOCIADOS LTDA</w:t>
      </w:r>
    </w:p>
    <w:p w14:paraId="7431D517" w14:textId="22D410FF" w:rsidR="00EC11A1" w:rsidRDefault="00EC11A1" w:rsidP="00EC11A1">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CNPJ: </w:t>
      </w:r>
      <w:r w:rsidR="002D7402" w:rsidRPr="002D7402">
        <w:rPr>
          <w:rFonts w:asciiTheme="minorHAnsi" w:hAnsiTheme="minorHAnsi" w:cstheme="minorHAnsi"/>
          <w:sz w:val="24"/>
          <w:szCs w:val="24"/>
        </w:rPr>
        <w:t>14.813.501/0001-00</w:t>
      </w:r>
    </w:p>
    <w:p w14:paraId="0A02BB30" w14:textId="37F31780" w:rsidR="00EC11A1" w:rsidRDefault="00EC11A1" w:rsidP="00EC11A1">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Valor</w:t>
      </w:r>
      <w:r w:rsidR="00704C5F">
        <w:rPr>
          <w:rFonts w:asciiTheme="minorHAnsi" w:hAnsiTheme="minorHAnsi" w:cstheme="minorHAnsi"/>
          <w:sz w:val="24"/>
          <w:szCs w:val="24"/>
        </w:rPr>
        <w:t xml:space="preserve"> </w:t>
      </w:r>
      <w:r w:rsidR="005215F9">
        <w:rPr>
          <w:rFonts w:asciiTheme="minorHAnsi" w:hAnsiTheme="minorHAnsi" w:cstheme="minorHAnsi"/>
          <w:sz w:val="24"/>
          <w:szCs w:val="24"/>
        </w:rPr>
        <w:t>mensal</w:t>
      </w:r>
      <w:r>
        <w:rPr>
          <w:rFonts w:asciiTheme="minorHAnsi" w:hAnsiTheme="minorHAnsi" w:cstheme="minorHAnsi"/>
          <w:sz w:val="24"/>
          <w:szCs w:val="24"/>
        </w:rPr>
        <w:t xml:space="preserve">: </w:t>
      </w:r>
      <w:r w:rsidR="002D7402">
        <w:rPr>
          <w:rFonts w:asciiTheme="minorHAnsi" w:hAnsiTheme="minorHAnsi" w:cstheme="minorHAnsi"/>
          <w:sz w:val="24"/>
          <w:szCs w:val="24"/>
        </w:rPr>
        <w:t>R$</w:t>
      </w:r>
      <w:r>
        <w:rPr>
          <w:rFonts w:asciiTheme="minorHAnsi" w:hAnsiTheme="minorHAnsi" w:cstheme="minorHAnsi"/>
          <w:sz w:val="24"/>
          <w:szCs w:val="24"/>
        </w:rPr>
        <w:t xml:space="preserve"> </w:t>
      </w:r>
      <w:r w:rsidR="00704C5F">
        <w:rPr>
          <w:rFonts w:asciiTheme="minorHAnsi" w:hAnsiTheme="minorHAnsi" w:cstheme="minorHAnsi"/>
          <w:sz w:val="24"/>
          <w:szCs w:val="24"/>
        </w:rPr>
        <w:t>5</w:t>
      </w:r>
      <w:r w:rsidR="002D7402" w:rsidRPr="002D7402">
        <w:rPr>
          <w:rFonts w:asciiTheme="minorHAnsi" w:hAnsiTheme="minorHAnsi" w:cstheme="minorHAnsi"/>
          <w:sz w:val="24"/>
          <w:szCs w:val="24"/>
        </w:rPr>
        <w:t>.000,00</w:t>
      </w:r>
    </w:p>
    <w:p w14:paraId="1EF030F2" w14:textId="77777777" w:rsidR="002D7402" w:rsidRDefault="002D7402" w:rsidP="002D7402">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p>
    <w:p w14:paraId="44774938" w14:textId="4A968CFB" w:rsidR="00814880" w:rsidRPr="005215F9" w:rsidRDefault="00814880" w:rsidP="00814880">
      <w:pPr>
        <w:pBdr>
          <w:top w:val="nil"/>
          <w:left w:val="nil"/>
          <w:bottom w:val="nil"/>
          <w:right w:val="nil"/>
          <w:between w:val="nil"/>
        </w:pBdr>
        <w:suppressAutoHyphens w:val="0"/>
        <w:spacing w:after="120" w:line="240" w:lineRule="auto"/>
        <w:jc w:val="both"/>
        <w:rPr>
          <w:rFonts w:asciiTheme="minorHAnsi" w:hAnsiTheme="minorHAnsi" w:cstheme="minorHAnsi"/>
          <w:b/>
          <w:bCs/>
          <w:color w:val="000000" w:themeColor="text1"/>
          <w:sz w:val="24"/>
          <w:szCs w:val="24"/>
        </w:rPr>
      </w:pPr>
      <w:hyperlink r:id="rId10" w:history="1">
        <w:r w:rsidRPr="005215F9">
          <w:rPr>
            <w:rStyle w:val="Hyperlink"/>
            <w:rFonts w:asciiTheme="minorHAnsi" w:hAnsiTheme="minorHAnsi" w:cstheme="minorHAnsi"/>
            <w:b/>
            <w:bCs/>
            <w:color w:val="000000" w:themeColor="text1"/>
            <w:sz w:val="24"/>
            <w:szCs w:val="24"/>
          </w:rPr>
          <w:t>https://pncp.gov.br/app/editais/32974503000154/2026/6</w:t>
        </w:r>
      </w:hyperlink>
    </w:p>
    <w:p w14:paraId="5C1AF5E8" w14:textId="77777777" w:rsidR="00814880" w:rsidRDefault="00814880" w:rsidP="00814880">
      <w:pPr>
        <w:pStyle w:val="PargrafodaLista"/>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p>
    <w:p w14:paraId="3F9EEECE" w14:textId="5C69A63A" w:rsidR="002D7402" w:rsidRDefault="002D7402" w:rsidP="002D7402">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RPPS do Município de Rondonópolis</w:t>
      </w:r>
      <w:r w:rsidRPr="002D7402">
        <w:rPr>
          <w:rFonts w:asciiTheme="minorHAnsi" w:hAnsiTheme="minorHAnsi" w:cstheme="minorHAnsi"/>
          <w:sz w:val="24"/>
          <w:szCs w:val="24"/>
        </w:rPr>
        <w:t>/MT</w:t>
      </w:r>
    </w:p>
    <w:p w14:paraId="2A7D656A" w14:textId="5DCA38BE" w:rsidR="002D7402" w:rsidRDefault="002D7402" w:rsidP="002D7402">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Contratação tipo: </w:t>
      </w:r>
      <w:r w:rsidRPr="002D7402">
        <w:rPr>
          <w:rFonts w:asciiTheme="minorHAnsi" w:hAnsiTheme="minorHAnsi" w:cstheme="minorHAnsi"/>
          <w:sz w:val="24"/>
          <w:szCs w:val="24"/>
        </w:rPr>
        <w:t>Inexigibilidade</w:t>
      </w:r>
    </w:p>
    <w:p w14:paraId="53D1159B" w14:textId="2CA54BC4" w:rsidR="002D7402" w:rsidRDefault="002D7402" w:rsidP="002D7402">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2D7402">
        <w:rPr>
          <w:rFonts w:asciiTheme="minorHAnsi" w:hAnsiTheme="minorHAnsi" w:cstheme="minorHAnsi"/>
          <w:sz w:val="24"/>
          <w:szCs w:val="24"/>
        </w:rPr>
        <w:t>I F CONSULTORIA ATUARIAL EIRELI</w:t>
      </w:r>
    </w:p>
    <w:p w14:paraId="3B904E6C" w14:textId="20FBDEC4" w:rsidR="002D7402" w:rsidRDefault="002D7402" w:rsidP="002D7402">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 xml:space="preserve">CNPJ: </w:t>
      </w:r>
      <w:r w:rsidRPr="002D7402">
        <w:rPr>
          <w:rFonts w:asciiTheme="minorHAnsi" w:hAnsiTheme="minorHAnsi" w:cstheme="minorHAnsi"/>
          <w:sz w:val="24"/>
          <w:szCs w:val="24"/>
        </w:rPr>
        <w:t>10.541.510/0001-20</w:t>
      </w:r>
    </w:p>
    <w:p w14:paraId="0516E315" w14:textId="74533CC9" w:rsidR="00E21160" w:rsidRDefault="00E21160" w:rsidP="00E21160">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Valor</w:t>
      </w:r>
      <w:r w:rsidR="00704C5F">
        <w:rPr>
          <w:rFonts w:asciiTheme="minorHAnsi" w:hAnsiTheme="minorHAnsi" w:cstheme="minorHAnsi"/>
          <w:sz w:val="24"/>
          <w:szCs w:val="24"/>
        </w:rPr>
        <w:t xml:space="preserve"> </w:t>
      </w:r>
      <w:r w:rsidR="005215F9">
        <w:rPr>
          <w:rFonts w:asciiTheme="minorHAnsi" w:hAnsiTheme="minorHAnsi" w:cstheme="minorHAnsi"/>
          <w:sz w:val="24"/>
          <w:szCs w:val="24"/>
        </w:rPr>
        <w:t>mensal</w:t>
      </w:r>
      <w:r>
        <w:rPr>
          <w:rFonts w:asciiTheme="minorHAnsi" w:hAnsiTheme="minorHAnsi" w:cstheme="minorHAnsi"/>
          <w:sz w:val="24"/>
          <w:szCs w:val="24"/>
        </w:rPr>
        <w:t xml:space="preserve">: </w:t>
      </w:r>
      <w:r w:rsidR="00704C5F">
        <w:rPr>
          <w:rFonts w:asciiTheme="minorHAnsi" w:hAnsiTheme="minorHAnsi" w:cstheme="minorHAnsi"/>
          <w:sz w:val="24"/>
          <w:szCs w:val="24"/>
        </w:rPr>
        <w:t xml:space="preserve">R$ </w:t>
      </w:r>
      <w:r w:rsidR="00704C5F" w:rsidRPr="00704C5F">
        <w:rPr>
          <w:rFonts w:asciiTheme="minorHAnsi" w:hAnsiTheme="minorHAnsi" w:cstheme="minorHAnsi"/>
          <w:sz w:val="24"/>
          <w:szCs w:val="24"/>
        </w:rPr>
        <w:t>4.475,84</w:t>
      </w:r>
    </w:p>
    <w:p w14:paraId="65A8842C" w14:textId="3B98C34C" w:rsidR="00814880" w:rsidRDefault="00814880" w:rsidP="00814880">
      <w:p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p>
    <w:p w14:paraId="1A13261D" w14:textId="1A8F7E52" w:rsidR="00814880" w:rsidRPr="005215F9" w:rsidRDefault="00814880" w:rsidP="00814880">
      <w:pPr>
        <w:pBdr>
          <w:top w:val="nil"/>
          <w:left w:val="nil"/>
          <w:bottom w:val="nil"/>
          <w:right w:val="nil"/>
          <w:between w:val="nil"/>
        </w:pBdr>
        <w:suppressAutoHyphens w:val="0"/>
        <w:spacing w:after="120" w:line="240" w:lineRule="auto"/>
        <w:jc w:val="both"/>
        <w:rPr>
          <w:rFonts w:asciiTheme="minorHAnsi" w:hAnsiTheme="minorHAnsi" w:cstheme="minorHAnsi"/>
          <w:b/>
          <w:bCs/>
          <w:sz w:val="24"/>
          <w:szCs w:val="24"/>
          <w:u w:val="single"/>
        </w:rPr>
      </w:pPr>
      <w:r w:rsidRPr="005215F9">
        <w:rPr>
          <w:rFonts w:asciiTheme="minorHAnsi" w:hAnsiTheme="minorHAnsi" w:cstheme="minorHAnsi"/>
          <w:b/>
          <w:bCs/>
          <w:sz w:val="24"/>
          <w:szCs w:val="24"/>
          <w:u w:val="single"/>
        </w:rPr>
        <w:t xml:space="preserve">Empresa </w:t>
      </w:r>
      <w:r w:rsidR="00704C5F" w:rsidRPr="005215F9">
        <w:rPr>
          <w:rFonts w:asciiTheme="minorHAnsi" w:hAnsiTheme="minorHAnsi" w:cstheme="minorHAnsi"/>
          <w:b/>
          <w:bCs/>
          <w:sz w:val="24"/>
          <w:szCs w:val="24"/>
          <w:u w:val="single"/>
        </w:rPr>
        <w:t>Crédito &amp; Mercado</w:t>
      </w:r>
      <w:r w:rsidR="00154C00" w:rsidRPr="005215F9">
        <w:rPr>
          <w:rFonts w:asciiTheme="minorHAnsi" w:hAnsiTheme="minorHAnsi" w:cstheme="minorHAnsi"/>
          <w:b/>
          <w:bCs/>
          <w:sz w:val="24"/>
          <w:szCs w:val="24"/>
        </w:rPr>
        <w:t xml:space="preserve"> (</w:t>
      </w:r>
      <w:r w:rsidR="005215F9">
        <w:rPr>
          <w:rFonts w:asciiTheme="minorHAnsi" w:hAnsiTheme="minorHAnsi" w:cstheme="minorHAnsi"/>
          <w:b/>
          <w:bCs/>
          <w:sz w:val="24"/>
          <w:szCs w:val="24"/>
        </w:rPr>
        <w:t>Proposta</w:t>
      </w:r>
      <w:r w:rsidR="00154C00" w:rsidRPr="005215F9">
        <w:rPr>
          <w:rFonts w:asciiTheme="minorHAnsi" w:hAnsiTheme="minorHAnsi" w:cstheme="minorHAnsi"/>
          <w:b/>
          <w:bCs/>
          <w:sz w:val="24"/>
          <w:szCs w:val="24"/>
        </w:rPr>
        <w:t xml:space="preserve"> ao ITAPEVIPREV)</w:t>
      </w:r>
    </w:p>
    <w:p w14:paraId="5D80D02D" w14:textId="4F068D4D" w:rsidR="0031144D" w:rsidRDefault="0031144D" w:rsidP="00704C5F">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31144D">
        <w:rPr>
          <w:rFonts w:asciiTheme="minorHAnsi" w:hAnsiTheme="minorHAnsi" w:cstheme="minorHAnsi"/>
          <w:sz w:val="24"/>
          <w:szCs w:val="24"/>
        </w:rPr>
        <w:t>Empresa especializada em consultoria de investimentos, governança previdenciária, suporte técnico a RPPS e apoio ao Pró-Gestão</w:t>
      </w:r>
      <w:r w:rsidR="00154C00">
        <w:rPr>
          <w:rFonts w:asciiTheme="minorHAnsi" w:hAnsiTheme="minorHAnsi" w:cstheme="minorHAnsi"/>
          <w:sz w:val="24"/>
          <w:szCs w:val="24"/>
        </w:rPr>
        <w:t xml:space="preserve"> RPPS</w:t>
      </w:r>
      <w:r w:rsidRPr="0031144D">
        <w:rPr>
          <w:rFonts w:asciiTheme="minorHAnsi" w:hAnsiTheme="minorHAnsi" w:cstheme="minorHAnsi"/>
          <w:sz w:val="24"/>
          <w:szCs w:val="24"/>
        </w:rPr>
        <w:t>, possuindo experiência no segmento previdenciário, equipe técnica qualificada e atendimento a diversos RPPS no território nacional.</w:t>
      </w:r>
    </w:p>
    <w:p w14:paraId="4C19CA1B" w14:textId="77777777" w:rsidR="00704C5F" w:rsidRDefault="00704C5F" w:rsidP="00FC61D8">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704C5F">
        <w:rPr>
          <w:rFonts w:asciiTheme="minorHAnsi" w:hAnsiTheme="minorHAnsi" w:cstheme="minorHAnsi"/>
          <w:sz w:val="24"/>
          <w:szCs w:val="24"/>
        </w:rPr>
        <w:t>CM CONSULTORIA E GOVERNANCA CORPORATIVA LTDA</w:t>
      </w:r>
    </w:p>
    <w:p w14:paraId="75B516B4" w14:textId="2A4249E6" w:rsidR="00704C5F" w:rsidRDefault="00704C5F" w:rsidP="00FC61D8">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704C5F">
        <w:rPr>
          <w:rFonts w:asciiTheme="minorHAnsi" w:hAnsiTheme="minorHAnsi" w:cstheme="minorHAnsi"/>
          <w:sz w:val="24"/>
          <w:szCs w:val="24"/>
        </w:rPr>
        <w:t>CNPJ: 60.278.459/0001-83</w:t>
      </w:r>
    </w:p>
    <w:p w14:paraId="5C8931CA" w14:textId="678466DB" w:rsidR="00704C5F" w:rsidRPr="00704C5F" w:rsidRDefault="00704C5F" w:rsidP="00FC61D8">
      <w:pPr>
        <w:pStyle w:val="PargrafodaLista"/>
        <w:numPr>
          <w:ilvl w:val="0"/>
          <w:numId w:val="37"/>
        </w:numPr>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r w:rsidRPr="00704C5F">
        <w:rPr>
          <w:rFonts w:asciiTheme="minorHAnsi" w:hAnsiTheme="minorHAnsi" w:cstheme="minorHAnsi"/>
          <w:sz w:val="24"/>
          <w:szCs w:val="24"/>
        </w:rPr>
        <w:t xml:space="preserve">Valor </w:t>
      </w:r>
      <w:r w:rsidR="005215F9">
        <w:rPr>
          <w:rFonts w:asciiTheme="minorHAnsi" w:hAnsiTheme="minorHAnsi" w:cstheme="minorHAnsi"/>
          <w:sz w:val="24"/>
          <w:szCs w:val="24"/>
        </w:rPr>
        <w:t>mensal</w:t>
      </w:r>
      <w:r w:rsidRPr="00704C5F">
        <w:rPr>
          <w:rFonts w:asciiTheme="minorHAnsi" w:hAnsiTheme="minorHAnsi" w:cstheme="minorHAnsi"/>
          <w:sz w:val="24"/>
          <w:szCs w:val="24"/>
        </w:rPr>
        <w:t xml:space="preserve">: </w:t>
      </w:r>
      <w:r w:rsidR="00556BE0" w:rsidRPr="00556BE0">
        <w:rPr>
          <w:rFonts w:asciiTheme="minorHAnsi" w:hAnsiTheme="minorHAnsi" w:cstheme="minorHAnsi"/>
          <w:sz w:val="24"/>
          <w:szCs w:val="24"/>
        </w:rPr>
        <w:t>R$ 3</w:t>
      </w:r>
      <w:r w:rsidR="00556BE0">
        <w:rPr>
          <w:rFonts w:asciiTheme="minorHAnsi" w:hAnsiTheme="minorHAnsi" w:cstheme="minorHAnsi"/>
          <w:sz w:val="24"/>
          <w:szCs w:val="24"/>
        </w:rPr>
        <w:t>.</w:t>
      </w:r>
      <w:r w:rsidR="00556BE0" w:rsidRPr="00556BE0">
        <w:rPr>
          <w:rFonts w:asciiTheme="minorHAnsi" w:hAnsiTheme="minorHAnsi" w:cstheme="minorHAnsi"/>
          <w:sz w:val="24"/>
          <w:szCs w:val="24"/>
        </w:rPr>
        <w:t>249,96</w:t>
      </w:r>
    </w:p>
    <w:p w14:paraId="6FCDB613" w14:textId="3C66BD1E" w:rsidR="00704C5F" w:rsidRPr="00704C5F" w:rsidRDefault="00704C5F" w:rsidP="00704C5F">
      <w:pPr>
        <w:pStyle w:val="PargrafodaLista"/>
        <w:pBdr>
          <w:top w:val="nil"/>
          <w:left w:val="nil"/>
          <w:bottom w:val="nil"/>
          <w:right w:val="nil"/>
          <w:between w:val="nil"/>
        </w:pBdr>
        <w:suppressAutoHyphens w:val="0"/>
        <w:spacing w:after="120" w:line="240" w:lineRule="auto"/>
        <w:jc w:val="both"/>
        <w:rPr>
          <w:rFonts w:asciiTheme="minorHAnsi" w:hAnsiTheme="minorHAnsi" w:cstheme="minorHAnsi"/>
          <w:sz w:val="24"/>
          <w:szCs w:val="24"/>
        </w:rPr>
      </w:pPr>
    </w:p>
    <w:p w14:paraId="22A337BB" w14:textId="77777777" w:rsidR="005215F9" w:rsidRDefault="005215F9" w:rsidP="00AA40E0">
      <w:pPr>
        <w:pStyle w:val="PargrafodaLista"/>
        <w:pBdr>
          <w:top w:val="nil"/>
          <w:left w:val="nil"/>
          <w:bottom w:val="nil"/>
          <w:right w:val="nil"/>
          <w:between w:val="nil"/>
        </w:pBdr>
        <w:suppressAutoHyphens w:val="0"/>
        <w:spacing w:after="120" w:line="240" w:lineRule="auto"/>
        <w:ind w:left="0"/>
        <w:jc w:val="both"/>
        <w:rPr>
          <w:rFonts w:asciiTheme="minorHAnsi" w:hAnsiTheme="minorHAnsi" w:cstheme="minorHAnsi"/>
          <w:b/>
          <w:bCs/>
          <w:sz w:val="24"/>
          <w:szCs w:val="24"/>
        </w:rPr>
      </w:pPr>
      <w:bookmarkStart w:id="4" w:name="_Hlk160609912"/>
      <w:bookmarkEnd w:id="3"/>
    </w:p>
    <w:p w14:paraId="26606E8F" w14:textId="4174385E" w:rsidR="003359B3" w:rsidRDefault="00261E83" w:rsidP="00AA40E0">
      <w:pPr>
        <w:pStyle w:val="PargrafodaLista"/>
        <w:pBdr>
          <w:top w:val="nil"/>
          <w:left w:val="nil"/>
          <w:bottom w:val="nil"/>
          <w:right w:val="nil"/>
          <w:between w:val="nil"/>
        </w:pBdr>
        <w:suppressAutoHyphens w:val="0"/>
        <w:spacing w:after="120" w:line="240" w:lineRule="auto"/>
        <w:ind w:left="0"/>
        <w:jc w:val="both"/>
        <w:rPr>
          <w:rFonts w:asciiTheme="minorHAnsi" w:hAnsiTheme="minorHAnsi" w:cstheme="minorHAnsi"/>
          <w:b/>
          <w:bCs/>
          <w:sz w:val="24"/>
          <w:szCs w:val="24"/>
        </w:rPr>
      </w:pPr>
      <w:r w:rsidRPr="00AA40E0">
        <w:rPr>
          <w:rFonts w:asciiTheme="minorHAnsi" w:hAnsiTheme="minorHAnsi" w:cstheme="minorHAnsi"/>
          <w:b/>
          <w:bCs/>
          <w:sz w:val="24"/>
          <w:szCs w:val="24"/>
        </w:rPr>
        <w:t>3.</w:t>
      </w:r>
      <w:r w:rsidR="00422113">
        <w:rPr>
          <w:rFonts w:asciiTheme="minorHAnsi" w:hAnsiTheme="minorHAnsi" w:cstheme="minorHAnsi"/>
          <w:b/>
          <w:bCs/>
          <w:sz w:val="24"/>
          <w:szCs w:val="24"/>
        </w:rPr>
        <w:t>5</w:t>
      </w:r>
      <w:r w:rsidRPr="00AA40E0">
        <w:rPr>
          <w:rFonts w:asciiTheme="minorHAnsi" w:hAnsiTheme="minorHAnsi" w:cstheme="minorHAnsi"/>
          <w:b/>
          <w:bCs/>
          <w:sz w:val="24"/>
          <w:szCs w:val="24"/>
        </w:rPr>
        <w:t xml:space="preserve">. </w:t>
      </w:r>
      <w:r w:rsidR="00121266" w:rsidRPr="00AA40E0">
        <w:rPr>
          <w:rFonts w:asciiTheme="minorHAnsi" w:hAnsiTheme="minorHAnsi" w:cstheme="minorHAnsi"/>
          <w:b/>
          <w:bCs/>
          <w:sz w:val="24"/>
          <w:szCs w:val="24"/>
        </w:rPr>
        <w:t>Escolha da solução</w:t>
      </w:r>
    </w:p>
    <w:p w14:paraId="73EE2F9E" w14:textId="77777777" w:rsidR="00843CD7" w:rsidRPr="00AA40E0" w:rsidRDefault="00843CD7" w:rsidP="00AA40E0">
      <w:pPr>
        <w:pStyle w:val="PargrafodaLista"/>
        <w:pBdr>
          <w:top w:val="nil"/>
          <w:left w:val="nil"/>
          <w:bottom w:val="nil"/>
          <w:right w:val="nil"/>
          <w:between w:val="nil"/>
        </w:pBdr>
        <w:suppressAutoHyphens w:val="0"/>
        <w:spacing w:after="120" w:line="240" w:lineRule="auto"/>
        <w:ind w:left="0"/>
        <w:jc w:val="both"/>
        <w:rPr>
          <w:rFonts w:asciiTheme="minorHAnsi" w:hAnsiTheme="minorHAnsi" w:cstheme="minorHAnsi"/>
          <w:b/>
          <w:bCs/>
          <w:sz w:val="24"/>
          <w:szCs w:val="24"/>
        </w:rPr>
      </w:pPr>
    </w:p>
    <w:p w14:paraId="22583E20" w14:textId="13A5A63B" w:rsidR="003359B3" w:rsidRDefault="00843CD7" w:rsidP="00AA40E0">
      <w:pPr>
        <w:pStyle w:val="PargrafodaLista"/>
        <w:pBdr>
          <w:top w:val="nil"/>
          <w:left w:val="nil"/>
          <w:bottom w:val="nil"/>
          <w:right w:val="nil"/>
          <w:between w:val="nil"/>
        </w:pBdr>
        <w:suppressAutoHyphens w:val="0"/>
        <w:spacing w:after="120" w:line="240" w:lineRule="auto"/>
        <w:ind w:left="0"/>
        <w:jc w:val="both"/>
        <w:rPr>
          <w:rFonts w:asciiTheme="minorHAnsi" w:hAnsiTheme="minorHAnsi" w:cstheme="minorHAnsi"/>
          <w:sz w:val="24"/>
          <w:szCs w:val="24"/>
        </w:rPr>
      </w:pPr>
      <w:r w:rsidRPr="00843CD7">
        <w:rPr>
          <w:rFonts w:asciiTheme="minorHAnsi" w:hAnsiTheme="minorHAnsi" w:cstheme="minorHAnsi"/>
          <w:sz w:val="24"/>
          <w:szCs w:val="24"/>
        </w:rPr>
        <w:t xml:space="preserve">Após o levantamento de mercado e análise das alternativas disponíveis para atendimento das necessidades do ITAPEVIPREV, verificou-se que a solução mais adequada consiste na contratação de empresa especializada para prestação integrada dos serviços de </w:t>
      </w:r>
      <w:r w:rsidRPr="00843CD7">
        <w:rPr>
          <w:rFonts w:asciiTheme="minorHAnsi" w:hAnsiTheme="minorHAnsi" w:cstheme="minorHAnsi"/>
          <w:sz w:val="24"/>
          <w:szCs w:val="24"/>
        </w:rPr>
        <w:lastRenderedPageBreak/>
        <w:t>consultoria em investimentos e gestão de ativos financeiros voltados ao RPPS. A escolha da solução considera a necessidade de suporte técnico contínuo, conhecimento especializado sobre investimentos e normas aplicáveis aos RPPS, acompanhamento estratégico da carteira de investimentos, apoio às obrigações regulatórias e manutenção das práticas relacionadas ao Pró-Gestão RPPS nível IV. A contratação integrada possibilita maior eficiência operacional, padronização das informações, continuidade dos serviços, segurança técnica nas tomadas de decisão e melhor alinhamento entre as atividades desenvolvidas pelo ITAPEVIPREV e as exigências dos órgãos reguladores e fiscalizadores. Além disso, a solução escolhida demonstra-se mais vantajosa diante da complexidade técnica dos serviços e da necessidade de atuação especializada e contínua na gestão dos recursos previdenciários d</w:t>
      </w:r>
      <w:r>
        <w:rPr>
          <w:rFonts w:asciiTheme="minorHAnsi" w:hAnsiTheme="minorHAnsi" w:cstheme="minorHAnsi"/>
          <w:sz w:val="24"/>
          <w:szCs w:val="24"/>
        </w:rPr>
        <w:t>o ITAPEVIPREV</w:t>
      </w:r>
      <w:r w:rsidR="003359B3" w:rsidRPr="00AA40E0">
        <w:rPr>
          <w:rFonts w:asciiTheme="minorHAnsi" w:hAnsiTheme="minorHAnsi" w:cstheme="minorHAnsi"/>
          <w:sz w:val="24"/>
          <w:szCs w:val="24"/>
        </w:rPr>
        <w:t>.</w:t>
      </w:r>
    </w:p>
    <w:p w14:paraId="2877C8E3" w14:textId="77777777" w:rsidR="00843CD7" w:rsidRPr="00AA40E0" w:rsidRDefault="00843CD7" w:rsidP="00AA40E0">
      <w:pPr>
        <w:pStyle w:val="PargrafodaLista"/>
        <w:pBdr>
          <w:top w:val="nil"/>
          <w:left w:val="nil"/>
          <w:bottom w:val="nil"/>
          <w:right w:val="nil"/>
          <w:between w:val="nil"/>
        </w:pBdr>
        <w:suppressAutoHyphens w:val="0"/>
        <w:spacing w:after="120" w:line="240" w:lineRule="auto"/>
        <w:ind w:left="0"/>
        <w:jc w:val="both"/>
        <w:rPr>
          <w:rFonts w:asciiTheme="minorHAnsi" w:hAnsiTheme="minorHAnsi" w:cstheme="minorHAnsi"/>
          <w:b/>
          <w:bCs/>
          <w:sz w:val="24"/>
          <w:szCs w:val="24"/>
        </w:rPr>
      </w:pPr>
    </w:p>
    <w:p w14:paraId="30B5E50A" w14:textId="7B57BB16" w:rsidR="00016B2A" w:rsidRPr="00AA40E0" w:rsidRDefault="00261E83" w:rsidP="00AA40E0">
      <w:pPr>
        <w:shd w:val="clear" w:color="auto" w:fill="B4C6E7" w:themeFill="accent5" w:themeFillTint="66"/>
        <w:spacing w:after="120" w:line="240" w:lineRule="auto"/>
        <w:jc w:val="both"/>
        <w:rPr>
          <w:rFonts w:asciiTheme="minorHAnsi" w:hAnsiTheme="minorHAnsi" w:cstheme="minorHAnsi"/>
          <w:b/>
          <w:sz w:val="24"/>
          <w:szCs w:val="24"/>
        </w:rPr>
      </w:pPr>
      <w:bookmarkStart w:id="5" w:name="_Hlk160609920"/>
      <w:bookmarkEnd w:id="4"/>
      <w:r w:rsidRPr="00AA40E0">
        <w:rPr>
          <w:rFonts w:asciiTheme="minorHAnsi" w:hAnsiTheme="minorHAnsi" w:cstheme="minorHAnsi"/>
          <w:b/>
          <w:sz w:val="24"/>
          <w:szCs w:val="24"/>
        </w:rPr>
        <w:t xml:space="preserve">4. </w:t>
      </w:r>
      <w:r w:rsidR="00016B2A" w:rsidRPr="00AA40E0">
        <w:rPr>
          <w:rFonts w:asciiTheme="minorHAnsi" w:hAnsiTheme="minorHAnsi" w:cstheme="minorHAnsi"/>
          <w:b/>
          <w:sz w:val="24"/>
          <w:szCs w:val="24"/>
        </w:rPr>
        <w:t>DETALHAMENTO DA SOLUÇÃO ESCOLHIDA</w:t>
      </w:r>
    </w:p>
    <w:p w14:paraId="6FDD0F70" w14:textId="77777777" w:rsidR="003F67F3" w:rsidRDefault="003F67F3" w:rsidP="00AA40E0">
      <w:pPr>
        <w:pBdr>
          <w:top w:val="nil"/>
          <w:left w:val="nil"/>
          <w:bottom w:val="nil"/>
          <w:right w:val="nil"/>
          <w:between w:val="nil"/>
        </w:pBdr>
        <w:suppressAutoHyphens w:val="0"/>
        <w:spacing w:after="120" w:line="240" w:lineRule="auto"/>
        <w:jc w:val="both"/>
        <w:rPr>
          <w:rFonts w:asciiTheme="minorHAnsi" w:hAnsiTheme="minorHAnsi" w:cstheme="minorHAnsi"/>
          <w:b/>
          <w:bCs/>
          <w:sz w:val="24"/>
          <w:szCs w:val="24"/>
        </w:rPr>
      </w:pPr>
    </w:p>
    <w:p w14:paraId="772D9D6E" w14:textId="5D786C3C" w:rsidR="00121266" w:rsidRPr="00AA40E0" w:rsidRDefault="00261E83" w:rsidP="00AA40E0">
      <w:pPr>
        <w:pBdr>
          <w:top w:val="nil"/>
          <w:left w:val="nil"/>
          <w:bottom w:val="nil"/>
          <w:right w:val="nil"/>
          <w:between w:val="nil"/>
        </w:pBdr>
        <w:suppressAutoHyphens w:val="0"/>
        <w:spacing w:after="120" w:line="240" w:lineRule="auto"/>
        <w:jc w:val="both"/>
        <w:rPr>
          <w:rFonts w:asciiTheme="minorHAnsi" w:hAnsiTheme="minorHAnsi" w:cstheme="minorHAnsi"/>
          <w:b/>
          <w:bCs/>
          <w:sz w:val="24"/>
          <w:szCs w:val="24"/>
        </w:rPr>
      </w:pPr>
      <w:r w:rsidRPr="00AA40E0">
        <w:rPr>
          <w:rFonts w:asciiTheme="minorHAnsi" w:hAnsiTheme="minorHAnsi" w:cstheme="minorHAnsi"/>
          <w:b/>
          <w:bCs/>
          <w:sz w:val="24"/>
          <w:szCs w:val="24"/>
        </w:rPr>
        <w:t xml:space="preserve">4.1. </w:t>
      </w:r>
      <w:r w:rsidR="00121266" w:rsidRPr="00AA40E0">
        <w:rPr>
          <w:rFonts w:asciiTheme="minorHAnsi" w:hAnsiTheme="minorHAnsi" w:cstheme="minorHAnsi"/>
          <w:b/>
          <w:bCs/>
          <w:sz w:val="24"/>
          <w:szCs w:val="24"/>
        </w:rPr>
        <w:t>Descrição da solução como um todo</w:t>
      </w:r>
    </w:p>
    <w:bookmarkEnd w:id="5"/>
    <w:p w14:paraId="5ECFEAD8" w14:textId="0327E1B8" w:rsidR="000976F7" w:rsidRDefault="003F67F3" w:rsidP="005B6F8F">
      <w:pPr>
        <w:pStyle w:val="PargrafodaLista"/>
        <w:pBdr>
          <w:top w:val="nil"/>
          <w:left w:val="nil"/>
          <w:bottom w:val="nil"/>
          <w:right w:val="nil"/>
          <w:between w:val="nil"/>
        </w:pBdr>
        <w:suppressAutoHyphens w:val="0"/>
        <w:spacing w:before="120" w:after="120" w:line="240" w:lineRule="auto"/>
        <w:ind w:left="0"/>
        <w:contextualSpacing w:val="0"/>
        <w:jc w:val="both"/>
        <w:rPr>
          <w:rFonts w:asciiTheme="minorHAnsi" w:eastAsia="Arial" w:hAnsiTheme="minorHAnsi" w:cstheme="minorHAnsi"/>
          <w:sz w:val="24"/>
          <w:szCs w:val="24"/>
        </w:rPr>
      </w:pPr>
      <w:r w:rsidRPr="003F67F3">
        <w:rPr>
          <w:rFonts w:asciiTheme="minorHAnsi" w:eastAsia="Arial" w:hAnsiTheme="minorHAnsi" w:cstheme="minorHAnsi"/>
          <w:sz w:val="24"/>
          <w:szCs w:val="24"/>
        </w:rPr>
        <w:t xml:space="preserve">A solução escolhida consiste na contratação de empresa especializada para prestação de serviços técnicos de consultoria em investimentos e gestão de ativos financeiros destinados ao RPPS do ITAPEVIPREV, abrangendo suporte técnico contínuo nas atividades relacionadas à análise, acompanhamento e monitoramento da carteira de investimentos, apoio à tomada de decisões estratégicas, elaboração de relatórios e estudos técnicos, análise de riscos, suporte às obrigações regulatórias junto aos sistemas e órgãos competentes, auxílio no credenciamento de instituições financeiras e acompanhamento das práticas de governança previdenciária. A solução contempla ainda apoio técnico especializado para manutenção das práticas relacionadas ao Pró-Gestão RPPS nível IV, elaboração de estudos de Asset Liability Management </w:t>
      </w:r>
      <w:r>
        <w:rPr>
          <w:rFonts w:asciiTheme="minorHAnsi" w:eastAsia="Arial" w:hAnsiTheme="minorHAnsi" w:cstheme="minorHAnsi"/>
          <w:sz w:val="24"/>
          <w:szCs w:val="24"/>
        </w:rPr>
        <w:t>(</w:t>
      </w:r>
      <w:r w:rsidRPr="003F67F3">
        <w:rPr>
          <w:rFonts w:asciiTheme="minorHAnsi" w:eastAsia="Arial" w:hAnsiTheme="minorHAnsi" w:cstheme="minorHAnsi"/>
          <w:sz w:val="24"/>
          <w:szCs w:val="24"/>
        </w:rPr>
        <w:t>ALM</w:t>
      </w:r>
      <w:r>
        <w:rPr>
          <w:rFonts w:asciiTheme="minorHAnsi" w:eastAsia="Arial" w:hAnsiTheme="minorHAnsi" w:cstheme="minorHAnsi"/>
          <w:sz w:val="24"/>
          <w:szCs w:val="24"/>
        </w:rPr>
        <w:t>)</w:t>
      </w:r>
      <w:r w:rsidRPr="003F67F3">
        <w:rPr>
          <w:rFonts w:asciiTheme="minorHAnsi" w:eastAsia="Arial" w:hAnsiTheme="minorHAnsi" w:cstheme="minorHAnsi"/>
          <w:sz w:val="24"/>
          <w:szCs w:val="24"/>
        </w:rPr>
        <w:t>, suporte técnico aos gestores e conselhos do RPPS, além da disponibilização de ferramentas de apoio à gestão dos investimentos e emissão de informações técnicas necessárias ao acompanhamento das atividades previdenciárias. A contratação integrada dos serviços busca garantir continuidade operacional, segurança técnica, conformidade normativa, eficiência administrativa e fortalecimento da governança institucional do ITAPEVIPREV.</w:t>
      </w:r>
    </w:p>
    <w:p w14:paraId="3FC738BA" w14:textId="77777777" w:rsidR="003F67F3" w:rsidRPr="00AA40E0" w:rsidRDefault="003F67F3" w:rsidP="005B6F8F">
      <w:pPr>
        <w:pStyle w:val="PargrafodaLista"/>
        <w:pBdr>
          <w:top w:val="nil"/>
          <w:left w:val="nil"/>
          <w:bottom w:val="nil"/>
          <w:right w:val="nil"/>
          <w:between w:val="nil"/>
        </w:pBdr>
        <w:suppressAutoHyphens w:val="0"/>
        <w:spacing w:before="120" w:after="120" w:line="240" w:lineRule="auto"/>
        <w:ind w:left="0"/>
        <w:contextualSpacing w:val="0"/>
        <w:jc w:val="both"/>
        <w:rPr>
          <w:rFonts w:asciiTheme="minorHAnsi" w:eastAsia="Arial" w:hAnsiTheme="minorHAnsi" w:cstheme="minorHAnsi"/>
          <w:sz w:val="24"/>
          <w:szCs w:val="24"/>
        </w:rPr>
      </w:pPr>
    </w:p>
    <w:p w14:paraId="7925D218" w14:textId="1E4A6327" w:rsidR="00121266" w:rsidRPr="00AA40E0" w:rsidRDefault="002C18E7" w:rsidP="005B6F8F">
      <w:pPr>
        <w:pStyle w:val="PargrafodaLista"/>
        <w:pBdr>
          <w:top w:val="nil"/>
          <w:left w:val="nil"/>
          <w:bottom w:val="nil"/>
          <w:right w:val="nil"/>
          <w:between w:val="nil"/>
        </w:pBdr>
        <w:suppressAutoHyphens w:val="0"/>
        <w:spacing w:before="120" w:after="120" w:line="240" w:lineRule="auto"/>
        <w:ind w:left="0"/>
        <w:contextualSpacing w:val="0"/>
        <w:jc w:val="both"/>
        <w:rPr>
          <w:rFonts w:asciiTheme="minorHAnsi" w:eastAsia="Arial" w:hAnsiTheme="minorHAnsi" w:cstheme="minorHAnsi"/>
          <w:b/>
          <w:bCs/>
          <w:sz w:val="24"/>
          <w:szCs w:val="24"/>
        </w:rPr>
      </w:pPr>
      <w:r w:rsidRPr="00AA40E0">
        <w:rPr>
          <w:rFonts w:asciiTheme="minorHAnsi" w:eastAsia="Arial" w:hAnsiTheme="minorHAnsi" w:cstheme="minorHAnsi"/>
          <w:b/>
          <w:bCs/>
          <w:sz w:val="24"/>
          <w:szCs w:val="24"/>
        </w:rPr>
        <w:t xml:space="preserve">4.2. </w:t>
      </w:r>
      <w:r w:rsidR="00121266" w:rsidRPr="00AA40E0">
        <w:rPr>
          <w:rFonts w:asciiTheme="minorHAnsi" w:eastAsia="Arial" w:hAnsiTheme="minorHAnsi" w:cstheme="minorHAnsi"/>
          <w:b/>
          <w:bCs/>
          <w:sz w:val="24"/>
          <w:szCs w:val="24"/>
        </w:rPr>
        <w:t>Justificativas para o parcelamento ou não da contratação</w:t>
      </w:r>
    </w:p>
    <w:p w14:paraId="08D20E1F" w14:textId="77777777" w:rsidR="003F67F3" w:rsidRDefault="003F67F3"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hAnsiTheme="minorHAnsi" w:cstheme="minorHAnsi"/>
          <w:sz w:val="24"/>
          <w:szCs w:val="24"/>
        </w:rPr>
      </w:pPr>
      <w:r w:rsidRPr="003F67F3">
        <w:rPr>
          <w:rFonts w:asciiTheme="minorHAnsi" w:hAnsiTheme="minorHAnsi" w:cstheme="minorHAnsi"/>
          <w:sz w:val="24"/>
          <w:szCs w:val="24"/>
        </w:rPr>
        <w:t xml:space="preserve">Considerando a natureza técnica e integrada dos serviços pretendidos, não se mostra viável o parcelamento da contratação, tendo em vista que os serviços de consultoria em investimentos, acompanhamento da carteira, elaboração de estudos técnicos, suporte às obrigações regulatórias, apoio à governança previdenciária e manutenção das práticas relacionadas ao Pró-Gestão RPPS nível IV possuem relação direta entre si e demandam atuação coordenada, contínua e padronizada. O eventual fracionamento da contratação poderia comprometer a uniformidade das informações, a integração das atividades, a eficiência operacional e a qualidade do suporte técnico prestado ao ITAPEVIPREV, além </w:t>
      </w:r>
      <w:r w:rsidRPr="003F67F3">
        <w:rPr>
          <w:rFonts w:asciiTheme="minorHAnsi" w:hAnsiTheme="minorHAnsi" w:cstheme="minorHAnsi"/>
          <w:sz w:val="24"/>
          <w:szCs w:val="24"/>
        </w:rPr>
        <w:lastRenderedPageBreak/>
        <w:t>de dificultar a responsabilização contratual e o alinhamento estratégico das ações relacionadas à gestão dos investimentos do RPPS.</w:t>
      </w:r>
    </w:p>
    <w:p w14:paraId="7910A013" w14:textId="77777777" w:rsidR="003F67F3" w:rsidRDefault="003F67F3"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hAnsiTheme="minorHAnsi" w:cstheme="minorHAnsi"/>
          <w:sz w:val="24"/>
          <w:szCs w:val="24"/>
        </w:rPr>
      </w:pPr>
    </w:p>
    <w:p w14:paraId="124C5139" w14:textId="7D747DF2" w:rsidR="00121266" w:rsidRPr="00AA40E0" w:rsidRDefault="002C18E7"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eastAsia="Arial" w:hAnsiTheme="minorHAnsi" w:cstheme="minorHAnsi"/>
          <w:b/>
          <w:bCs/>
          <w:color w:val="000000"/>
          <w:sz w:val="24"/>
          <w:szCs w:val="24"/>
        </w:rPr>
      </w:pPr>
      <w:r w:rsidRPr="00AA40E0">
        <w:rPr>
          <w:rFonts w:asciiTheme="minorHAnsi" w:eastAsia="Arial" w:hAnsiTheme="minorHAnsi" w:cstheme="minorHAnsi"/>
          <w:b/>
          <w:bCs/>
          <w:color w:val="000000" w:themeColor="text1"/>
          <w:sz w:val="24"/>
          <w:szCs w:val="24"/>
        </w:rPr>
        <w:t xml:space="preserve">4.3. </w:t>
      </w:r>
      <w:r w:rsidR="00121266" w:rsidRPr="00AA40E0">
        <w:rPr>
          <w:rFonts w:asciiTheme="minorHAnsi" w:eastAsia="Arial" w:hAnsiTheme="minorHAnsi" w:cstheme="minorHAnsi"/>
          <w:b/>
          <w:bCs/>
          <w:color w:val="000000" w:themeColor="text1"/>
          <w:sz w:val="24"/>
          <w:szCs w:val="24"/>
        </w:rPr>
        <w:t xml:space="preserve">Contratações correlatas e/ou </w:t>
      </w:r>
      <w:r w:rsidR="006D7928" w:rsidRPr="00AA40E0">
        <w:rPr>
          <w:rFonts w:asciiTheme="minorHAnsi" w:eastAsia="Arial" w:hAnsiTheme="minorHAnsi" w:cstheme="minorHAnsi"/>
          <w:b/>
          <w:bCs/>
          <w:color w:val="000000" w:themeColor="text1"/>
          <w:sz w:val="24"/>
          <w:szCs w:val="24"/>
        </w:rPr>
        <w:t>interdependentes</w:t>
      </w:r>
    </w:p>
    <w:p w14:paraId="2B5373A2" w14:textId="69ADA773" w:rsidR="00121266" w:rsidRPr="00AA40E0" w:rsidRDefault="007249AA" w:rsidP="00AA40E0">
      <w:pPr>
        <w:spacing w:after="120" w:line="240" w:lineRule="auto"/>
        <w:jc w:val="both"/>
        <w:rPr>
          <w:rFonts w:asciiTheme="minorHAnsi" w:hAnsiTheme="minorHAnsi" w:cstheme="minorHAnsi"/>
          <w:sz w:val="24"/>
          <w:szCs w:val="24"/>
        </w:rPr>
      </w:pPr>
      <w:r w:rsidRPr="00AA40E0">
        <w:rPr>
          <w:rFonts w:asciiTheme="minorHAnsi" w:hAnsiTheme="minorHAnsi" w:cstheme="minorHAnsi"/>
          <w:sz w:val="24"/>
          <w:szCs w:val="24"/>
        </w:rPr>
        <w:t>Não há contratações correlatas ou interdependentes no âmbito desta Autarquia.</w:t>
      </w:r>
    </w:p>
    <w:p w14:paraId="7F448665" w14:textId="77777777" w:rsidR="003F67F3" w:rsidRDefault="003F67F3"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eastAsia="Arial" w:hAnsiTheme="minorHAnsi" w:cstheme="minorHAnsi"/>
          <w:b/>
          <w:bCs/>
          <w:color w:val="000000" w:themeColor="text1"/>
          <w:sz w:val="24"/>
          <w:szCs w:val="24"/>
        </w:rPr>
      </w:pPr>
    </w:p>
    <w:p w14:paraId="3C9A8BA9" w14:textId="0DDA0027" w:rsidR="00EF74C3" w:rsidRPr="00AA40E0" w:rsidRDefault="002C18E7"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eastAsia="Arial" w:hAnsiTheme="minorHAnsi" w:cstheme="minorHAnsi"/>
          <w:b/>
          <w:bCs/>
          <w:color w:val="000000" w:themeColor="text1"/>
          <w:sz w:val="24"/>
          <w:szCs w:val="24"/>
        </w:rPr>
      </w:pPr>
      <w:r w:rsidRPr="00AA40E0">
        <w:rPr>
          <w:rFonts w:asciiTheme="minorHAnsi" w:eastAsia="Arial" w:hAnsiTheme="minorHAnsi" w:cstheme="minorHAnsi"/>
          <w:b/>
          <w:bCs/>
          <w:color w:val="000000" w:themeColor="text1"/>
          <w:sz w:val="24"/>
          <w:szCs w:val="24"/>
        </w:rPr>
        <w:t xml:space="preserve">4.4. </w:t>
      </w:r>
      <w:r w:rsidR="006D7928" w:rsidRPr="00AA40E0">
        <w:rPr>
          <w:rFonts w:asciiTheme="minorHAnsi" w:eastAsia="Arial" w:hAnsiTheme="minorHAnsi" w:cstheme="minorHAnsi"/>
          <w:b/>
          <w:bCs/>
          <w:color w:val="000000" w:themeColor="text1"/>
          <w:sz w:val="24"/>
          <w:szCs w:val="24"/>
        </w:rPr>
        <w:t>Resultados pretendidos</w:t>
      </w:r>
    </w:p>
    <w:p w14:paraId="733479E9" w14:textId="7305A597" w:rsidR="003F67F3" w:rsidRDefault="003F67F3"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eastAsia="Arial" w:hAnsiTheme="minorHAnsi" w:cstheme="minorHAnsi"/>
          <w:color w:val="000000" w:themeColor="text1"/>
          <w:sz w:val="24"/>
          <w:szCs w:val="24"/>
        </w:rPr>
      </w:pPr>
      <w:r w:rsidRPr="003F67F3">
        <w:rPr>
          <w:rFonts w:asciiTheme="minorHAnsi" w:eastAsia="Arial" w:hAnsiTheme="minorHAnsi" w:cstheme="minorHAnsi"/>
          <w:color w:val="000000" w:themeColor="text1"/>
          <w:sz w:val="24"/>
          <w:szCs w:val="24"/>
        </w:rPr>
        <w:t>Com a contratação pretendida, o ITAPEVIPREV busca obter maior segurança técnica e eficiência na gestão dos investimentos do RPPS, assegurando suporte especializado para acompanhamento da carteira de investimentos, análise de riscos, elaboração de estudos estratégicos e auxílio na tomada de decisões relacionadas aos recursos previdenciários. Busca-se ainda fortalecer as práticas de governança e conformidade institucional, garantir apoio técnico no atendimento das exigências dos órgãos reguladores e fiscalizadores, aprimorar os controles internos relacionados à gestão dos investimentos, manter as práticas vinculadas ao Pró-Gestão RPPS nível IV e proporcionar maior eficiência operacional na execução das atividades técnicas e administrativas relacionadas à gestão dos ativos financeiros d</w:t>
      </w:r>
      <w:r>
        <w:rPr>
          <w:rFonts w:asciiTheme="minorHAnsi" w:eastAsia="Arial" w:hAnsiTheme="minorHAnsi" w:cstheme="minorHAnsi"/>
          <w:color w:val="000000" w:themeColor="text1"/>
          <w:sz w:val="24"/>
          <w:szCs w:val="24"/>
        </w:rPr>
        <w:t>o ITAPEVIPREV</w:t>
      </w:r>
      <w:r w:rsidRPr="003F67F3">
        <w:rPr>
          <w:rFonts w:asciiTheme="minorHAnsi" w:eastAsia="Arial" w:hAnsiTheme="minorHAnsi" w:cstheme="minorHAnsi"/>
          <w:color w:val="000000" w:themeColor="text1"/>
          <w:sz w:val="24"/>
          <w:szCs w:val="24"/>
        </w:rPr>
        <w:t>. Além disso, pretende-se garantir continuidade dos serviços especializados, maior qualidade das informações gerenciais e suporte técnico contínuo aos gestores e conselhos do RPPS.</w:t>
      </w:r>
    </w:p>
    <w:p w14:paraId="0E7240CC" w14:textId="77777777" w:rsidR="003F67F3" w:rsidRDefault="003F67F3"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eastAsia="Arial" w:hAnsiTheme="minorHAnsi" w:cstheme="minorHAnsi"/>
          <w:color w:val="000000" w:themeColor="text1"/>
          <w:sz w:val="24"/>
          <w:szCs w:val="24"/>
        </w:rPr>
      </w:pPr>
    </w:p>
    <w:p w14:paraId="0B4C2B1B" w14:textId="3F35CFD0" w:rsidR="007249AA" w:rsidRPr="00AA40E0" w:rsidRDefault="002C18E7" w:rsidP="00AA40E0">
      <w:pPr>
        <w:pStyle w:val="PargrafodaLista"/>
        <w:pBdr>
          <w:top w:val="nil"/>
          <w:left w:val="nil"/>
          <w:bottom w:val="nil"/>
          <w:right w:val="nil"/>
          <w:between w:val="nil"/>
        </w:pBdr>
        <w:suppressAutoHyphens w:val="0"/>
        <w:spacing w:after="120" w:line="240" w:lineRule="auto"/>
        <w:ind w:left="0"/>
        <w:contextualSpacing w:val="0"/>
        <w:jc w:val="both"/>
        <w:rPr>
          <w:rFonts w:asciiTheme="minorHAnsi" w:eastAsia="Arial" w:hAnsiTheme="minorHAnsi" w:cstheme="minorHAnsi"/>
          <w:b/>
          <w:bCs/>
          <w:sz w:val="24"/>
          <w:szCs w:val="24"/>
        </w:rPr>
      </w:pPr>
      <w:r w:rsidRPr="00AA40E0">
        <w:rPr>
          <w:rFonts w:asciiTheme="minorHAnsi" w:eastAsia="Arial" w:hAnsiTheme="minorHAnsi" w:cstheme="minorHAnsi"/>
          <w:b/>
          <w:bCs/>
          <w:sz w:val="24"/>
          <w:szCs w:val="24"/>
        </w:rPr>
        <w:t xml:space="preserve">4.5. </w:t>
      </w:r>
      <w:r w:rsidR="00121266" w:rsidRPr="00AA40E0">
        <w:rPr>
          <w:rFonts w:asciiTheme="minorHAnsi" w:eastAsia="Arial" w:hAnsiTheme="minorHAnsi" w:cstheme="minorHAnsi"/>
          <w:b/>
          <w:bCs/>
          <w:sz w:val="24"/>
          <w:szCs w:val="24"/>
        </w:rPr>
        <w:t>Provid</w:t>
      </w:r>
      <w:r w:rsidR="006D7928" w:rsidRPr="00AA40E0">
        <w:rPr>
          <w:rFonts w:asciiTheme="minorHAnsi" w:eastAsia="Arial" w:hAnsiTheme="minorHAnsi" w:cstheme="minorHAnsi"/>
          <w:b/>
          <w:bCs/>
          <w:sz w:val="24"/>
          <w:szCs w:val="24"/>
        </w:rPr>
        <w:t>ências a serem adotadas</w:t>
      </w:r>
    </w:p>
    <w:p w14:paraId="79CE02EF" w14:textId="421F5165" w:rsidR="003F67F3" w:rsidRDefault="003F67F3" w:rsidP="00AA40E0">
      <w:pPr>
        <w:pStyle w:val="PargrafodaLista"/>
        <w:suppressAutoHyphens w:val="0"/>
        <w:spacing w:after="120" w:line="240" w:lineRule="auto"/>
        <w:ind w:left="0"/>
        <w:contextualSpacing w:val="0"/>
        <w:jc w:val="both"/>
        <w:rPr>
          <w:rFonts w:asciiTheme="minorHAnsi" w:eastAsia="Arial" w:hAnsiTheme="minorHAnsi" w:cstheme="minorHAnsi"/>
          <w:sz w:val="24"/>
          <w:szCs w:val="24"/>
        </w:rPr>
      </w:pPr>
      <w:r w:rsidRPr="003F67F3">
        <w:rPr>
          <w:rFonts w:asciiTheme="minorHAnsi" w:eastAsia="Arial" w:hAnsiTheme="minorHAnsi" w:cstheme="minorHAnsi"/>
          <w:sz w:val="24"/>
          <w:szCs w:val="24"/>
        </w:rPr>
        <w:t>Para viabilizar a adequada execução da contratação, o ITAPEVIPREV deverá adotar as providências administrativas necessárias para formalização do processo de contratação, disponibilização das informações e documentos necessários à execução dos serviços e alinhamento inicial das atividades junto à futura contratada, visando garantir continuidade dos serviços, suporte técnico adequado e atendimento das necessidades relacionadas à gestão dos investimentos do RPPS.</w:t>
      </w:r>
    </w:p>
    <w:p w14:paraId="18063B58" w14:textId="77777777" w:rsidR="003F67F3" w:rsidRDefault="003F67F3" w:rsidP="00AA40E0">
      <w:pPr>
        <w:pStyle w:val="PargrafodaLista"/>
        <w:suppressAutoHyphens w:val="0"/>
        <w:spacing w:after="120" w:line="240" w:lineRule="auto"/>
        <w:ind w:left="0"/>
        <w:contextualSpacing w:val="0"/>
        <w:jc w:val="both"/>
        <w:rPr>
          <w:rFonts w:asciiTheme="minorHAnsi" w:eastAsia="Arial" w:hAnsiTheme="minorHAnsi" w:cstheme="minorHAnsi"/>
          <w:sz w:val="24"/>
          <w:szCs w:val="24"/>
        </w:rPr>
      </w:pPr>
    </w:p>
    <w:p w14:paraId="2972D94C" w14:textId="0B132DBB" w:rsidR="00121266" w:rsidRPr="00AA40E0" w:rsidRDefault="002C18E7" w:rsidP="00AA40E0">
      <w:pPr>
        <w:pStyle w:val="PargrafodaLista"/>
        <w:suppressAutoHyphens w:val="0"/>
        <w:spacing w:after="120" w:line="240" w:lineRule="auto"/>
        <w:ind w:left="0"/>
        <w:contextualSpacing w:val="0"/>
        <w:jc w:val="both"/>
        <w:rPr>
          <w:rFonts w:asciiTheme="minorHAnsi" w:eastAsia="Arial" w:hAnsiTheme="minorHAnsi" w:cstheme="minorHAnsi"/>
          <w:b/>
          <w:bCs/>
          <w:sz w:val="24"/>
          <w:szCs w:val="24"/>
        </w:rPr>
      </w:pPr>
      <w:r w:rsidRPr="00AA40E0">
        <w:rPr>
          <w:rFonts w:asciiTheme="minorHAnsi" w:eastAsia="Arial" w:hAnsiTheme="minorHAnsi" w:cstheme="minorHAnsi"/>
          <w:b/>
          <w:bCs/>
          <w:sz w:val="24"/>
          <w:szCs w:val="24"/>
        </w:rPr>
        <w:t xml:space="preserve">4.6. </w:t>
      </w:r>
      <w:r w:rsidR="00121266" w:rsidRPr="00AA40E0">
        <w:rPr>
          <w:rFonts w:asciiTheme="minorHAnsi" w:eastAsia="Arial" w:hAnsiTheme="minorHAnsi" w:cstheme="minorHAnsi"/>
          <w:b/>
          <w:bCs/>
          <w:sz w:val="24"/>
          <w:szCs w:val="24"/>
        </w:rPr>
        <w:t>Possív</w:t>
      </w:r>
      <w:r w:rsidR="006D7928" w:rsidRPr="00AA40E0">
        <w:rPr>
          <w:rFonts w:asciiTheme="minorHAnsi" w:eastAsia="Arial" w:hAnsiTheme="minorHAnsi" w:cstheme="minorHAnsi"/>
          <w:b/>
          <w:bCs/>
          <w:sz w:val="24"/>
          <w:szCs w:val="24"/>
        </w:rPr>
        <w:t>eis impactos ambientais</w:t>
      </w:r>
    </w:p>
    <w:p w14:paraId="7D81F03E" w14:textId="62F9EFEF"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 xml:space="preserve">Os possíveis impactos ambientais decorrentes da contratação de uma empresa para prestação de serviços remotos de assessoria técnica especializada ao Regime Próprio de Previdência Social (RPPS) podem ser mínimos, mas ainda é importante considerá-los e adotar medidas para mitigá-los. </w:t>
      </w:r>
    </w:p>
    <w:p w14:paraId="47372890"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Consumo de Recursos Naturais: A prestação de serviços remotos pode envolver o uso de equipamentos eletrônicos, como computadores e servidores, que consomem energia elétrica. Isso pode contribuir para o aumento do consumo de recursos naturais, como a energia elétrica.</w:t>
      </w:r>
    </w:p>
    <w:p w14:paraId="0E60009A"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lastRenderedPageBreak/>
        <w:t>Medidas de Mitigação: Utilizar equipamentos com certificação energética eficiente, promover o uso consciente de energia, desligando os equipamentos quando não estiverem em uso, e investir em fontes de energia renovável, quando possível.</w:t>
      </w:r>
    </w:p>
    <w:p w14:paraId="6FDE0DB7"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Geração de Resíduos Eletrônicos: A substituição frequente de equipamentos eletrônicos pode resultar na geração de resíduos eletrônicos, que podem conter substâncias tóxicas e representar um risco ambiental se não forem descartados corretamente.</w:t>
      </w:r>
    </w:p>
    <w:p w14:paraId="6DE41DF1"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Medidas de Mitigação: Implementar programas de descarte e reciclagem responsável de equipamentos eletrônicos, em conformidade com a legislação ambiental vigente, e priorizar a compra de equipamentos com materiais recicláveis e de fácil reciclagem.</w:t>
      </w:r>
    </w:p>
    <w:p w14:paraId="1B65A558"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Emissões de Gases de Efeito Estufa: As atividades relacionadas à prestação de serviços remotos podem contribuir para a emissão de gases de efeito estufa, principalmente se envolverem deslocamentos de pessoal ou o uso intensivo de equipamentos que consomem energia.</w:t>
      </w:r>
    </w:p>
    <w:p w14:paraId="731C137D"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Medidas de Mitigação: Promover o uso de tecnologias de comunicação online que minimizem a necessidade de deslocamentos físicos, incentivar práticas de trabalho remoto para reduzir as emissões de gases de efeito estufa associadas a deslocamentos e implementar programas de compensação de carbono, quando viável.</w:t>
      </w:r>
    </w:p>
    <w:p w14:paraId="735414A5"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Impactos sobre Ecossistemas Locais: Dependendo da localização das instalações da empresa contratada, podem ocorrer impactos sobre os ecossistemas locais, como desmatamento, poluição da água e do ar, entre outros.</w:t>
      </w:r>
    </w:p>
    <w:p w14:paraId="1ADD5DC7" w14:textId="77777777" w:rsidR="00EF74C3" w:rsidRPr="00AA40E0" w:rsidRDefault="00EF74C3" w:rsidP="00AA40E0">
      <w:pPr>
        <w:suppressAutoHyphens w:val="0"/>
        <w:spacing w:after="120" w:line="240" w:lineRule="auto"/>
        <w:jc w:val="both"/>
        <w:rPr>
          <w:rFonts w:asciiTheme="minorHAnsi" w:eastAsia="Arial" w:hAnsiTheme="minorHAnsi" w:cstheme="minorHAnsi"/>
          <w:sz w:val="24"/>
          <w:szCs w:val="24"/>
        </w:rPr>
      </w:pPr>
      <w:r w:rsidRPr="00AA40E0">
        <w:rPr>
          <w:rFonts w:asciiTheme="minorHAnsi" w:eastAsia="Arial" w:hAnsiTheme="minorHAnsi" w:cstheme="minorHAnsi"/>
          <w:sz w:val="24"/>
          <w:szCs w:val="24"/>
        </w:rPr>
        <w:t>Medidas de Mitigação: Realizar uma avaliação ambiental prévia das instalações da empresa contratada, adotar medidas de proteção ambiental adequadas, como o plantio de árvores nativas e a implementação de sistemas de tratamento de água e efluentes, e cumprir com as regulamentações ambientais locais.</w:t>
      </w:r>
    </w:p>
    <w:p w14:paraId="7A418DBB" w14:textId="5CAC8EE5" w:rsidR="002C18E7" w:rsidRDefault="001713DB" w:rsidP="00AA40E0">
      <w:pPr>
        <w:pStyle w:val="PargrafodaLista"/>
        <w:suppressAutoHyphens w:val="0"/>
        <w:spacing w:after="120" w:line="240" w:lineRule="auto"/>
        <w:ind w:left="0"/>
        <w:contextualSpacing w:val="0"/>
        <w:jc w:val="both"/>
        <w:rPr>
          <w:rFonts w:asciiTheme="minorHAnsi" w:eastAsia="Arial" w:hAnsiTheme="minorHAnsi" w:cstheme="minorHAnsi"/>
          <w:sz w:val="24"/>
          <w:szCs w:val="24"/>
        </w:rPr>
      </w:pPr>
      <w:r w:rsidRPr="001713DB">
        <w:rPr>
          <w:rFonts w:asciiTheme="minorHAnsi" w:eastAsia="Arial" w:hAnsiTheme="minorHAnsi" w:cstheme="minorHAnsi"/>
          <w:sz w:val="24"/>
          <w:szCs w:val="24"/>
        </w:rPr>
        <w:t>Considerando a natureza predominantemente intelectual e remota dos serviços pretendidos, os impactos ambientais relacionados à contratação mostram-se reduzidos, especialmente em razão da utilização de ferramentas digitais, atendimentos eletrônicos e compartilhamento de documentos em formato digital, contribuindo para diminuição do consumo de papel, deslocamentos e demais recursos físicos. Dessa forma, a solução adotada demonstra alinhamento com práticas administrativas mais eficientes e sustentáveis.</w:t>
      </w:r>
    </w:p>
    <w:p w14:paraId="1AD4E8AD" w14:textId="77777777" w:rsidR="001713DB" w:rsidRPr="00AA40E0" w:rsidRDefault="001713DB" w:rsidP="00AA40E0">
      <w:pPr>
        <w:pStyle w:val="PargrafodaLista"/>
        <w:suppressAutoHyphens w:val="0"/>
        <w:spacing w:after="120" w:line="240" w:lineRule="auto"/>
        <w:ind w:left="0"/>
        <w:contextualSpacing w:val="0"/>
        <w:jc w:val="both"/>
        <w:rPr>
          <w:rFonts w:asciiTheme="minorHAnsi" w:eastAsia="Arial" w:hAnsiTheme="minorHAnsi" w:cstheme="minorHAnsi"/>
          <w:sz w:val="24"/>
          <w:szCs w:val="24"/>
        </w:rPr>
      </w:pPr>
    </w:p>
    <w:p w14:paraId="24A720B2" w14:textId="7A386459" w:rsidR="000770A1" w:rsidRPr="00AA40E0" w:rsidRDefault="002C18E7" w:rsidP="00AA40E0">
      <w:pPr>
        <w:shd w:val="clear" w:color="auto" w:fill="B4C6E7" w:themeFill="accent5" w:themeFillTint="66"/>
        <w:spacing w:after="120" w:line="240" w:lineRule="auto"/>
        <w:jc w:val="both"/>
        <w:rPr>
          <w:rFonts w:asciiTheme="minorHAnsi" w:hAnsiTheme="minorHAnsi" w:cstheme="minorHAnsi"/>
          <w:b/>
          <w:sz w:val="24"/>
          <w:szCs w:val="24"/>
        </w:rPr>
      </w:pPr>
      <w:r w:rsidRPr="00AA40E0">
        <w:rPr>
          <w:rFonts w:asciiTheme="minorHAnsi" w:hAnsiTheme="minorHAnsi" w:cstheme="minorHAnsi"/>
          <w:b/>
          <w:sz w:val="24"/>
          <w:szCs w:val="24"/>
        </w:rPr>
        <w:t xml:space="preserve">5. </w:t>
      </w:r>
      <w:r w:rsidR="000770A1" w:rsidRPr="00AA40E0">
        <w:rPr>
          <w:rFonts w:asciiTheme="minorHAnsi" w:hAnsiTheme="minorHAnsi" w:cstheme="minorHAnsi"/>
          <w:b/>
          <w:sz w:val="24"/>
          <w:szCs w:val="24"/>
        </w:rPr>
        <w:t>POSICIONAMENTO CONCLUSIVO</w:t>
      </w:r>
    </w:p>
    <w:p w14:paraId="04633F17" w14:textId="3E36D3BE" w:rsidR="00766157" w:rsidRDefault="006577BF" w:rsidP="00766157">
      <w:pPr>
        <w:widowControl w:val="0"/>
        <w:spacing w:after="120" w:line="240" w:lineRule="auto"/>
        <w:jc w:val="both"/>
        <w:rPr>
          <w:rFonts w:asciiTheme="minorHAnsi" w:hAnsiTheme="minorHAnsi" w:cstheme="minorHAnsi"/>
          <w:sz w:val="24"/>
          <w:szCs w:val="24"/>
        </w:rPr>
      </w:pPr>
      <w:bookmarkStart w:id="6" w:name="_k96llbbutqew"/>
      <w:bookmarkEnd w:id="6"/>
      <w:r w:rsidRPr="006577BF">
        <w:rPr>
          <w:rFonts w:asciiTheme="minorHAnsi" w:hAnsiTheme="minorHAnsi" w:cstheme="minorHAnsi"/>
          <w:sz w:val="24"/>
          <w:szCs w:val="24"/>
        </w:rPr>
        <w:t xml:space="preserve">Diante da necessidade contínua de suporte técnico especializado para acompanhamento e gestão dos investimentos do RPPS, conclui-se pela viabilidade e necessidade da contratação de empresa especializada para prestação de serviços de consultoria em investimentos e gestão de ativos financeiros ao ITAPEVIPREV, por meio de inexigibilidade de licitação, nos termos do art. 74, inciso III, alínea “c”, da Lei nº 14.133/2021. A contratação visa garantir suporte técnico qualificado para acompanhamento da carteira de investimentos, elaboração de estudos estratégicos, apoio às obrigações regulatórias, </w:t>
      </w:r>
      <w:r w:rsidRPr="006577BF">
        <w:rPr>
          <w:rFonts w:asciiTheme="minorHAnsi" w:hAnsiTheme="minorHAnsi" w:cstheme="minorHAnsi"/>
          <w:sz w:val="24"/>
          <w:szCs w:val="24"/>
        </w:rPr>
        <w:lastRenderedPageBreak/>
        <w:t xml:space="preserve">suporte às práticas de governança previdenciária e manutenção das atividades relacionadas ao Pró-Gestão RPPS nível IV, contribuindo para maior eficiência, segurança técnica e conformidade na gestão dos recursos previdenciários </w:t>
      </w:r>
      <w:r>
        <w:rPr>
          <w:rFonts w:asciiTheme="minorHAnsi" w:hAnsiTheme="minorHAnsi" w:cstheme="minorHAnsi"/>
          <w:sz w:val="24"/>
          <w:szCs w:val="24"/>
        </w:rPr>
        <w:t>do ITAPEVIPREV</w:t>
      </w:r>
      <w:r w:rsidRPr="006577BF">
        <w:rPr>
          <w:rFonts w:asciiTheme="minorHAnsi" w:hAnsiTheme="minorHAnsi" w:cstheme="minorHAnsi"/>
          <w:sz w:val="24"/>
          <w:szCs w:val="24"/>
        </w:rPr>
        <w:t>. A solução proposta demonstra-se adequada às necessidades do ITAPEVIPREV, considerando a complexidade técnica dos serviços, a necessidade de atuação especializada e contínua, bem como a importância da manutenção das práticas de governança e controle relacionadas à gestão dos investimentos do RPPS. Dessa forma, entende-se que a contratação representa medida necessária e vantajosa para fortalecimento da gestão previdenciária, apoio à tomada de decisões estratégicas e continuidade dos serviços técnicos especializados relacionados aos investimentos</w:t>
      </w:r>
      <w:r>
        <w:rPr>
          <w:rFonts w:asciiTheme="minorHAnsi" w:hAnsiTheme="minorHAnsi" w:cstheme="minorHAnsi"/>
          <w:sz w:val="24"/>
          <w:szCs w:val="24"/>
        </w:rPr>
        <w:t xml:space="preserve"> do ITAPEVIPREV</w:t>
      </w:r>
      <w:r w:rsidRPr="006577BF">
        <w:rPr>
          <w:rFonts w:asciiTheme="minorHAnsi" w:hAnsiTheme="minorHAnsi" w:cstheme="minorHAnsi"/>
          <w:sz w:val="24"/>
          <w:szCs w:val="24"/>
        </w:rPr>
        <w:t>.</w:t>
      </w:r>
    </w:p>
    <w:p w14:paraId="684C0590" w14:textId="77777777" w:rsidR="006577BF" w:rsidRPr="00766157" w:rsidRDefault="006577BF" w:rsidP="00766157">
      <w:pPr>
        <w:widowControl w:val="0"/>
        <w:spacing w:after="120" w:line="240" w:lineRule="auto"/>
        <w:jc w:val="both"/>
        <w:rPr>
          <w:rFonts w:asciiTheme="minorHAnsi" w:hAnsiTheme="minorHAnsi" w:cstheme="minorHAnsi"/>
          <w:sz w:val="24"/>
          <w:szCs w:val="24"/>
        </w:rPr>
      </w:pPr>
    </w:p>
    <w:p w14:paraId="396AD1EA" w14:textId="77777777" w:rsidR="00F775D2" w:rsidRDefault="00F775D2" w:rsidP="00F775D2">
      <w:pPr>
        <w:spacing w:line="264" w:lineRule="auto"/>
        <w:jc w:val="center"/>
        <w:rPr>
          <w:rFonts w:ascii="Arial" w:hAnsi="Arial" w:cs="Arial"/>
        </w:rPr>
      </w:pPr>
    </w:p>
    <w:p w14:paraId="1EE5A6EA" w14:textId="27AADDA7" w:rsidR="00F775D2" w:rsidRPr="00537897" w:rsidRDefault="00F775D2" w:rsidP="00F775D2">
      <w:pPr>
        <w:spacing w:line="264" w:lineRule="auto"/>
        <w:jc w:val="center"/>
        <w:rPr>
          <w:rFonts w:ascii="Arial" w:hAnsi="Arial" w:cs="Arial"/>
        </w:rPr>
      </w:pPr>
      <w:r w:rsidRPr="00537897">
        <w:rPr>
          <w:rFonts w:ascii="Arial" w:hAnsi="Arial" w:cs="Arial"/>
        </w:rPr>
        <w:t>ITAPEVI/SP,</w:t>
      </w:r>
      <w:r>
        <w:rPr>
          <w:rFonts w:ascii="Arial" w:hAnsi="Arial" w:cs="Arial"/>
        </w:rPr>
        <w:t xml:space="preserve"> 11 </w:t>
      </w:r>
      <w:r w:rsidRPr="00537897">
        <w:rPr>
          <w:rFonts w:ascii="Arial" w:hAnsi="Arial" w:cs="Arial"/>
        </w:rPr>
        <w:t xml:space="preserve">de </w:t>
      </w:r>
      <w:r>
        <w:rPr>
          <w:rFonts w:ascii="Arial" w:hAnsi="Arial" w:cs="Arial"/>
        </w:rPr>
        <w:t>maio</w:t>
      </w:r>
      <w:r w:rsidRPr="00537897">
        <w:rPr>
          <w:rFonts w:ascii="Arial" w:hAnsi="Arial" w:cs="Arial"/>
        </w:rPr>
        <w:t xml:space="preserve"> de 2026.</w:t>
      </w:r>
    </w:p>
    <w:p w14:paraId="6B412A15" w14:textId="77777777" w:rsidR="00F775D2" w:rsidRDefault="00F775D2" w:rsidP="00F775D2">
      <w:pPr>
        <w:spacing w:line="264" w:lineRule="auto"/>
        <w:jc w:val="both"/>
        <w:rPr>
          <w:rFonts w:ascii="Arial" w:hAnsi="Arial" w:cs="Arial"/>
        </w:rPr>
      </w:pPr>
    </w:p>
    <w:p w14:paraId="3DF867FB" w14:textId="77777777" w:rsidR="00F775D2" w:rsidRDefault="00F775D2" w:rsidP="00F775D2">
      <w:pPr>
        <w:spacing w:line="264" w:lineRule="auto"/>
        <w:jc w:val="both"/>
        <w:rPr>
          <w:rFonts w:ascii="Arial" w:hAnsi="Arial" w:cs="Arial"/>
        </w:rPr>
      </w:pPr>
    </w:p>
    <w:p w14:paraId="7DB9E7DD" w14:textId="77777777" w:rsidR="00F775D2" w:rsidRDefault="00F775D2" w:rsidP="00F775D2">
      <w:pPr>
        <w:spacing w:line="264" w:lineRule="auto"/>
        <w:jc w:val="both"/>
        <w:rPr>
          <w:rFonts w:ascii="Arial" w:hAnsi="Arial" w:cs="Arial"/>
        </w:rPr>
      </w:pPr>
    </w:p>
    <w:tbl>
      <w:tblPr>
        <w:tblpPr w:leftFromText="141" w:rightFromText="141" w:vertAnchor="text" w:horzAnchor="margin" w:tblpXSpec="center" w:tblpY="2"/>
        <w:tblW w:w="4318" w:type="dxa"/>
        <w:tblCellMar>
          <w:left w:w="70" w:type="dxa"/>
          <w:right w:w="70" w:type="dxa"/>
        </w:tblCellMar>
        <w:tblLook w:val="04A0" w:firstRow="1" w:lastRow="0" w:firstColumn="1" w:lastColumn="0" w:noHBand="0" w:noVBand="1"/>
      </w:tblPr>
      <w:tblGrid>
        <w:gridCol w:w="4318"/>
      </w:tblGrid>
      <w:tr w:rsidR="00F775D2" w:rsidRPr="004E7EA1" w14:paraId="79AAFF42" w14:textId="77777777" w:rsidTr="00F775D2">
        <w:trPr>
          <w:trHeight w:val="1490"/>
        </w:trPr>
        <w:tc>
          <w:tcPr>
            <w:tcW w:w="4318" w:type="dxa"/>
          </w:tcPr>
          <w:p w14:paraId="600107C3" w14:textId="77777777" w:rsidR="00F775D2" w:rsidRDefault="00F775D2" w:rsidP="00D31226">
            <w:pPr>
              <w:spacing w:before="100" w:beforeAutospacing="1" w:after="100" w:afterAutospacing="1"/>
              <w:ind w:right="-33"/>
              <w:jc w:val="center"/>
              <w:rPr>
                <w:rFonts w:ascii="Aptos" w:eastAsia="Arial MT" w:hAnsi="Aptos" w:cs="Arial"/>
              </w:rPr>
            </w:pPr>
          </w:p>
          <w:p w14:paraId="2293B50F" w14:textId="77777777" w:rsidR="00F775D2" w:rsidRPr="004E7EA1" w:rsidRDefault="00F775D2" w:rsidP="00D31226">
            <w:pPr>
              <w:spacing w:before="100" w:beforeAutospacing="1" w:after="100" w:afterAutospacing="1"/>
              <w:ind w:right="-33"/>
              <w:jc w:val="center"/>
              <w:rPr>
                <w:rFonts w:ascii="Aptos" w:eastAsia="Arial MT" w:hAnsi="Aptos" w:cs="Arial"/>
              </w:rPr>
            </w:pPr>
            <w:r w:rsidRPr="004E7EA1">
              <w:rPr>
                <w:rFonts w:ascii="Aptos" w:eastAsia="Arial MT" w:hAnsi="Aptos" w:cs="Arial"/>
                <w:b/>
                <w:bCs/>
              </w:rPr>
              <w:t>Richard Moreira Rodrigues</w:t>
            </w:r>
            <w:r>
              <w:rPr>
                <w:rFonts w:ascii="Aptos" w:eastAsia="Arial MT" w:hAnsi="Aptos" w:cs="Arial"/>
                <w:b/>
                <w:bCs/>
              </w:rPr>
              <w:br/>
            </w:r>
            <w:r>
              <w:rPr>
                <w:rFonts w:ascii="Aptos" w:eastAsia="Arial MT" w:hAnsi="Aptos" w:cs="Arial"/>
              </w:rPr>
              <w:t>Chefe de Gabinete</w:t>
            </w:r>
            <w:r w:rsidRPr="004E7EA1">
              <w:rPr>
                <w:rFonts w:ascii="Aptos" w:eastAsia="Arial MT" w:hAnsi="Aptos" w:cs="Arial"/>
              </w:rPr>
              <w:br/>
            </w:r>
          </w:p>
        </w:tc>
      </w:tr>
    </w:tbl>
    <w:p w14:paraId="066991EB" w14:textId="5507EBB6" w:rsidR="00522D7D" w:rsidRPr="00AA40E0" w:rsidRDefault="00522D7D" w:rsidP="008F5479">
      <w:pPr>
        <w:widowControl w:val="0"/>
        <w:spacing w:after="120" w:line="240" w:lineRule="auto"/>
        <w:jc w:val="both"/>
        <w:rPr>
          <w:rFonts w:asciiTheme="minorHAnsi" w:hAnsiTheme="minorHAnsi" w:cstheme="minorHAnsi"/>
          <w:sz w:val="24"/>
          <w:szCs w:val="24"/>
        </w:rPr>
      </w:pPr>
    </w:p>
    <w:sectPr w:rsidR="00522D7D" w:rsidRPr="00AA40E0" w:rsidSect="00D024BC">
      <w:headerReference w:type="default" r:id="rId11"/>
      <w:footerReference w:type="default" r:id="rId12"/>
      <w:type w:val="continuous"/>
      <w:pgSz w:w="11906" w:h="16838"/>
      <w:pgMar w:top="1134" w:right="1133"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FD177" w14:textId="77777777" w:rsidR="00D92410" w:rsidRDefault="00D92410" w:rsidP="00143FFC">
      <w:pPr>
        <w:spacing w:after="0" w:line="240" w:lineRule="auto"/>
      </w:pPr>
      <w:r>
        <w:separator/>
      </w:r>
    </w:p>
  </w:endnote>
  <w:endnote w:type="continuationSeparator" w:id="0">
    <w:p w14:paraId="0E2E43FC" w14:textId="77777777" w:rsidR="00D92410" w:rsidRDefault="00D92410" w:rsidP="0014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416984113"/>
      <w:docPartObj>
        <w:docPartGallery w:val="Page Numbers (Bottom of Page)"/>
        <w:docPartUnique/>
      </w:docPartObj>
    </w:sdtPr>
    <w:sdtEndPr>
      <w:rPr>
        <w:sz w:val="16"/>
        <w:szCs w:val="16"/>
      </w:rPr>
    </w:sdtEndPr>
    <w:sdtContent>
      <w:p w14:paraId="455FCBF2" w14:textId="0874A5A7" w:rsidR="00515A13" w:rsidRPr="00FD3B9A" w:rsidRDefault="00FD3B9A" w:rsidP="002942FA">
        <w:pPr>
          <w:pStyle w:val="Rodap"/>
          <w:spacing w:before="120"/>
          <w:jc w:val="right"/>
          <w:rPr>
            <w:rFonts w:ascii="Arial" w:hAnsi="Arial" w:cs="Arial"/>
            <w:sz w:val="16"/>
            <w:szCs w:val="16"/>
          </w:rPr>
        </w:pPr>
        <w:r w:rsidRPr="00FD3B9A">
          <w:rPr>
            <w:rFonts w:ascii="Arial" w:hAnsi="Arial" w:cs="Arial"/>
          </w:rPr>
          <w:t xml:space="preserve">Página </w:t>
        </w:r>
        <w:r w:rsidRPr="00FD3B9A">
          <w:rPr>
            <w:rFonts w:ascii="Arial" w:hAnsi="Arial" w:cs="Arial"/>
            <w:b/>
            <w:bCs/>
          </w:rPr>
          <w:fldChar w:fldCharType="begin"/>
        </w:r>
        <w:r w:rsidRPr="00FD3B9A">
          <w:rPr>
            <w:rFonts w:ascii="Arial" w:hAnsi="Arial" w:cs="Arial"/>
            <w:b/>
            <w:bCs/>
          </w:rPr>
          <w:instrText>PAGE  \* Arabic  \* MERGEFORMAT</w:instrText>
        </w:r>
        <w:r w:rsidRPr="00FD3B9A">
          <w:rPr>
            <w:rFonts w:ascii="Arial" w:hAnsi="Arial" w:cs="Arial"/>
            <w:b/>
            <w:bCs/>
          </w:rPr>
          <w:fldChar w:fldCharType="separate"/>
        </w:r>
        <w:r w:rsidRPr="00FD3B9A">
          <w:rPr>
            <w:rFonts w:ascii="Arial" w:hAnsi="Arial" w:cs="Arial"/>
            <w:b/>
            <w:bCs/>
          </w:rPr>
          <w:t>1</w:t>
        </w:r>
        <w:r w:rsidRPr="00FD3B9A">
          <w:rPr>
            <w:rFonts w:ascii="Arial" w:hAnsi="Arial" w:cs="Arial"/>
            <w:b/>
            <w:bCs/>
          </w:rPr>
          <w:fldChar w:fldCharType="end"/>
        </w:r>
        <w:r w:rsidRPr="00FD3B9A">
          <w:rPr>
            <w:rFonts w:ascii="Arial" w:hAnsi="Arial" w:cs="Arial"/>
          </w:rPr>
          <w:t xml:space="preserve"> de </w:t>
        </w:r>
        <w:r w:rsidRPr="00FD3B9A">
          <w:rPr>
            <w:rFonts w:ascii="Arial" w:hAnsi="Arial" w:cs="Arial"/>
            <w:b/>
            <w:bCs/>
          </w:rPr>
          <w:fldChar w:fldCharType="begin"/>
        </w:r>
        <w:r w:rsidRPr="00FD3B9A">
          <w:rPr>
            <w:rFonts w:ascii="Arial" w:hAnsi="Arial" w:cs="Arial"/>
            <w:b/>
            <w:bCs/>
          </w:rPr>
          <w:instrText>NUMPAGES  \* Arabic  \* MERGEFORMAT</w:instrText>
        </w:r>
        <w:r w:rsidRPr="00FD3B9A">
          <w:rPr>
            <w:rFonts w:ascii="Arial" w:hAnsi="Arial" w:cs="Arial"/>
            <w:b/>
            <w:bCs/>
          </w:rPr>
          <w:fldChar w:fldCharType="separate"/>
        </w:r>
        <w:r w:rsidRPr="00FD3B9A">
          <w:rPr>
            <w:rFonts w:ascii="Arial" w:hAnsi="Arial" w:cs="Arial"/>
            <w:b/>
            <w:bCs/>
          </w:rPr>
          <w:t>2</w:t>
        </w:r>
        <w:r w:rsidRPr="00FD3B9A">
          <w:rPr>
            <w:rFonts w:ascii="Arial" w:hAnsi="Arial" w:cs="Arial"/>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A73ED" w14:textId="77777777" w:rsidR="00D92410" w:rsidRDefault="00D92410" w:rsidP="00143FFC">
      <w:pPr>
        <w:spacing w:after="0" w:line="240" w:lineRule="auto"/>
      </w:pPr>
      <w:r>
        <w:separator/>
      </w:r>
    </w:p>
  </w:footnote>
  <w:footnote w:type="continuationSeparator" w:id="0">
    <w:p w14:paraId="35E6B474" w14:textId="77777777" w:rsidR="00D92410" w:rsidRDefault="00D92410" w:rsidP="00143F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EB57A" w14:textId="799CC75B" w:rsidR="00FA6FAD" w:rsidRDefault="00FA6FAD" w:rsidP="00FA6FAD">
    <w:pPr>
      <w:spacing w:after="0" w:line="240" w:lineRule="auto"/>
      <w:jc w:val="center"/>
      <w:rPr>
        <w:b/>
        <w:caps/>
        <w:szCs w:val="20"/>
      </w:rPr>
    </w:pPr>
    <w:r w:rsidRPr="009C1326">
      <w:rPr>
        <w:noProof/>
      </w:rPr>
      <w:drawing>
        <wp:inline distT="0" distB="0" distL="0" distR="0" wp14:anchorId="39110738" wp14:editId="2C134076">
          <wp:extent cx="457200" cy="552450"/>
          <wp:effectExtent l="0" t="0" r="0" b="0"/>
          <wp:docPr id="1361270986" name="Imagem 1" descr="MacBook SSD:Users:pamelafalconi:Google Drive:Agencia Impacto 2017 ok:CLIENTES:Thi@guinho:Artes:2017:01_ Janeiro:2017.01.30 Nova marca:Brasão de Itapevi.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Book SSD:Users:pamelafalconi:Google Drive:Agencia Impacto 2017 ok:CLIENTES:Thi@guinho:Artes:2017:01_ Janeiro:2017.01.30 Nova marca:Brasão de Itapevi.p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52450"/>
                  </a:xfrm>
                  <a:prstGeom prst="rect">
                    <a:avLst/>
                  </a:prstGeom>
                  <a:noFill/>
                  <a:ln>
                    <a:noFill/>
                  </a:ln>
                </pic:spPr>
              </pic:pic>
            </a:graphicData>
          </a:graphic>
        </wp:inline>
      </w:drawing>
    </w:r>
  </w:p>
  <w:p w14:paraId="2F94FAC3" w14:textId="77777777" w:rsidR="00FA6FAD" w:rsidRPr="00977CEE" w:rsidRDefault="00FA6FAD" w:rsidP="00FA6FAD">
    <w:pPr>
      <w:spacing w:after="0" w:line="240" w:lineRule="auto"/>
      <w:jc w:val="center"/>
      <w:rPr>
        <w:b/>
        <w:caps/>
        <w:sz w:val="10"/>
        <w:szCs w:val="20"/>
      </w:rPr>
    </w:pPr>
  </w:p>
  <w:p w14:paraId="0164E4D5" w14:textId="77777777" w:rsidR="00FA6FAD" w:rsidRPr="00745A01" w:rsidRDefault="00FA6FAD" w:rsidP="00FA6FAD">
    <w:pPr>
      <w:spacing w:after="0" w:line="240" w:lineRule="auto"/>
      <w:jc w:val="center"/>
      <w:rPr>
        <w:b/>
        <w:caps/>
      </w:rPr>
    </w:pPr>
    <w:r w:rsidRPr="00745A01">
      <w:rPr>
        <w:b/>
        <w:caps/>
      </w:rPr>
      <w:t>Prefeitura Municipal de Itapevi</w:t>
    </w:r>
  </w:p>
  <w:p w14:paraId="16AB78A1" w14:textId="77777777" w:rsidR="00FA6FAD" w:rsidRPr="00745A01" w:rsidRDefault="00FA6FAD" w:rsidP="00FA6FAD">
    <w:pPr>
      <w:spacing w:after="0" w:line="240" w:lineRule="auto"/>
      <w:jc w:val="center"/>
      <w:rPr>
        <w:caps/>
        <w:sz w:val="32"/>
        <w:szCs w:val="32"/>
      </w:rPr>
    </w:pPr>
    <w:r w:rsidRPr="00745A01">
      <w:rPr>
        <w:b/>
        <w:caps/>
        <w:sz w:val="32"/>
        <w:szCs w:val="32"/>
      </w:rPr>
      <w:t>Itapeviprev</w:t>
    </w:r>
  </w:p>
  <w:p w14:paraId="4B3F6346" w14:textId="77777777" w:rsidR="00FA6FAD" w:rsidRDefault="00FA6FAD" w:rsidP="00FA6FAD">
    <w:pPr>
      <w:pStyle w:val="Ttulodatabela"/>
      <w:suppressLineNumbers w:val="0"/>
      <w:rPr>
        <w:rFonts w:ascii="Arial" w:hAnsi="Arial" w:cs="Arial"/>
        <w:bCs w:val="0"/>
        <w:sz w:val="22"/>
        <w:szCs w:val="22"/>
      </w:rPr>
    </w:pPr>
    <w:r w:rsidRPr="00202E91">
      <w:rPr>
        <w:rFonts w:ascii="Arial" w:hAnsi="Arial" w:cs="Arial"/>
        <w:bCs w:val="0"/>
        <w:sz w:val="22"/>
        <w:szCs w:val="22"/>
      </w:rPr>
      <w:t xml:space="preserve">Rua Geraldo Vasques, 112 – Jd. </w:t>
    </w:r>
    <w:r>
      <w:rPr>
        <w:rFonts w:ascii="Arial" w:hAnsi="Arial" w:cs="Arial"/>
        <w:bCs w:val="0"/>
        <w:sz w:val="22"/>
        <w:szCs w:val="22"/>
      </w:rPr>
      <w:t>Nova Itapevi – 06694-150 – ITAPEVI – SP</w:t>
    </w:r>
  </w:p>
  <w:p w14:paraId="59D04EE8" w14:textId="77777777" w:rsidR="00FA6FAD" w:rsidRPr="00745A01" w:rsidRDefault="00FA6FAD" w:rsidP="00FA6FAD">
    <w:pPr>
      <w:pStyle w:val="Ttulodatabela"/>
      <w:suppressLineNumbers w:val="0"/>
      <w:rPr>
        <w:rFonts w:ascii="Calibri" w:hAnsi="Calibri"/>
        <w:sz w:val="22"/>
        <w:szCs w:val="22"/>
      </w:rPr>
    </w:pPr>
    <w:r w:rsidRPr="00745A01">
      <w:rPr>
        <w:rFonts w:ascii="Calibri" w:hAnsi="Calibri"/>
        <w:sz w:val="22"/>
        <w:szCs w:val="22"/>
      </w:rPr>
      <w:t xml:space="preserve">Tel.: (11) </w:t>
    </w:r>
    <w:r>
      <w:rPr>
        <w:rFonts w:ascii="Calibri" w:hAnsi="Calibri"/>
        <w:sz w:val="22"/>
        <w:szCs w:val="22"/>
      </w:rPr>
      <w:t>4144-6752</w:t>
    </w:r>
    <w:r w:rsidRPr="00745A01">
      <w:rPr>
        <w:rFonts w:ascii="Calibri" w:hAnsi="Calibri"/>
        <w:sz w:val="22"/>
        <w:szCs w:val="22"/>
      </w:rPr>
      <w:t xml:space="preserve"> </w:t>
    </w:r>
  </w:p>
  <w:p w14:paraId="1D983DA8" w14:textId="008EFC60" w:rsidR="00143FFC" w:rsidRPr="00CD62B5" w:rsidRDefault="00143FFC" w:rsidP="00CD62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03C"/>
    <w:multiLevelType w:val="hybridMultilevel"/>
    <w:tmpl w:val="D64001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4266DF"/>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3C6E70"/>
    <w:multiLevelType w:val="hybridMultilevel"/>
    <w:tmpl w:val="E2FC9082"/>
    <w:lvl w:ilvl="0" w:tplc="5538CCB6">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C93EE6"/>
    <w:multiLevelType w:val="multilevel"/>
    <w:tmpl w:val="6A40AE9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132CAB"/>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715556"/>
    <w:multiLevelType w:val="multilevel"/>
    <w:tmpl w:val="3E42D0BA"/>
    <w:lvl w:ilvl="0">
      <w:start w:val="6"/>
      <w:numFmt w:val="decimal"/>
      <w:lvlText w:val="%1"/>
      <w:lvlJc w:val="left"/>
      <w:pPr>
        <w:ind w:left="360" w:hanging="360"/>
      </w:pPr>
      <w:rPr>
        <w:b w:val="0"/>
        <w:color w:val="auto"/>
      </w:rPr>
    </w:lvl>
    <w:lvl w:ilvl="1">
      <w:start w:val="2"/>
      <w:numFmt w:val="decimal"/>
      <w:lvlText w:val="%1.%2"/>
      <w:lvlJc w:val="left"/>
      <w:pPr>
        <w:ind w:left="360" w:hanging="360"/>
      </w:pPr>
      <w:rPr>
        <w:b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1080" w:hanging="108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440" w:hanging="1440"/>
      </w:pPr>
      <w:rPr>
        <w:b w:val="0"/>
        <w:color w:val="auto"/>
      </w:rPr>
    </w:lvl>
    <w:lvl w:ilvl="6">
      <w:start w:val="1"/>
      <w:numFmt w:val="decimal"/>
      <w:lvlText w:val="%1.%2.%3.%4.%5.%6.%7"/>
      <w:lvlJc w:val="left"/>
      <w:pPr>
        <w:ind w:left="1440" w:hanging="1440"/>
      </w:pPr>
      <w:rPr>
        <w:b w:val="0"/>
        <w:color w:val="auto"/>
      </w:rPr>
    </w:lvl>
    <w:lvl w:ilvl="7">
      <w:start w:val="1"/>
      <w:numFmt w:val="decimal"/>
      <w:lvlText w:val="%1.%2.%3.%4.%5.%6.%7.%8"/>
      <w:lvlJc w:val="left"/>
      <w:pPr>
        <w:ind w:left="1800" w:hanging="1800"/>
      </w:pPr>
      <w:rPr>
        <w:b w:val="0"/>
        <w:color w:val="auto"/>
      </w:rPr>
    </w:lvl>
    <w:lvl w:ilvl="8">
      <w:start w:val="1"/>
      <w:numFmt w:val="decimal"/>
      <w:lvlText w:val="%1.%2.%3.%4.%5.%6.%7.%8.%9"/>
      <w:lvlJc w:val="left"/>
      <w:pPr>
        <w:ind w:left="1800" w:hanging="1800"/>
      </w:pPr>
      <w:rPr>
        <w:b w:val="0"/>
        <w:color w:val="auto"/>
      </w:rPr>
    </w:lvl>
  </w:abstractNum>
  <w:abstractNum w:abstractNumId="6" w15:restartNumberingAfterBreak="0">
    <w:nsid w:val="0B457FBB"/>
    <w:multiLevelType w:val="multilevel"/>
    <w:tmpl w:val="D8DE4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C3048AE"/>
    <w:multiLevelType w:val="multilevel"/>
    <w:tmpl w:val="FD624AB4"/>
    <w:lvl w:ilvl="0">
      <w:start w:val="3"/>
      <w:numFmt w:val="decimal"/>
      <w:lvlText w:val="%1."/>
      <w:lvlJc w:val="left"/>
      <w:pPr>
        <w:ind w:left="390" w:hanging="39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0D940E69"/>
    <w:multiLevelType w:val="multilevel"/>
    <w:tmpl w:val="1CC04F1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F06E5B"/>
    <w:multiLevelType w:val="multilevel"/>
    <w:tmpl w:val="F0548AC6"/>
    <w:lvl w:ilvl="0">
      <w:start w:val="1"/>
      <w:numFmt w:val="decimal"/>
      <w:lvlText w:val="%1"/>
      <w:lvlJc w:val="left"/>
      <w:pPr>
        <w:ind w:left="360" w:hanging="360"/>
      </w:pPr>
      <w:rPr>
        <w:rFonts w:hint="default"/>
        <w:color w:val="000000" w:themeColor="text1"/>
      </w:rPr>
    </w:lvl>
    <w:lvl w:ilvl="1">
      <w:start w:val="2"/>
      <w:numFmt w:val="decimal"/>
      <w:lvlText w:val="%1.%2"/>
      <w:lvlJc w:val="left"/>
      <w:pPr>
        <w:ind w:left="927" w:hanging="360"/>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10"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F975725"/>
    <w:multiLevelType w:val="multilevel"/>
    <w:tmpl w:val="0128A866"/>
    <w:lvl w:ilvl="0">
      <w:start w:val="4"/>
      <w:numFmt w:val="decimal"/>
      <w:lvlText w:val="%1"/>
      <w:lvlJc w:val="left"/>
      <w:pPr>
        <w:ind w:left="360" w:hanging="360"/>
      </w:pPr>
      <w:rPr>
        <w:rFonts w:hint="default"/>
        <w:color w:val="000000" w:themeColor="text1"/>
      </w:rPr>
    </w:lvl>
    <w:lvl w:ilvl="1">
      <w:start w:val="3"/>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2" w15:restartNumberingAfterBreak="0">
    <w:nsid w:val="10C203D2"/>
    <w:multiLevelType w:val="multilevel"/>
    <w:tmpl w:val="95902AB0"/>
    <w:lvl w:ilvl="0">
      <w:start w:val="1"/>
      <w:numFmt w:val="decimal"/>
      <w:lvlText w:val="%1"/>
      <w:lvlJc w:val="left"/>
      <w:pPr>
        <w:ind w:left="360" w:hanging="360"/>
      </w:pPr>
      <w:rPr>
        <w:rFonts w:hint="default"/>
        <w:color w:val="000000" w:themeColor="text1"/>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13" w15:restartNumberingAfterBreak="0">
    <w:nsid w:val="10EC6255"/>
    <w:multiLevelType w:val="hybridMultilevel"/>
    <w:tmpl w:val="596054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7247EA2"/>
    <w:multiLevelType w:val="hybridMultilevel"/>
    <w:tmpl w:val="50089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292725C"/>
    <w:multiLevelType w:val="hybridMultilevel"/>
    <w:tmpl w:val="051C58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5C95C0C"/>
    <w:multiLevelType w:val="hybridMultilevel"/>
    <w:tmpl w:val="E26CE842"/>
    <w:lvl w:ilvl="0" w:tplc="CC44F47C">
      <w:start w:val="1"/>
      <w:numFmt w:val="lowerLetter"/>
      <w:lvlText w:val="%1."/>
      <w:lvlJc w:val="left"/>
      <w:pPr>
        <w:ind w:left="720" w:hanging="360"/>
      </w:pPr>
    </w:lvl>
    <w:lvl w:ilvl="1" w:tplc="FB56BB84">
      <w:start w:val="1"/>
      <w:numFmt w:val="lowerLetter"/>
      <w:lvlText w:val="%2."/>
      <w:lvlJc w:val="left"/>
      <w:pPr>
        <w:ind w:left="1440" w:hanging="360"/>
      </w:pPr>
    </w:lvl>
    <w:lvl w:ilvl="2" w:tplc="578053A6">
      <w:start w:val="1"/>
      <w:numFmt w:val="lowerRoman"/>
      <w:lvlText w:val="%3."/>
      <w:lvlJc w:val="right"/>
      <w:pPr>
        <w:ind w:left="2160" w:hanging="180"/>
      </w:pPr>
    </w:lvl>
    <w:lvl w:ilvl="3" w:tplc="8CE0FEF4">
      <w:start w:val="1"/>
      <w:numFmt w:val="decimal"/>
      <w:lvlText w:val="%4."/>
      <w:lvlJc w:val="left"/>
      <w:pPr>
        <w:ind w:left="2880" w:hanging="360"/>
      </w:pPr>
    </w:lvl>
    <w:lvl w:ilvl="4" w:tplc="7E54CC6A">
      <w:start w:val="1"/>
      <w:numFmt w:val="lowerLetter"/>
      <w:lvlText w:val="%5."/>
      <w:lvlJc w:val="left"/>
      <w:pPr>
        <w:ind w:left="3600" w:hanging="360"/>
      </w:pPr>
    </w:lvl>
    <w:lvl w:ilvl="5" w:tplc="ACD276BE">
      <w:start w:val="1"/>
      <w:numFmt w:val="lowerRoman"/>
      <w:lvlText w:val="%6."/>
      <w:lvlJc w:val="right"/>
      <w:pPr>
        <w:ind w:left="4320" w:hanging="180"/>
      </w:pPr>
    </w:lvl>
    <w:lvl w:ilvl="6" w:tplc="BD7A7D90">
      <w:start w:val="1"/>
      <w:numFmt w:val="decimal"/>
      <w:lvlText w:val="%7."/>
      <w:lvlJc w:val="left"/>
      <w:pPr>
        <w:ind w:left="5040" w:hanging="360"/>
      </w:pPr>
    </w:lvl>
    <w:lvl w:ilvl="7" w:tplc="75C6A012">
      <w:start w:val="1"/>
      <w:numFmt w:val="lowerLetter"/>
      <w:lvlText w:val="%8."/>
      <w:lvlJc w:val="left"/>
      <w:pPr>
        <w:ind w:left="5760" w:hanging="360"/>
      </w:pPr>
    </w:lvl>
    <w:lvl w:ilvl="8" w:tplc="42FC0E6C">
      <w:start w:val="1"/>
      <w:numFmt w:val="lowerRoman"/>
      <w:lvlText w:val="%9."/>
      <w:lvlJc w:val="right"/>
      <w:pPr>
        <w:ind w:left="6480" w:hanging="180"/>
      </w:pPr>
    </w:lvl>
  </w:abstractNum>
  <w:abstractNum w:abstractNumId="17" w15:restartNumberingAfterBreak="0">
    <w:nsid w:val="287C66C0"/>
    <w:multiLevelType w:val="hybridMultilevel"/>
    <w:tmpl w:val="59E03C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C934937"/>
    <w:multiLevelType w:val="hybridMultilevel"/>
    <w:tmpl w:val="060404E2"/>
    <w:lvl w:ilvl="0" w:tplc="A4A8695E">
      <w:start w:val="1"/>
      <w:numFmt w:val="lowerLetter"/>
      <w:lvlText w:val="%1)"/>
      <w:lvlJc w:val="left"/>
      <w:rPr>
        <w:strike w:val="0"/>
      </w:r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19" w15:restartNumberingAfterBreak="0">
    <w:nsid w:val="309636FB"/>
    <w:multiLevelType w:val="hybridMultilevel"/>
    <w:tmpl w:val="12D837C8"/>
    <w:lvl w:ilvl="0" w:tplc="6ACC735C">
      <w:start w:val="3"/>
      <w:numFmt w:val="bullet"/>
      <w:lvlText w:val=""/>
      <w:lvlJc w:val="left"/>
      <w:pPr>
        <w:ind w:left="720" w:hanging="360"/>
      </w:pPr>
      <w:rPr>
        <w:rFonts w:ascii="Symbol" w:eastAsia="Calibr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57913C7"/>
    <w:multiLevelType w:val="multilevel"/>
    <w:tmpl w:val="C778BC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B8F1AA6"/>
    <w:multiLevelType w:val="hybridMultilevel"/>
    <w:tmpl w:val="0C36F9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D6478A6"/>
    <w:multiLevelType w:val="hybridMultilevel"/>
    <w:tmpl w:val="BAC0F39E"/>
    <w:lvl w:ilvl="0" w:tplc="04160001">
      <w:start w:val="1"/>
      <w:numFmt w:val="bullet"/>
      <w:lvlText w:val=""/>
      <w:lvlJc w:val="left"/>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3" w15:restartNumberingAfterBreak="0">
    <w:nsid w:val="3E2149D3"/>
    <w:multiLevelType w:val="hybridMultilevel"/>
    <w:tmpl w:val="B8E23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2F44983"/>
    <w:multiLevelType w:val="hybridMultilevel"/>
    <w:tmpl w:val="F17828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33A4272"/>
    <w:multiLevelType w:val="hybridMultilevel"/>
    <w:tmpl w:val="743A3A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67A6765"/>
    <w:multiLevelType w:val="multilevel"/>
    <w:tmpl w:val="80825B42"/>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51834DE8"/>
    <w:multiLevelType w:val="multilevel"/>
    <w:tmpl w:val="F7482568"/>
    <w:lvl w:ilvl="0">
      <w:start w:val="2"/>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CFA1F57"/>
    <w:multiLevelType w:val="multilevel"/>
    <w:tmpl w:val="1F52E81A"/>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5FC129CD"/>
    <w:multiLevelType w:val="hybridMultilevel"/>
    <w:tmpl w:val="9F948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3B43020"/>
    <w:multiLevelType w:val="hybridMultilevel"/>
    <w:tmpl w:val="AC908F0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2" w15:restartNumberingAfterBreak="0">
    <w:nsid w:val="643C16E7"/>
    <w:multiLevelType w:val="hybridMultilevel"/>
    <w:tmpl w:val="61CC51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0D90C94"/>
    <w:multiLevelType w:val="hybridMultilevel"/>
    <w:tmpl w:val="8F4022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28D4C85"/>
    <w:multiLevelType w:val="hybridMultilevel"/>
    <w:tmpl w:val="A5EA9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290619F"/>
    <w:multiLevelType w:val="multilevel"/>
    <w:tmpl w:val="95904258"/>
    <w:lvl w:ilvl="0">
      <w:start w:val="4"/>
      <w:numFmt w:val="decimal"/>
      <w:lvlText w:val="%1"/>
      <w:lvlJc w:val="left"/>
      <w:pPr>
        <w:ind w:left="360" w:hanging="360"/>
      </w:pPr>
      <w:rPr>
        <w:rFonts w:hint="default"/>
        <w:color w:val="000000" w:themeColor="text1"/>
      </w:rPr>
    </w:lvl>
    <w:lvl w:ilvl="1">
      <w:start w:val="6"/>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6" w15:restartNumberingAfterBreak="0">
    <w:nsid w:val="78F119E4"/>
    <w:multiLevelType w:val="hybridMultilevel"/>
    <w:tmpl w:val="E6A865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83026571">
    <w:abstractNumId w:val="23"/>
  </w:num>
  <w:num w:numId="2" w16cid:durableId="963274780">
    <w:abstractNumId w:val="36"/>
  </w:num>
  <w:num w:numId="3" w16cid:durableId="790631996">
    <w:abstractNumId w:val="33"/>
  </w:num>
  <w:num w:numId="4" w16cid:durableId="957566292">
    <w:abstractNumId w:val="14"/>
  </w:num>
  <w:num w:numId="5" w16cid:durableId="1315111533">
    <w:abstractNumId w:val="15"/>
  </w:num>
  <w:num w:numId="6" w16cid:durableId="735276075">
    <w:abstractNumId w:val="24"/>
  </w:num>
  <w:num w:numId="7" w16cid:durableId="650643862">
    <w:abstractNumId w:val="25"/>
  </w:num>
  <w:num w:numId="8" w16cid:durableId="1395410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1881309">
    <w:abstractNumId w:val="8"/>
  </w:num>
  <w:num w:numId="10" w16cid:durableId="49109589">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29272458">
    <w:abstractNumId w:val="16"/>
  </w:num>
  <w:num w:numId="12" w16cid:durableId="2105807789">
    <w:abstractNumId w:val="28"/>
  </w:num>
  <w:num w:numId="13" w16cid:durableId="1901600334">
    <w:abstractNumId w:val="6"/>
  </w:num>
  <w:num w:numId="14" w16cid:durableId="267591335">
    <w:abstractNumId w:val="10"/>
  </w:num>
  <w:num w:numId="15" w16cid:durableId="907687440">
    <w:abstractNumId w:val="22"/>
  </w:num>
  <w:num w:numId="16" w16cid:durableId="489713766">
    <w:abstractNumId w:val="18"/>
  </w:num>
  <w:num w:numId="17" w16cid:durableId="637613894">
    <w:abstractNumId w:val="32"/>
  </w:num>
  <w:num w:numId="18" w16cid:durableId="267667279">
    <w:abstractNumId w:val="31"/>
  </w:num>
  <w:num w:numId="19" w16cid:durableId="1213078766">
    <w:abstractNumId w:val="26"/>
  </w:num>
  <w:num w:numId="20" w16cid:durableId="706371653">
    <w:abstractNumId w:val="4"/>
  </w:num>
  <w:num w:numId="21" w16cid:durableId="1599603077">
    <w:abstractNumId w:val="1"/>
  </w:num>
  <w:num w:numId="22" w16cid:durableId="1980962793">
    <w:abstractNumId w:val="9"/>
  </w:num>
  <w:num w:numId="23" w16cid:durableId="207956038">
    <w:abstractNumId w:val="12"/>
  </w:num>
  <w:num w:numId="24" w16cid:durableId="855507983">
    <w:abstractNumId w:val="20"/>
  </w:num>
  <w:num w:numId="25" w16cid:durableId="1526556787">
    <w:abstractNumId w:val="11"/>
  </w:num>
  <w:num w:numId="26" w16cid:durableId="780684677">
    <w:abstractNumId w:val="35"/>
  </w:num>
  <w:num w:numId="27" w16cid:durableId="510291828">
    <w:abstractNumId w:val="0"/>
  </w:num>
  <w:num w:numId="28" w16cid:durableId="191960082">
    <w:abstractNumId w:val="34"/>
  </w:num>
  <w:num w:numId="29" w16cid:durableId="486634352">
    <w:abstractNumId w:val="30"/>
  </w:num>
  <w:num w:numId="30" w16cid:durableId="1369719353">
    <w:abstractNumId w:val="21"/>
  </w:num>
  <w:num w:numId="31" w16cid:durableId="2115443893">
    <w:abstractNumId w:val="13"/>
  </w:num>
  <w:num w:numId="32" w16cid:durableId="1614362234">
    <w:abstractNumId w:val="17"/>
  </w:num>
  <w:num w:numId="33" w16cid:durableId="884758255">
    <w:abstractNumId w:val="7"/>
  </w:num>
  <w:num w:numId="34" w16cid:durableId="1245066197">
    <w:abstractNumId w:val="2"/>
  </w:num>
  <w:num w:numId="35" w16cid:durableId="923687965">
    <w:abstractNumId w:val="3"/>
  </w:num>
  <w:num w:numId="36" w16cid:durableId="1204633906">
    <w:abstractNumId w:val="27"/>
  </w:num>
  <w:num w:numId="37" w16cid:durableId="8139879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6FD"/>
    <w:rsid w:val="00000AC8"/>
    <w:rsid w:val="00000F66"/>
    <w:rsid w:val="000018DC"/>
    <w:rsid w:val="00007810"/>
    <w:rsid w:val="00010945"/>
    <w:rsid w:val="00010974"/>
    <w:rsid w:val="00011266"/>
    <w:rsid w:val="00011CBA"/>
    <w:rsid w:val="00011CC6"/>
    <w:rsid w:val="000126C8"/>
    <w:rsid w:val="000136CC"/>
    <w:rsid w:val="000145C6"/>
    <w:rsid w:val="00016B2A"/>
    <w:rsid w:val="00021B82"/>
    <w:rsid w:val="00022B74"/>
    <w:rsid w:val="00030F72"/>
    <w:rsid w:val="000353FA"/>
    <w:rsid w:val="000421B7"/>
    <w:rsid w:val="00043FD1"/>
    <w:rsid w:val="00044F6F"/>
    <w:rsid w:val="000459B9"/>
    <w:rsid w:val="00053D56"/>
    <w:rsid w:val="00054D89"/>
    <w:rsid w:val="00062EF2"/>
    <w:rsid w:val="00064D7A"/>
    <w:rsid w:val="00067523"/>
    <w:rsid w:val="00067A2E"/>
    <w:rsid w:val="00071C21"/>
    <w:rsid w:val="00071C86"/>
    <w:rsid w:val="00073330"/>
    <w:rsid w:val="00073D3C"/>
    <w:rsid w:val="000770A1"/>
    <w:rsid w:val="000850A0"/>
    <w:rsid w:val="000864D7"/>
    <w:rsid w:val="00087D28"/>
    <w:rsid w:val="00095EB2"/>
    <w:rsid w:val="000976F7"/>
    <w:rsid w:val="00097E01"/>
    <w:rsid w:val="000A13B2"/>
    <w:rsid w:val="000A61A3"/>
    <w:rsid w:val="000A7205"/>
    <w:rsid w:val="000A7499"/>
    <w:rsid w:val="000B0BAD"/>
    <w:rsid w:val="000B11BB"/>
    <w:rsid w:val="000B37B8"/>
    <w:rsid w:val="000B4FD3"/>
    <w:rsid w:val="000B6DD8"/>
    <w:rsid w:val="000C32B3"/>
    <w:rsid w:val="000D0337"/>
    <w:rsid w:val="000D3843"/>
    <w:rsid w:val="000E0005"/>
    <w:rsid w:val="000E2CF4"/>
    <w:rsid w:val="000E6CCA"/>
    <w:rsid w:val="000F3183"/>
    <w:rsid w:val="00100002"/>
    <w:rsid w:val="00101D43"/>
    <w:rsid w:val="00104ADD"/>
    <w:rsid w:val="0011084D"/>
    <w:rsid w:val="0011269F"/>
    <w:rsid w:val="001133D0"/>
    <w:rsid w:val="00120D87"/>
    <w:rsid w:val="00121266"/>
    <w:rsid w:val="00122A9E"/>
    <w:rsid w:val="001233D2"/>
    <w:rsid w:val="0012365E"/>
    <w:rsid w:val="00125ED4"/>
    <w:rsid w:val="00127D98"/>
    <w:rsid w:val="00131ADE"/>
    <w:rsid w:val="00134814"/>
    <w:rsid w:val="00143FFC"/>
    <w:rsid w:val="00146836"/>
    <w:rsid w:val="0014777B"/>
    <w:rsid w:val="00154C00"/>
    <w:rsid w:val="00160DF1"/>
    <w:rsid w:val="001713DB"/>
    <w:rsid w:val="00175FAC"/>
    <w:rsid w:val="00180EEC"/>
    <w:rsid w:val="0018529E"/>
    <w:rsid w:val="00190FA0"/>
    <w:rsid w:val="00196727"/>
    <w:rsid w:val="00196FA1"/>
    <w:rsid w:val="001A1F54"/>
    <w:rsid w:val="001A3969"/>
    <w:rsid w:val="001A52A1"/>
    <w:rsid w:val="001A5C23"/>
    <w:rsid w:val="001B1247"/>
    <w:rsid w:val="001B546F"/>
    <w:rsid w:val="001C0122"/>
    <w:rsid w:val="001C0FCA"/>
    <w:rsid w:val="001C18D1"/>
    <w:rsid w:val="001C1F49"/>
    <w:rsid w:val="001C30E0"/>
    <w:rsid w:val="001C36F7"/>
    <w:rsid w:val="001C694D"/>
    <w:rsid w:val="001C6F22"/>
    <w:rsid w:val="001C7E27"/>
    <w:rsid w:val="001D6E51"/>
    <w:rsid w:val="001D6E72"/>
    <w:rsid w:val="001D7776"/>
    <w:rsid w:val="001E084B"/>
    <w:rsid w:val="001E4685"/>
    <w:rsid w:val="001E66F2"/>
    <w:rsid w:val="001E77B1"/>
    <w:rsid w:val="001F01DE"/>
    <w:rsid w:val="001F75D7"/>
    <w:rsid w:val="00200AC9"/>
    <w:rsid w:val="00203B5D"/>
    <w:rsid w:val="002040CC"/>
    <w:rsid w:val="002048EE"/>
    <w:rsid w:val="00204947"/>
    <w:rsid w:val="0020761B"/>
    <w:rsid w:val="00207FEE"/>
    <w:rsid w:val="0021418B"/>
    <w:rsid w:val="00222ED8"/>
    <w:rsid w:val="0022386F"/>
    <w:rsid w:val="00224735"/>
    <w:rsid w:val="00225A2E"/>
    <w:rsid w:val="00226507"/>
    <w:rsid w:val="002271D9"/>
    <w:rsid w:val="00231196"/>
    <w:rsid w:val="002326D4"/>
    <w:rsid w:val="002348B8"/>
    <w:rsid w:val="002425B6"/>
    <w:rsid w:val="00243E16"/>
    <w:rsid w:val="00261096"/>
    <w:rsid w:val="00261E83"/>
    <w:rsid w:val="00262890"/>
    <w:rsid w:val="00267309"/>
    <w:rsid w:val="00273855"/>
    <w:rsid w:val="00275B0E"/>
    <w:rsid w:val="002774E0"/>
    <w:rsid w:val="00283A49"/>
    <w:rsid w:val="00285C44"/>
    <w:rsid w:val="00285CA5"/>
    <w:rsid w:val="00287906"/>
    <w:rsid w:val="0029135F"/>
    <w:rsid w:val="002942FA"/>
    <w:rsid w:val="002946F0"/>
    <w:rsid w:val="002962A4"/>
    <w:rsid w:val="00296C2C"/>
    <w:rsid w:val="002B0A38"/>
    <w:rsid w:val="002B14B3"/>
    <w:rsid w:val="002B56BA"/>
    <w:rsid w:val="002C0F86"/>
    <w:rsid w:val="002C18E7"/>
    <w:rsid w:val="002C2CFF"/>
    <w:rsid w:val="002C3C7A"/>
    <w:rsid w:val="002C6A26"/>
    <w:rsid w:val="002D420C"/>
    <w:rsid w:val="002D7402"/>
    <w:rsid w:val="002E1A75"/>
    <w:rsid w:val="002E27C4"/>
    <w:rsid w:val="002E58F6"/>
    <w:rsid w:val="002F07CC"/>
    <w:rsid w:val="002F1662"/>
    <w:rsid w:val="002F1D6A"/>
    <w:rsid w:val="002F5553"/>
    <w:rsid w:val="0030388E"/>
    <w:rsid w:val="003049DC"/>
    <w:rsid w:val="0030667E"/>
    <w:rsid w:val="0031144D"/>
    <w:rsid w:val="00321411"/>
    <w:rsid w:val="00324B1A"/>
    <w:rsid w:val="003303D6"/>
    <w:rsid w:val="003359B3"/>
    <w:rsid w:val="00337D1B"/>
    <w:rsid w:val="003524F9"/>
    <w:rsid w:val="003559D1"/>
    <w:rsid w:val="00360C44"/>
    <w:rsid w:val="00363AAC"/>
    <w:rsid w:val="00364CDD"/>
    <w:rsid w:val="00375C0D"/>
    <w:rsid w:val="0038557D"/>
    <w:rsid w:val="003A01D6"/>
    <w:rsid w:val="003A1462"/>
    <w:rsid w:val="003A46B7"/>
    <w:rsid w:val="003A4744"/>
    <w:rsid w:val="003A794A"/>
    <w:rsid w:val="003B14BD"/>
    <w:rsid w:val="003B45FE"/>
    <w:rsid w:val="003B4F6D"/>
    <w:rsid w:val="003C07A4"/>
    <w:rsid w:val="003C23C7"/>
    <w:rsid w:val="003C3374"/>
    <w:rsid w:val="003D0B3A"/>
    <w:rsid w:val="003D1A99"/>
    <w:rsid w:val="003D2158"/>
    <w:rsid w:val="003D2875"/>
    <w:rsid w:val="003D5206"/>
    <w:rsid w:val="003D68F4"/>
    <w:rsid w:val="003D6CAB"/>
    <w:rsid w:val="003E2BD1"/>
    <w:rsid w:val="003E2EC6"/>
    <w:rsid w:val="003F207F"/>
    <w:rsid w:val="003F3F55"/>
    <w:rsid w:val="003F674D"/>
    <w:rsid w:val="003F67F3"/>
    <w:rsid w:val="00404E71"/>
    <w:rsid w:val="004058BF"/>
    <w:rsid w:val="004062C0"/>
    <w:rsid w:val="004115CE"/>
    <w:rsid w:val="00415D50"/>
    <w:rsid w:val="00422113"/>
    <w:rsid w:val="00427EC7"/>
    <w:rsid w:val="004304D6"/>
    <w:rsid w:val="004326BF"/>
    <w:rsid w:val="004423E7"/>
    <w:rsid w:val="0044268F"/>
    <w:rsid w:val="00444536"/>
    <w:rsid w:val="00453917"/>
    <w:rsid w:val="0045434F"/>
    <w:rsid w:val="00460D74"/>
    <w:rsid w:val="004677CD"/>
    <w:rsid w:val="0046797C"/>
    <w:rsid w:val="0047211C"/>
    <w:rsid w:val="00472955"/>
    <w:rsid w:val="00472C5D"/>
    <w:rsid w:val="00483691"/>
    <w:rsid w:val="00493C57"/>
    <w:rsid w:val="004964E8"/>
    <w:rsid w:val="00496702"/>
    <w:rsid w:val="00496837"/>
    <w:rsid w:val="004A14EA"/>
    <w:rsid w:val="004A52CB"/>
    <w:rsid w:val="004B0124"/>
    <w:rsid w:val="004B0EEE"/>
    <w:rsid w:val="004C0BE8"/>
    <w:rsid w:val="004C2CA7"/>
    <w:rsid w:val="004C5B21"/>
    <w:rsid w:val="004C5C2B"/>
    <w:rsid w:val="004D5C8C"/>
    <w:rsid w:val="004D664C"/>
    <w:rsid w:val="004E13BB"/>
    <w:rsid w:val="004E4624"/>
    <w:rsid w:val="004E78BD"/>
    <w:rsid w:val="004F5581"/>
    <w:rsid w:val="004F5F71"/>
    <w:rsid w:val="004F679C"/>
    <w:rsid w:val="005017F4"/>
    <w:rsid w:val="0050387E"/>
    <w:rsid w:val="00510E9D"/>
    <w:rsid w:val="005113C9"/>
    <w:rsid w:val="00515A13"/>
    <w:rsid w:val="005215F9"/>
    <w:rsid w:val="00522D7D"/>
    <w:rsid w:val="00523BA3"/>
    <w:rsid w:val="00526AA1"/>
    <w:rsid w:val="00526BC1"/>
    <w:rsid w:val="00526C45"/>
    <w:rsid w:val="00527E7D"/>
    <w:rsid w:val="00531AB9"/>
    <w:rsid w:val="00534F80"/>
    <w:rsid w:val="00535BA7"/>
    <w:rsid w:val="00542D03"/>
    <w:rsid w:val="00545C2D"/>
    <w:rsid w:val="0054639F"/>
    <w:rsid w:val="00556BE0"/>
    <w:rsid w:val="00560C05"/>
    <w:rsid w:val="00563627"/>
    <w:rsid w:val="00570F3D"/>
    <w:rsid w:val="005729C0"/>
    <w:rsid w:val="00574A75"/>
    <w:rsid w:val="005757B7"/>
    <w:rsid w:val="005837A8"/>
    <w:rsid w:val="00583E82"/>
    <w:rsid w:val="00586765"/>
    <w:rsid w:val="005A03E2"/>
    <w:rsid w:val="005A4A2F"/>
    <w:rsid w:val="005A4C48"/>
    <w:rsid w:val="005B3CF2"/>
    <w:rsid w:val="005B6F8F"/>
    <w:rsid w:val="005B798F"/>
    <w:rsid w:val="005B7AB6"/>
    <w:rsid w:val="005C2521"/>
    <w:rsid w:val="005C35C9"/>
    <w:rsid w:val="005C6E9A"/>
    <w:rsid w:val="005C7DAC"/>
    <w:rsid w:val="005D2983"/>
    <w:rsid w:val="005E1B85"/>
    <w:rsid w:val="005E4ACC"/>
    <w:rsid w:val="005E4EB4"/>
    <w:rsid w:val="005E51D7"/>
    <w:rsid w:val="005E76A2"/>
    <w:rsid w:val="005F3445"/>
    <w:rsid w:val="005F76FD"/>
    <w:rsid w:val="00600063"/>
    <w:rsid w:val="00600AE1"/>
    <w:rsid w:val="00601966"/>
    <w:rsid w:val="00601C82"/>
    <w:rsid w:val="00602876"/>
    <w:rsid w:val="00602A60"/>
    <w:rsid w:val="006033F3"/>
    <w:rsid w:val="006049CA"/>
    <w:rsid w:val="00604D35"/>
    <w:rsid w:val="006114F7"/>
    <w:rsid w:val="006135A3"/>
    <w:rsid w:val="00621FA2"/>
    <w:rsid w:val="0062522B"/>
    <w:rsid w:val="00632411"/>
    <w:rsid w:val="006423F6"/>
    <w:rsid w:val="0064407E"/>
    <w:rsid w:val="00646B68"/>
    <w:rsid w:val="00647D0C"/>
    <w:rsid w:val="00655EED"/>
    <w:rsid w:val="00656C35"/>
    <w:rsid w:val="006572CE"/>
    <w:rsid w:val="006577BF"/>
    <w:rsid w:val="006614FB"/>
    <w:rsid w:val="00662767"/>
    <w:rsid w:val="00664DFE"/>
    <w:rsid w:val="0067083F"/>
    <w:rsid w:val="006712B6"/>
    <w:rsid w:val="006748FF"/>
    <w:rsid w:val="006821E8"/>
    <w:rsid w:val="00682A77"/>
    <w:rsid w:val="00685869"/>
    <w:rsid w:val="00686FC1"/>
    <w:rsid w:val="0069017E"/>
    <w:rsid w:val="00694B0E"/>
    <w:rsid w:val="00695A87"/>
    <w:rsid w:val="006A0955"/>
    <w:rsid w:val="006A3432"/>
    <w:rsid w:val="006A66AB"/>
    <w:rsid w:val="006B49C4"/>
    <w:rsid w:val="006B7B41"/>
    <w:rsid w:val="006C1643"/>
    <w:rsid w:val="006C4650"/>
    <w:rsid w:val="006C5F9A"/>
    <w:rsid w:val="006D3149"/>
    <w:rsid w:val="006D6B89"/>
    <w:rsid w:val="006D6FFF"/>
    <w:rsid w:val="006D72FB"/>
    <w:rsid w:val="006D7928"/>
    <w:rsid w:val="006E0376"/>
    <w:rsid w:val="006E176A"/>
    <w:rsid w:val="006E2FCE"/>
    <w:rsid w:val="006E5DD5"/>
    <w:rsid w:val="006F3C2A"/>
    <w:rsid w:val="006F6173"/>
    <w:rsid w:val="006F7A10"/>
    <w:rsid w:val="00701218"/>
    <w:rsid w:val="00702094"/>
    <w:rsid w:val="0070320D"/>
    <w:rsid w:val="00704C5F"/>
    <w:rsid w:val="00705458"/>
    <w:rsid w:val="00705495"/>
    <w:rsid w:val="00705A1A"/>
    <w:rsid w:val="00706564"/>
    <w:rsid w:val="00706B22"/>
    <w:rsid w:val="00706B5B"/>
    <w:rsid w:val="00706FB4"/>
    <w:rsid w:val="00711EA6"/>
    <w:rsid w:val="007152F4"/>
    <w:rsid w:val="00716175"/>
    <w:rsid w:val="00720A81"/>
    <w:rsid w:val="0072150D"/>
    <w:rsid w:val="007249AA"/>
    <w:rsid w:val="00725B66"/>
    <w:rsid w:val="00726DD1"/>
    <w:rsid w:val="00727311"/>
    <w:rsid w:val="00727A2F"/>
    <w:rsid w:val="00734769"/>
    <w:rsid w:val="0074580A"/>
    <w:rsid w:val="00747966"/>
    <w:rsid w:val="00750F01"/>
    <w:rsid w:val="00753371"/>
    <w:rsid w:val="0075619C"/>
    <w:rsid w:val="00760B92"/>
    <w:rsid w:val="00761219"/>
    <w:rsid w:val="007649C8"/>
    <w:rsid w:val="00764E1D"/>
    <w:rsid w:val="00766157"/>
    <w:rsid w:val="007769C3"/>
    <w:rsid w:val="00777009"/>
    <w:rsid w:val="00777738"/>
    <w:rsid w:val="00782191"/>
    <w:rsid w:val="00782D4D"/>
    <w:rsid w:val="00784EF6"/>
    <w:rsid w:val="00790AEB"/>
    <w:rsid w:val="0079292A"/>
    <w:rsid w:val="00794B7E"/>
    <w:rsid w:val="007A092A"/>
    <w:rsid w:val="007A1BA3"/>
    <w:rsid w:val="007A4FC6"/>
    <w:rsid w:val="007A5468"/>
    <w:rsid w:val="007B5C64"/>
    <w:rsid w:val="007C038E"/>
    <w:rsid w:val="007C4D74"/>
    <w:rsid w:val="007D4624"/>
    <w:rsid w:val="007D52B0"/>
    <w:rsid w:val="007E575F"/>
    <w:rsid w:val="007F06B0"/>
    <w:rsid w:val="007F1351"/>
    <w:rsid w:val="007F2C50"/>
    <w:rsid w:val="007F5B8B"/>
    <w:rsid w:val="007F6DBA"/>
    <w:rsid w:val="008005F2"/>
    <w:rsid w:val="00801012"/>
    <w:rsid w:val="00802597"/>
    <w:rsid w:val="00803E0E"/>
    <w:rsid w:val="00804C8E"/>
    <w:rsid w:val="008063A3"/>
    <w:rsid w:val="00806838"/>
    <w:rsid w:val="00810F8F"/>
    <w:rsid w:val="00812C5E"/>
    <w:rsid w:val="00814880"/>
    <w:rsid w:val="008254B3"/>
    <w:rsid w:val="00826076"/>
    <w:rsid w:val="00830E96"/>
    <w:rsid w:val="00831778"/>
    <w:rsid w:val="008325D4"/>
    <w:rsid w:val="00832776"/>
    <w:rsid w:val="00832F8A"/>
    <w:rsid w:val="00834731"/>
    <w:rsid w:val="00835A10"/>
    <w:rsid w:val="008367B0"/>
    <w:rsid w:val="00836E55"/>
    <w:rsid w:val="00843CD7"/>
    <w:rsid w:val="00844442"/>
    <w:rsid w:val="00852B9C"/>
    <w:rsid w:val="00860FAF"/>
    <w:rsid w:val="00863465"/>
    <w:rsid w:val="008663CB"/>
    <w:rsid w:val="00866C75"/>
    <w:rsid w:val="00870361"/>
    <w:rsid w:val="008716FD"/>
    <w:rsid w:val="00871B20"/>
    <w:rsid w:val="00873836"/>
    <w:rsid w:val="00873ABF"/>
    <w:rsid w:val="00880330"/>
    <w:rsid w:val="00885D26"/>
    <w:rsid w:val="008860E4"/>
    <w:rsid w:val="00887161"/>
    <w:rsid w:val="00887915"/>
    <w:rsid w:val="008908C5"/>
    <w:rsid w:val="008917C0"/>
    <w:rsid w:val="00897CB9"/>
    <w:rsid w:val="008A0B61"/>
    <w:rsid w:val="008A2561"/>
    <w:rsid w:val="008A59B5"/>
    <w:rsid w:val="008B07E0"/>
    <w:rsid w:val="008B0C9A"/>
    <w:rsid w:val="008B13DF"/>
    <w:rsid w:val="008B23C9"/>
    <w:rsid w:val="008B5587"/>
    <w:rsid w:val="008C15B4"/>
    <w:rsid w:val="008C312E"/>
    <w:rsid w:val="008C3C3C"/>
    <w:rsid w:val="008C5756"/>
    <w:rsid w:val="008D0134"/>
    <w:rsid w:val="008D34E9"/>
    <w:rsid w:val="008D549D"/>
    <w:rsid w:val="008D5D31"/>
    <w:rsid w:val="008E03A1"/>
    <w:rsid w:val="008E1D45"/>
    <w:rsid w:val="008E4DD9"/>
    <w:rsid w:val="008E7BED"/>
    <w:rsid w:val="008F17D5"/>
    <w:rsid w:val="008F5479"/>
    <w:rsid w:val="00904784"/>
    <w:rsid w:val="0090530A"/>
    <w:rsid w:val="0090541E"/>
    <w:rsid w:val="009116F4"/>
    <w:rsid w:val="00913E43"/>
    <w:rsid w:val="009223A6"/>
    <w:rsid w:val="00922C2C"/>
    <w:rsid w:val="00926F4F"/>
    <w:rsid w:val="00931BA8"/>
    <w:rsid w:val="00934277"/>
    <w:rsid w:val="00935E79"/>
    <w:rsid w:val="00947208"/>
    <w:rsid w:val="00957A62"/>
    <w:rsid w:val="009623D3"/>
    <w:rsid w:val="00963BBE"/>
    <w:rsid w:val="00977C0F"/>
    <w:rsid w:val="00982055"/>
    <w:rsid w:val="00985B36"/>
    <w:rsid w:val="00986E6C"/>
    <w:rsid w:val="00995A68"/>
    <w:rsid w:val="00995BE2"/>
    <w:rsid w:val="009A67CF"/>
    <w:rsid w:val="009B3EA0"/>
    <w:rsid w:val="009B44B4"/>
    <w:rsid w:val="009B68DA"/>
    <w:rsid w:val="009C568A"/>
    <w:rsid w:val="009D00E0"/>
    <w:rsid w:val="009D1229"/>
    <w:rsid w:val="009D1C46"/>
    <w:rsid w:val="009D2103"/>
    <w:rsid w:val="009D2D9E"/>
    <w:rsid w:val="009D58D7"/>
    <w:rsid w:val="009D6762"/>
    <w:rsid w:val="009E06E9"/>
    <w:rsid w:val="009E65DB"/>
    <w:rsid w:val="009E7A7C"/>
    <w:rsid w:val="009F24B6"/>
    <w:rsid w:val="009F3CBD"/>
    <w:rsid w:val="00A0155B"/>
    <w:rsid w:val="00A024AD"/>
    <w:rsid w:val="00A052BD"/>
    <w:rsid w:val="00A17ACE"/>
    <w:rsid w:val="00A24281"/>
    <w:rsid w:val="00A24386"/>
    <w:rsid w:val="00A25CA8"/>
    <w:rsid w:val="00A33648"/>
    <w:rsid w:val="00A34B4C"/>
    <w:rsid w:val="00A352E2"/>
    <w:rsid w:val="00A42F58"/>
    <w:rsid w:val="00A46358"/>
    <w:rsid w:val="00A4798F"/>
    <w:rsid w:val="00A524CB"/>
    <w:rsid w:val="00A55565"/>
    <w:rsid w:val="00A55FEF"/>
    <w:rsid w:val="00A56223"/>
    <w:rsid w:val="00A56C4B"/>
    <w:rsid w:val="00A5764B"/>
    <w:rsid w:val="00A60ACB"/>
    <w:rsid w:val="00A67CC5"/>
    <w:rsid w:val="00A711F0"/>
    <w:rsid w:val="00A76AC4"/>
    <w:rsid w:val="00A770CF"/>
    <w:rsid w:val="00A859F2"/>
    <w:rsid w:val="00AA3BE9"/>
    <w:rsid w:val="00AA40E0"/>
    <w:rsid w:val="00AA5CB7"/>
    <w:rsid w:val="00AA6796"/>
    <w:rsid w:val="00AA72EC"/>
    <w:rsid w:val="00AB06B1"/>
    <w:rsid w:val="00AB3510"/>
    <w:rsid w:val="00AC04E8"/>
    <w:rsid w:val="00AC0587"/>
    <w:rsid w:val="00AC191A"/>
    <w:rsid w:val="00AD359F"/>
    <w:rsid w:val="00AD4F7C"/>
    <w:rsid w:val="00AD66C5"/>
    <w:rsid w:val="00AE40DB"/>
    <w:rsid w:val="00AE4F9C"/>
    <w:rsid w:val="00AF7891"/>
    <w:rsid w:val="00B002E1"/>
    <w:rsid w:val="00B005B6"/>
    <w:rsid w:val="00B029FF"/>
    <w:rsid w:val="00B0409D"/>
    <w:rsid w:val="00B1416D"/>
    <w:rsid w:val="00B14259"/>
    <w:rsid w:val="00B155BC"/>
    <w:rsid w:val="00B1727E"/>
    <w:rsid w:val="00B2225A"/>
    <w:rsid w:val="00B23BD8"/>
    <w:rsid w:val="00B3134F"/>
    <w:rsid w:val="00B43604"/>
    <w:rsid w:val="00B46B35"/>
    <w:rsid w:val="00B51E29"/>
    <w:rsid w:val="00B558A6"/>
    <w:rsid w:val="00B56C29"/>
    <w:rsid w:val="00B572C4"/>
    <w:rsid w:val="00B57A40"/>
    <w:rsid w:val="00B605C7"/>
    <w:rsid w:val="00B61110"/>
    <w:rsid w:val="00B63473"/>
    <w:rsid w:val="00B707C5"/>
    <w:rsid w:val="00B71A07"/>
    <w:rsid w:val="00B75679"/>
    <w:rsid w:val="00B80D31"/>
    <w:rsid w:val="00B8269E"/>
    <w:rsid w:val="00B87FC0"/>
    <w:rsid w:val="00BA7AAE"/>
    <w:rsid w:val="00BB1B26"/>
    <w:rsid w:val="00BC37A4"/>
    <w:rsid w:val="00BC4139"/>
    <w:rsid w:val="00BC440A"/>
    <w:rsid w:val="00BC45FA"/>
    <w:rsid w:val="00BC7033"/>
    <w:rsid w:val="00BC7E05"/>
    <w:rsid w:val="00BD280E"/>
    <w:rsid w:val="00BE3706"/>
    <w:rsid w:val="00BE7598"/>
    <w:rsid w:val="00BF11B2"/>
    <w:rsid w:val="00BF187E"/>
    <w:rsid w:val="00C011B2"/>
    <w:rsid w:val="00C02170"/>
    <w:rsid w:val="00C04258"/>
    <w:rsid w:val="00C066C2"/>
    <w:rsid w:val="00C07F1D"/>
    <w:rsid w:val="00C2120E"/>
    <w:rsid w:val="00C21395"/>
    <w:rsid w:val="00C231D4"/>
    <w:rsid w:val="00C24515"/>
    <w:rsid w:val="00C300D3"/>
    <w:rsid w:val="00C3042C"/>
    <w:rsid w:val="00C31C1A"/>
    <w:rsid w:val="00C31CF0"/>
    <w:rsid w:val="00C43C06"/>
    <w:rsid w:val="00C43D43"/>
    <w:rsid w:val="00C440CD"/>
    <w:rsid w:val="00C46283"/>
    <w:rsid w:val="00C46344"/>
    <w:rsid w:val="00C469DD"/>
    <w:rsid w:val="00C53956"/>
    <w:rsid w:val="00C53D41"/>
    <w:rsid w:val="00C60EDD"/>
    <w:rsid w:val="00C66042"/>
    <w:rsid w:val="00C7107C"/>
    <w:rsid w:val="00C7177E"/>
    <w:rsid w:val="00C72B6E"/>
    <w:rsid w:val="00C75C86"/>
    <w:rsid w:val="00C76798"/>
    <w:rsid w:val="00C77A81"/>
    <w:rsid w:val="00C77C15"/>
    <w:rsid w:val="00C837E3"/>
    <w:rsid w:val="00C8385A"/>
    <w:rsid w:val="00C8407A"/>
    <w:rsid w:val="00C8540D"/>
    <w:rsid w:val="00C85578"/>
    <w:rsid w:val="00C859B5"/>
    <w:rsid w:val="00C94375"/>
    <w:rsid w:val="00C95F75"/>
    <w:rsid w:val="00C963D7"/>
    <w:rsid w:val="00CA2CD5"/>
    <w:rsid w:val="00CA2F7C"/>
    <w:rsid w:val="00CA67B8"/>
    <w:rsid w:val="00CA71BA"/>
    <w:rsid w:val="00CB1C8E"/>
    <w:rsid w:val="00CB37E7"/>
    <w:rsid w:val="00CB3CE5"/>
    <w:rsid w:val="00CB6AD2"/>
    <w:rsid w:val="00CB7E28"/>
    <w:rsid w:val="00CC2D4C"/>
    <w:rsid w:val="00CC5A39"/>
    <w:rsid w:val="00CD0B14"/>
    <w:rsid w:val="00CD5092"/>
    <w:rsid w:val="00CD62B5"/>
    <w:rsid w:val="00CE0DA1"/>
    <w:rsid w:val="00CF1F59"/>
    <w:rsid w:val="00CF41BA"/>
    <w:rsid w:val="00CF593C"/>
    <w:rsid w:val="00D024BC"/>
    <w:rsid w:val="00D02E56"/>
    <w:rsid w:val="00D132B9"/>
    <w:rsid w:val="00D1462E"/>
    <w:rsid w:val="00D15B0D"/>
    <w:rsid w:val="00D17BEC"/>
    <w:rsid w:val="00D212A7"/>
    <w:rsid w:val="00D24903"/>
    <w:rsid w:val="00D257CD"/>
    <w:rsid w:val="00D30A46"/>
    <w:rsid w:val="00D363A3"/>
    <w:rsid w:val="00D3711C"/>
    <w:rsid w:val="00D4087F"/>
    <w:rsid w:val="00D44693"/>
    <w:rsid w:val="00D46263"/>
    <w:rsid w:val="00D475CD"/>
    <w:rsid w:val="00D47F96"/>
    <w:rsid w:val="00D50451"/>
    <w:rsid w:val="00D54684"/>
    <w:rsid w:val="00D60FCC"/>
    <w:rsid w:val="00D63988"/>
    <w:rsid w:val="00D67DEC"/>
    <w:rsid w:val="00D7131B"/>
    <w:rsid w:val="00D76C8B"/>
    <w:rsid w:val="00D76FBE"/>
    <w:rsid w:val="00D773DB"/>
    <w:rsid w:val="00D8310B"/>
    <w:rsid w:val="00D83156"/>
    <w:rsid w:val="00D83BC1"/>
    <w:rsid w:val="00D874C0"/>
    <w:rsid w:val="00D92410"/>
    <w:rsid w:val="00D94188"/>
    <w:rsid w:val="00D96E8F"/>
    <w:rsid w:val="00DA29D2"/>
    <w:rsid w:val="00DB15FF"/>
    <w:rsid w:val="00DB1907"/>
    <w:rsid w:val="00DC1392"/>
    <w:rsid w:val="00DC192E"/>
    <w:rsid w:val="00DD4E50"/>
    <w:rsid w:val="00DE2613"/>
    <w:rsid w:val="00DF0074"/>
    <w:rsid w:val="00DF4C76"/>
    <w:rsid w:val="00DF5374"/>
    <w:rsid w:val="00DF53ED"/>
    <w:rsid w:val="00DF7B59"/>
    <w:rsid w:val="00E0083A"/>
    <w:rsid w:val="00E031C6"/>
    <w:rsid w:val="00E03C13"/>
    <w:rsid w:val="00E1088E"/>
    <w:rsid w:val="00E11C39"/>
    <w:rsid w:val="00E12757"/>
    <w:rsid w:val="00E146F3"/>
    <w:rsid w:val="00E14A70"/>
    <w:rsid w:val="00E16B57"/>
    <w:rsid w:val="00E21160"/>
    <w:rsid w:val="00E21A75"/>
    <w:rsid w:val="00E267EE"/>
    <w:rsid w:val="00E268D7"/>
    <w:rsid w:val="00E26C0D"/>
    <w:rsid w:val="00E27F5E"/>
    <w:rsid w:val="00E300A8"/>
    <w:rsid w:val="00E32BB6"/>
    <w:rsid w:val="00E331D7"/>
    <w:rsid w:val="00E34602"/>
    <w:rsid w:val="00E36799"/>
    <w:rsid w:val="00E43CC6"/>
    <w:rsid w:val="00E44837"/>
    <w:rsid w:val="00E475CC"/>
    <w:rsid w:val="00E5716E"/>
    <w:rsid w:val="00E62AE9"/>
    <w:rsid w:val="00E65591"/>
    <w:rsid w:val="00E70A98"/>
    <w:rsid w:val="00E77FF4"/>
    <w:rsid w:val="00E81BC4"/>
    <w:rsid w:val="00E857BA"/>
    <w:rsid w:val="00E867D4"/>
    <w:rsid w:val="00E93BEC"/>
    <w:rsid w:val="00E948E7"/>
    <w:rsid w:val="00EA0152"/>
    <w:rsid w:val="00EA132F"/>
    <w:rsid w:val="00EA1C2F"/>
    <w:rsid w:val="00EA62DD"/>
    <w:rsid w:val="00EA662B"/>
    <w:rsid w:val="00EA7E12"/>
    <w:rsid w:val="00EB0814"/>
    <w:rsid w:val="00EB22B9"/>
    <w:rsid w:val="00EB2ED9"/>
    <w:rsid w:val="00EB31AA"/>
    <w:rsid w:val="00EB4BEF"/>
    <w:rsid w:val="00EB61DF"/>
    <w:rsid w:val="00EB625C"/>
    <w:rsid w:val="00EB7286"/>
    <w:rsid w:val="00EB7D09"/>
    <w:rsid w:val="00EC11A1"/>
    <w:rsid w:val="00EC1937"/>
    <w:rsid w:val="00EC6BD1"/>
    <w:rsid w:val="00EC7A7D"/>
    <w:rsid w:val="00ED7835"/>
    <w:rsid w:val="00EE2133"/>
    <w:rsid w:val="00EE2601"/>
    <w:rsid w:val="00EE4E68"/>
    <w:rsid w:val="00EF02D7"/>
    <w:rsid w:val="00EF4638"/>
    <w:rsid w:val="00EF74C3"/>
    <w:rsid w:val="00F02B28"/>
    <w:rsid w:val="00F03A93"/>
    <w:rsid w:val="00F051A6"/>
    <w:rsid w:val="00F06709"/>
    <w:rsid w:val="00F0775F"/>
    <w:rsid w:val="00F111B0"/>
    <w:rsid w:val="00F11CE6"/>
    <w:rsid w:val="00F16F02"/>
    <w:rsid w:val="00F21A5D"/>
    <w:rsid w:val="00F265F4"/>
    <w:rsid w:val="00F3092D"/>
    <w:rsid w:val="00F31F69"/>
    <w:rsid w:val="00F332AC"/>
    <w:rsid w:val="00F35C92"/>
    <w:rsid w:val="00F379A7"/>
    <w:rsid w:val="00F463FB"/>
    <w:rsid w:val="00F464AF"/>
    <w:rsid w:val="00F52B52"/>
    <w:rsid w:val="00F532CB"/>
    <w:rsid w:val="00F56410"/>
    <w:rsid w:val="00F5719A"/>
    <w:rsid w:val="00F603A6"/>
    <w:rsid w:val="00F62E56"/>
    <w:rsid w:val="00F6366D"/>
    <w:rsid w:val="00F6440F"/>
    <w:rsid w:val="00F658AD"/>
    <w:rsid w:val="00F65A02"/>
    <w:rsid w:val="00F76252"/>
    <w:rsid w:val="00F775D2"/>
    <w:rsid w:val="00F805D3"/>
    <w:rsid w:val="00F83100"/>
    <w:rsid w:val="00F8495C"/>
    <w:rsid w:val="00F864CD"/>
    <w:rsid w:val="00F870B1"/>
    <w:rsid w:val="00F87BE2"/>
    <w:rsid w:val="00F87F6F"/>
    <w:rsid w:val="00F9059A"/>
    <w:rsid w:val="00F97A49"/>
    <w:rsid w:val="00FA0945"/>
    <w:rsid w:val="00FA0952"/>
    <w:rsid w:val="00FA274E"/>
    <w:rsid w:val="00FA2FD2"/>
    <w:rsid w:val="00FA6FAD"/>
    <w:rsid w:val="00FB060D"/>
    <w:rsid w:val="00FB0EC2"/>
    <w:rsid w:val="00FB25B5"/>
    <w:rsid w:val="00FB2BFA"/>
    <w:rsid w:val="00FB4C8C"/>
    <w:rsid w:val="00FB5111"/>
    <w:rsid w:val="00FC47A2"/>
    <w:rsid w:val="00FD3B9A"/>
    <w:rsid w:val="00FD4331"/>
    <w:rsid w:val="00FE2C59"/>
    <w:rsid w:val="00FE6096"/>
    <w:rsid w:val="00FE664A"/>
    <w:rsid w:val="00FF2867"/>
    <w:rsid w:val="00FF47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66169"/>
  <w15:chartTrackingRefBased/>
  <w15:docId w15:val="{F85809ED-8FB7-4006-9DB1-8512B2576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6FD"/>
    <w:pPr>
      <w:suppressAutoHyphens/>
      <w:spacing w:after="200" w:line="276" w:lineRule="auto"/>
    </w:pPr>
    <w:rPr>
      <w:rFonts w:ascii="Calibri" w:eastAsia="Calibri" w:hAnsi="Calibri" w:cs="Times New Roman"/>
      <w:lang w:eastAsia="zh-CN"/>
    </w:rPr>
  </w:style>
  <w:style w:type="paragraph" w:styleId="Ttulo1">
    <w:name w:val="heading 1"/>
    <w:basedOn w:val="Normal"/>
    <w:next w:val="Normal"/>
    <w:link w:val="Ttulo1Char"/>
    <w:uiPriority w:val="9"/>
    <w:qFormat/>
    <w:rsid w:val="00957A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957A6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8716FD"/>
    <w:pPr>
      <w:spacing w:after="0" w:line="240" w:lineRule="auto"/>
    </w:pPr>
  </w:style>
  <w:style w:type="character" w:customStyle="1" w:styleId="CabealhoChar">
    <w:name w:val="Cabeçalho Char"/>
    <w:basedOn w:val="Fontepargpadro"/>
    <w:link w:val="Cabealho"/>
    <w:uiPriority w:val="99"/>
    <w:rsid w:val="008716FD"/>
    <w:rPr>
      <w:rFonts w:ascii="Calibri" w:eastAsia="Calibri" w:hAnsi="Calibri" w:cs="Times New Roman"/>
      <w:lang w:eastAsia="zh-CN"/>
    </w:rPr>
  </w:style>
  <w:style w:type="table" w:styleId="Tabelacomgrade">
    <w:name w:val="Table Grid"/>
    <w:basedOn w:val="Tabelanormal"/>
    <w:uiPriority w:val="59"/>
    <w:rsid w:val="008716F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uiPriority w:val="11"/>
    <w:qFormat/>
    <w:rsid w:val="00225A2E"/>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uiPriority w:val="11"/>
    <w:rsid w:val="00225A2E"/>
    <w:rPr>
      <w:rFonts w:eastAsiaTheme="minorEastAsia"/>
      <w:color w:val="5A5A5A" w:themeColor="text1" w:themeTint="A5"/>
      <w:spacing w:val="15"/>
      <w:lang w:eastAsia="zh-CN"/>
    </w:rPr>
  </w:style>
  <w:style w:type="paragraph" w:styleId="Rodap">
    <w:name w:val="footer"/>
    <w:basedOn w:val="Normal"/>
    <w:link w:val="RodapChar"/>
    <w:uiPriority w:val="99"/>
    <w:unhideWhenUsed/>
    <w:rsid w:val="00143FFC"/>
    <w:pPr>
      <w:tabs>
        <w:tab w:val="center" w:pos="4252"/>
        <w:tab w:val="right" w:pos="8504"/>
      </w:tabs>
      <w:spacing w:after="0" w:line="240" w:lineRule="auto"/>
    </w:pPr>
  </w:style>
  <w:style w:type="character" w:customStyle="1" w:styleId="RodapChar">
    <w:name w:val="Rodapé Char"/>
    <w:basedOn w:val="Fontepargpadro"/>
    <w:link w:val="Rodap"/>
    <w:uiPriority w:val="99"/>
    <w:rsid w:val="00143FFC"/>
    <w:rPr>
      <w:rFonts w:ascii="Calibri" w:eastAsia="Calibri" w:hAnsi="Calibri" w:cs="Times New Roman"/>
      <w:lang w:eastAsia="zh-CN"/>
    </w:rPr>
  </w:style>
  <w:style w:type="paragraph" w:customStyle="1" w:styleId="xzvds">
    <w:name w:val="xzvds"/>
    <w:basedOn w:val="Normal"/>
    <w:rsid w:val="006C4650"/>
    <w:pPr>
      <w:suppressAutoHyphens w:val="0"/>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vkif2">
    <w:name w:val="vkif2"/>
    <w:basedOn w:val="Fontepargpadro"/>
    <w:rsid w:val="006C4650"/>
  </w:style>
  <w:style w:type="paragraph" w:customStyle="1" w:styleId="Recuodecorpodetexto31">
    <w:name w:val="Recuo de corpo de texto 31"/>
    <w:basedOn w:val="Normal"/>
    <w:rsid w:val="00FA2FD2"/>
    <w:pPr>
      <w:widowControl w:val="0"/>
      <w:spacing w:after="0" w:line="240" w:lineRule="auto"/>
      <w:ind w:left="567" w:hanging="567"/>
      <w:jc w:val="both"/>
    </w:pPr>
    <w:rPr>
      <w:rFonts w:ascii="Arial" w:eastAsia="Times New Roman" w:hAnsi="Arial" w:cs="Arial"/>
      <w:sz w:val="24"/>
      <w:szCs w:val="20"/>
    </w:rPr>
  </w:style>
  <w:style w:type="paragraph" w:styleId="PargrafodaLista">
    <w:name w:val="List Paragraph"/>
    <w:basedOn w:val="Normal"/>
    <w:uiPriority w:val="34"/>
    <w:qFormat/>
    <w:rsid w:val="00B005B6"/>
    <w:pPr>
      <w:ind w:left="720"/>
      <w:contextualSpacing/>
    </w:pPr>
  </w:style>
  <w:style w:type="paragraph" w:styleId="NormalWeb">
    <w:name w:val="Normal (Web)"/>
    <w:basedOn w:val="Normal"/>
    <w:uiPriority w:val="99"/>
    <w:unhideWhenUsed/>
    <w:rsid w:val="003E2BD1"/>
    <w:pPr>
      <w:suppressAutoHyphens w:val="0"/>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unhideWhenUsed/>
    <w:rsid w:val="003E2BD1"/>
    <w:rPr>
      <w:color w:val="0000FF"/>
      <w:u w:val="single"/>
    </w:rPr>
  </w:style>
  <w:style w:type="paragraph" w:styleId="Textodebalo">
    <w:name w:val="Balloon Text"/>
    <w:basedOn w:val="Normal"/>
    <w:link w:val="TextodebaloChar"/>
    <w:uiPriority w:val="99"/>
    <w:semiHidden/>
    <w:unhideWhenUsed/>
    <w:rsid w:val="005E51D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E51D7"/>
    <w:rPr>
      <w:rFonts w:ascii="Segoe UI" w:eastAsia="Calibri" w:hAnsi="Segoe UI" w:cs="Segoe UI"/>
      <w:sz w:val="18"/>
      <w:szCs w:val="18"/>
      <w:lang w:eastAsia="zh-CN"/>
    </w:rPr>
  </w:style>
  <w:style w:type="paragraph" w:customStyle="1" w:styleId="Recuodecorpodetexto32">
    <w:name w:val="Recuo de corpo de texto 32"/>
    <w:basedOn w:val="Normal"/>
    <w:rsid w:val="00682A77"/>
    <w:pPr>
      <w:widowControl w:val="0"/>
      <w:spacing w:after="0" w:line="240" w:lineRule="auto"/>
      <w:ind w:left="567" w:hanging="567"/>
      <w:jc w:val="both"/>
    </w:pPr>
    <w:rPr>
      <w:rFonts w:ascii="Arial" w:eastAsia="Times New Roman" w:hAnsi="Arial" w:cs="Arial"/>
      <w:sz w:val="24"/>
      <w:szCs w:val="20"/>
    </w:rPr>
  </w:style>
  <w:style w:type="character" w:customStyle="1" w:styleId="WW-Fontepargpadro11">
    <w:name w:val="WW-Fonte parág. padrão11"/>
    <w:rsid w:val="004E4624"/>
  </w:style>
  <w:style w:type="character" w:styleId="Refdecomentrio">
    <w:name w:val="annotation reference"/>
    <w:basedOn w:val="Fontepargpadro"/>
    <w:uiPriority w:val="99"/>
    <w:semiHidden/>
    <w:unhideWhenUsed/>
    <w:rsid w:val="00B029FF"/>
    <w:rPr>
      <w:sz w:val="16"/>
      <w:szCs w:val="16"/>
    </w:rPr>
  </w:style>
  <w:style w:type="paragraph" w:styleId="Textodecomentrio">
    <w:name w:val="annotation text"/>
    <w:basedOn w:val="Normal"/>
    <w:link w:val="TextodecomentrioChar"/>
    <w:uiPriority w:val="99"/>
    <w:semiHidden/>
    <w:unhideWhenUsed/>
    <w:rsid w:val="00B029F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B029FF"/>
    <w:rPr>
      <w:rFonts w:ascii="Calibri" w:eastAsia="Calibri" w:hAnsi="Calibri" w:cs="Times New Roman"/>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B029FF"/>
    <w:rPr>
      <w:b/>
      <w:bCs/>
    </w:rPr>
  </w:style>
  <w:style w:type="character" w:customStyle="1" w:styleId="AssuntodocomentrioChar">
    <w:name w:val="Assunto do comentário Char"/>
    <w:basedOn w:val="TextodecomentrioChar"/>
    <w:link w:val="Assuntodocomentrio"/>
    <w:uiPriority w:val="99"/>
    <w:semiHidden/>
    <w:rsid w:val="00B029FF"/>
    <w:rPr>
      <w:rFonts w:ascii="Calibri" w:eastAsia="Calibri" w:hAnsi="Calibri" w:cs="Times New Roman"/>
      <w:b/>
      <w:bCs/>
      <w:sz w:val="20"/>
      <w:szCs w:val="20"/>
      <w:lang w:eastAsia="zh-CN"/>
    </w:rPr>
  </w:style>
  <w:style w:type="paragraph" w:customStyle="1" w:styleId="Standard">
    <w:name w:val="Standard"/>
    <w:qFormat/>
    <w:rsid w:val="00F16F02"/>
    <w:pPr>
      <w:widowControl w:val="0"/>
      <w:suppressAutoHyphens/>
      <w:spacing w:after="0" w:line="240" w:lineRule="auto"/>
    </w:pPr>
    <w:rPr>
      <w:rFonts w:ascii="Calibri" w:eastAsia="Segoe UI" w:hAnsi="Calibri" w:cs="Tahoma"/>
      <w:color w:val="000000"/>
      <w:kern w:val="2"/>
      <w:sz w:val="24"/>
      <w:szCs w:val="24"/>
      <w:lang w:val="en-US" w:bidi="en-US"/>
    </w:rPr>
  </w:style>
  <w:style w:type="paragraph" w:customStyle="1" w:styleId="Default">
    <w:name w:val="Default"/>
    <w:rsid w:val="00121266"/>
    <w:pPr>
      <w:autoSpaceDE w:val="0"/>
      <w:autoSpaceDN w:val="0"/>
      <w:adjustRightInd w:val="0"/>
      <w:spacing w:after="0" w:line="240" w:lineRule="auto"/>
    </w:pPr>
    <w:rPr>
      <w:rFonts w:ascii="Calibri" w:eastAsia="Times New Roman" w:hAnsi="Calibri" w:cs="Calibri"/>
      <w:color w:val="000000"/>
      <w:sz w:val="24"/>
      <w:szCs w:val="24"/>
      <w:lang w:eastAsia="pt-BR"/>
    </w:rPr>
  </w:style>
  <w:style w:type="character" w:styleId="TextodoEspaoReservado">
    <w:name w:val="Placeholder Text"/>
    <w:basedOn w:val="Fontepargpadro"/>
    <w:uiPriority w:val="99"/>
    <w:semiHidden/>
    <w:rsid w:val="000850A0"/>
    <w:rPr>
      <w:color w:val="808080"/>
    </w:rPr>
  </w:style>
  <w:style w:type="character" w:customStyle="1" w:styleId="Ttulo2Char">
    <w:name w:val="Título 2 Char"/>
    <w:basedOn w:val="Fontepargpadro"/>
    <w:link w:val="Ttulo2"/>
    <w:uiPriority w:val="9"/>
    <w:rsid w:val="00957A62"/>
    <w:rPr>
      <w:rFonts w:asciiTheme="majorHAnsi" w:eastAsiaTheme="majorEastAsia" w:hAnsiTheme="majorHAnsi" w:cstheme="majorBidi"/>
      <w:color w:val="2E74B5" w:themeColor="accent1" w:themeShade="BF"/>
      <w:sz w:val="26"/>
      <w:szCs w:val="26"/>
      <w:lang w:eastAsia="zh-CN"/>
    </w:rPr>
  </w:style>
  <w:style w:type="character" w:customStyle="1" w:styleId="Ttulo1Char">
    <w:name w:val="Título 1 Char"/>
    <w:basedOn w:val="Fontepargpadro"/>
    <w:link w:val="Ttulo1"/>
    <w:uiPriority w:val="9"/>
    <w:rsid w:val="00957A62"/>
    <w:rPr>
      <w:rFonts w:asciiTheme="majorHAnsi" w:eastAsiaTheme="majorEastAsia" w:hAnsiTheme="majorHAnsi" w:cstheme="majorBidi"/>
      <w:color w:val="2E74B5" w:themeColor="accent1" w:themeShade="BF"/>
      <w:sz w:val="32"/>
      <w:szCs w:val="32"/>
      <w:lang w:eastAsia="zh-CN"/>
    </w:rPr>
  </w:style>
  <w:style w:type="character" w:styleId="Forte">
    <w:name w:val="Strong"/>
    <w:basedOn w:val="Fontepargpadro"/>
    <w:uiPriority w:val="22"/>
    <w:qFormat/>
    <w:rsid w:val="009E06E9"/>
    <w:rPr>
      <w:b/>
      <w:bCs/>
    </w:rPr>
  </w:style>
  <w:style w:type="character" w:styleId="MenoPendente">
    <w:name w:val="Unresolved Mention"/>
    <w:basedOn w:val="Fontepargpadro"/>
    <w:uiPriority w:val="99"/>
    <w:semiHidden/>
    <w:unhideWhenUsed/>
    <w:rsid w:val="00261E83"/>
    <w:rPr>
      <w:color w:val="605E5C"/>
      <w:shd w:val="clear" w:color="auto" w:fill="E1DFDD"/>
    </w:rPr>
  </w:style>
  <w:style w:type="paragraph" w:styleId="Reviso">
    <w:name w:val="Revision"/>
    <w:hidden/>
    <w:uiPriority w:val="99"/>
    <w:semiHidden/>
    <w:rsid w:val="00E32BB6"/>
    <w:pPr>
      <w:spacing w:after="0" w:line="240" w:lineRule="auto"/>
    </w:pPr>
    <w:rPr>
      <w:rFonts w:ascii="Calibri" w:eastAsia="Calibri" w:hAnsi="Calibri" w:cs="Times New Roman"/>
      <w:lang w:eastAsia="zh-CN"/>
    </w:rPr>
  </w:style>
  <w:style w:type="paragraph" w:styleId="Recuodecorpodetexto">
    <w:name w:val="Body Text Indent"/>
    <w:basedOn w:val="Normal"/>
    <w:link w:val="RecuodecorpodetextoChar"/>
    <w:uiPriority w:val="99"/>
    <w:semiHidden/>
    <w:unhideWhenUsed/>
    <w:rsid w:val="00337D1B"/>
    <w:pPr>
      <w:spacing w:after="120"/>
      <w:ind w:left="283"/>
    </w:pPr>
  </w:style>
  <w:style w:type="character" w:customStyle="1" w:styleId="RecuodecorpodetextoChar">
    <w:name w:val="Recuo de corpo de texto Char"/>
    <w:basedOn w:val="Fontepargpadro"/>
    <w:link w:val="Recuodecorpodetexto"/>
    <w:uiPriority w:val="99"/>
    <w:semiHidden/>
    <w:rsid w:val="00337D1B"/>
    <w:rPr>
      <w:rFonts w:ascii="Calibri" w:eastAsia="Calibri" w:hAnsi="Calibri" w:cs="Times New Roman"/>
      <w:lang w:eastAsia="zh-CN"/>
    </w:rPr>
  </w:style>
  <w:style w:type="paragraph" w:customStyle="1" w:styleId="Ttulodatabela">
    <w:name w:val="Título da tabela"/>
    <w:basedOn w:val="Normal"/>
    <w:rsid w:val="00FA6FAD"/>
    <w:pPr>
      <w:suppressLineNumbers/>
      <w:suppressAutoHyphens w:val="0"/>
      <w:spacing w:after="0" w:line="240" w:lineRule="auto"/>
      <w:jc w:val="center"/>
    </w:pPr>
    <w:rPr>
      <w:rFonts w:ascii="Times New Roman" w:eastAsia="Times New Roman" w:hAnsi="Times New Roman"/>
      <w:b/>
      <w:bCs/>
      <w:i/>
      <w:iCs/>
      <w:sz w:val="24"/>
      <w:szCs w:val="24"/>
      <w:lang w:eastAsia="pt-BR"/>
    </w:rPr>
  </w:style>
  <w:style w:type="character" w:styleId="HiperlinkVisitado">
    <w:name w:val="FollowedHyperlink"/>
    <w:basedOn w:val="Fontepargpadro"/>
    <w:uiPriority w:val="99"/>
    <w:semiHidden/>
    <w:unhideWhenUsed/>
    <w:rsid w:val="00995A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81067">
      <w:bodyDiv w:val="1"/>
      <w:marLeft w:val="0"/>
      <w:marRight w:val="0"/>
      <w:marTop w:val="0"/>
      <w:marBottom w:val="0"/>
      <w:divBdr>
        <w:top w:val="none" w:sz="0" w:space="0" w:color="auto"/>
        <w:left w:val="none" w:sz="0" w:space="0" w:color="auto"/>
        <w:bottom w:val="none" w:sz="0" w:space="0" w:color="auto"/>
        <w:right w:val="none" w:sz="0" w:space="0" w:color="auto"/>
      </w:divBdr>
    </w:div>
    <w:div w:id="39404000">
      <w:bodyDiv w:val="1"/>
      <w:marLeft w:val="0"/>
      <w:marRight w:val="0"/>
      <w:marTop w:val="0"/>
      <w:marBottom w:val="0"/>
      <w:divBdr>
        <w:top w:val="none" w:sz="0" w:space="0" w:color="auto"/>
        <w:left w:val="none" w:sz="0" w:space="0" w:color="auto"/>
        <w:bottom w:val="none" w:sz="0" w:space="0" w:color="auto"/>
        <w:right w:val="none" w:sz="0" w:space="0" w:color="auto"/>
      </w:divBdr>
    </w:div>
    <w:div w:id="70322945">
      <w:bodyDiv w:val="1"/>
      <w:marLeft w:val="0"/>
      <w:marRight w:val="0"/>
      <w:marTop w:val="0"/>
      <w:marBottom w:val="0"/>
      <w:divBdr>
        <w:top w:val="none" w:sz="0" w:space="0" w:color="auto"/>
        <w:left w:val="none" w:sz="0" w:space="0" w:color="auto"/>
        <w:bottom w:val="none" w:sz="0" w:space="0" w:color="auto"/>
        <w:right w:val="none" w:sz="0" w:space="0" w:color="auto"/>
      </w:divBdr>
    </w:div>
    <w:div w:id="137385630">
      <w:bodyDiv w:val="1"/>
      <w:marLeft w:val="0"/>
      <w:marRight w:val="0"/>
      <w:marTop w:val="0"/>
      <w:marBottom w:val="0"/>
      <w:divBdr>
        <w:top w:val="none" w:sz="0" w:space="0" w:color="auto"/>
        <w:left w:val="none" w:sz="0" w:space="0" w:color="auto"/>
        <w:bottom w:val="none" w:sz="0" w:space="0" w:color="auto"/>
        <w:right w:val="none" w:sz="0" w:space="0" w:color="auto"/>
      </w:divBdr>
    </w:div>
    <w:div w:id="229657631">
      <w:bodyDiv w:val="1"/>
      <w:marLeft w:val="0"/>
      <w:marRight w:val="0"/>
      <w:marTop w:val="0"/>
      <w:marBottom w:val="0"/>
      <w:divBdr>
        <w:top w:val="none" w:sz="0" w:space="0" w:color="auto"/>
        <w:left w:val="none" w:sz="0" w:space="0" w:color="auto"/>
        <w:bottom w:val="none" w:sz="0" w:space="0" w:color="auto"/>
        <w:right w:val="none" w:sz="0" w:space="0" w:color="auto"/>
      </w:divBdr>
    </w:div>
    <w:div w:id="294995563">
      <w:bodyDiv w:val="1"/>
      <w:marLeft w:val="0"/>
      <w:marRight w:val="0"/>
      <w:marTop w:val="0"/>
      <w:marBottom w:val="0"/>
      <w:divBdr>
        <w:top w:val="none" w:sz="0" w:space="0" w:color="auto"/>
        <w:left w:val="none" w:sz="0" w:space="0" w:color="auto"/>
        <w:bottom w:val="none" w:sz="0" w:space="0" w:color="auto"/>
        <w:right w:val="none" w:sz="0" w:space="0" w:color="auto"/>
      </w:divBdr>
    </w:div>
    <w:div w:id="451021016">
      <w:bodyDiv w:val="1"/>
      <w:marLeft w:val="0"/>
      <w:marRight w:val="0"/>
      <w:marTop w:val="0"/>
      <w:marBottom w:val="0"/>
      <w:divBdr>
        <w:top w:val="none" w:sz="0" w:space="0" w:color="auto"/>
        <w:left w:val="none" w:sz="0" w:space="0" w:color="auto"/>
        <w:bottom w:val="none" w:sz="0" w:space="0" w:color="auto"/>
        <w:right w:val="none" w:sz="0" w:space="0" w:color="auto"/>
      </w:divBdr>
    </w:div>
    <w:div w:id="457260965">
      <w:bodyDiv w:val="1"/>
      <w:marLeft w:val="0"/>
      <w:marRight w:val="0"/>
      <w:marTop w:val="0"/>
      <w:marBottom w:val="0"/>
      <w:divBdr>
        <w:top w:val="none" w:sz="0" w:space="0" w:color="auto"/>
        <w:left w:val="none" w:sz="0" w:space="0" w:color="auto"/>
        <w:bottom w:val="none" w:sz="0" w:space="0" w:color="auto"/>
        <w:right w:val="none" w:sz="0" w:space="0" w:color="auto"/>
      </w:divBdr>
    </w:div>
    <w:div w:id="457534581">
      <w:bodyDiv w:val="1"/>
      <w:marLeft w:val="0"/>
      <w:marRight w:val="0"/>
      <w:marTop w:val="0"/>
      <w:marBottom w:val="0"/>
      <w:divBdr>
        <w:top w:val="none" w:sz="0" w:space="0" w:color="auto"/>
        <w:left w:val="none" w:sz="0" w:space="0" w:color="auto"/>
        <w:bottom w:val="none" w:sz="0" w:space="0" w:color="auto"/>
        <w:right w:val="none" w:sz="0" w:space="0" w:color="auto"/>
      </w:divBdr>
    </w:div>
    <w:div w:id="463156100">
      <w:bodyDiv w:val="1"/>
      <w:marLeft w:val="0"/>
      <w:marRight w:val="0"/>
      <w:marTop w:val="0"/>
      <w:marBottom w:val="0"/>
      <w:divBdr>
        <w:top w:val="none" w:sz="0" w:space="0" w:color="auto"/>
        <w:left w:val="none" w:sz="0" w:space="0" w:color="auto"/>
        <w:bottom w:val="none" w:sz="0" w:space="0" w:color="auto"/>
        <w:right w:val="none" w:sz="0" w:space="0" w:color="auto"/>
      </w:divBdr>
    </w:div>
    <w:div w:id="502936672">
      <w:bodyDiv w:val="1"/>
      <w:marLeft w:val="0"/>
      <w:marRight w:val="0"/>
      <w:marTop w:val="0"/>
      <w:marBottom w:val="0"/>
      <w:divBdr>
        <w:top w:val="none" w:sz="0" w:space="0" w:color="auto"/>
        <w:left w:val="none" w:sz="0" w:space="0" w:color="auto"/>
        <w:bottom w:val="none" w:sz="0" w:space="0" w:color="auto"/>
        <w:right w:val="none" w:sz="0" w:space="0" w:color="auto"/>
      </w:divBdr>
      <w:divsChild>
        <w:div w:id="515311564">
          <w:marLeft w:val="0"/>
          <w:marRight w:val="0"/>
          <w:marTop w:val="0"/>
          <w:marBottom w:val="0"/>
          <w:divBdr>
            <w:top w:val="none" w:sz="0" w:space="0" w:color="auto"/>
            <w:left w:val="none" w:sz="0" w:space="0" w:color="auto"/>
            <w:bottom w:val="none" w:sz="0" w:space="0" w:color="auto"/>
            <w:right w:val="none" w:sz="0" w:space="0" w:color="auto"/>
          </w:divBdr>
        </w:div>
        <w:div w:id="574821065">
          <w:marLeft w:val="0"/>
          <w:marRight w:val="0"/>
          <w:marTop w:val="0"/>
          <w:marBottom w:val="0"/>
          <w:divBdr>
            <w:top w:val="none" w:sz="0" w:space="0" w:color="auto"/>
            <w:left w:val="none" w:sz="0" w:space="0" w:color="auto"/>
            <w:bottom w:val="none" w:sz="0" w:space="0" w:color="auto"/>
            <w:right w:val="none" w:sz="0" w:space="0" w:color="auto"/>
          </w:divBdr>
        </w:div>
        <w:div w:id="1010135355">
          <w:marLeft w:val="0"/>
          <w:marRight w:val="0"/>
          <w:marTop w:val="0"/>
          <w:marBottom w:val="0"/>
          <w:divBdr>
            <w:top w:val="none" w:sz="0" w:space="0" w:color="auto"/>
            <w:left w:val="none" w:sz="0" w:space="0" w:color="auto"/>
            <w:bottom w:val="none" w:sz="0" w:space="0" w:color="auto"/>
            <w:right w:val="none" w:sz="0" w:space="0" w:color="auto"/>
          </w:divBdr>
        </w:div>
      </w:divsChild>
    </w:div>
    <w:div w:id="555553099">
      <w:bodyDiv w:val="1"/>
      <w:marLeft w:val="0"/>
      <w:marRight w:val="0"/>
      <w:marTop w:val="0"/>
      <w:marBottom w:val="0"/>
      <w:divBdr>
        <w:top w:val="none" w:sz="0" w:space="0" w:color="auto"/>
        <w:left w:val="none" w:sz="0" w:space="0" w:color="auto"/>
        <w:bottom w:val="none" w:sz="0" w:space="0" w:color="auto"/>
        <w:right w:val="none" w:sz="0" w:space="0" w:color="auto"/>
      </w:divBdr>
    </w:div>
    <w:div w:id="568460122">
      <w:bodyDiv w:val="1"/>
      <w:marLeft w:val="0"/>
      <w:marRight w:val="0"/>
      <w:marTop w:val="0"/>
      <w:marBottom w:val="0"/>
      <w:divBdr>
        <w:top w:val="none" w:sz="0" w:space="0" w:color="auto"/>
        <w:left w:val="none" w:sz="0" w:space="0" w:color="auto"/>
        <w:bottom w:val="none" w:sz="0" w:space="0" w:color="auto"/>
        <w:right w:val="none" w:sz="0" w:space="0" w:color="auto"/>
      </w:divBdr>
    </w:div>
    <w:div w:id="580217202">
      <w:bodyDiv w:val="1"/>
      <w:marLeft w:val="0"/>
      <w:marRight w:val="0"/>
      <w:marTop w:val="0"/>
      <w:marBottom w:val="0"/>
      <w:divBdr>
        <w:top w:val="none" w:sz="0" w:space="0" w:color="auto"/>
        <w:left w:val="none" w:sz="0" w:space="0" w:color="auto"/>
        <w:bottom w:val="none" w:sz="0" w:space="0" w:color="auto"/>
        <w:right w:val="none" w:sz="0" w:space="0" w:color="auto"/>
      </w:divBdr>
    </w:div>
    <w:div w:id="602494033">
      <w:bodyDiv w:val="1"/>
      <w:marLeft w:val="0"/>
      <w:marRight w:val="0"/>
      <w:marTop w:val="0"/>
      <w:marBottom w:val="0"/>
      <w:divBdr>
        <w:top w:val="none" w:sz="0" w:space="0" w:color="auto"/>
        <w:left w:val="none" w:sz="0" w:space="0" w:color="auto"/>
        <w:bottom w:val="none" w:sz="0" w:space="0" w:color="auto"/>
        <w:right w:val="none" w:sz="0" w:space="0" w:color="auto"/>
      </w:divBdr>
    </w:div>
    <w:div w:id="629092688">
      <w:bodyDiv w:val="1"/>
      <w:marLeft w:val="0"/>
      <w:marRight w:val="0"/>
      <w:marTop w:val="0"/>
      <w:marBottom w:val="0"/>
      <w:divBdr>
        <w:top w:val="none" w:sz="0" w:space="0" w:color="auto"/>
        <w:left w:val="none" w:sz="0" w:space="0" w:color="auto"/>
        <w:bottom w:val="none" w:sz="0" w:space="0" w:color="auto"/>
        <w:right w:val="none" w:sz="0" w:space="0" w:color="auto"/>
      </w:divBdr>
    </w:div>
    <w:div w:id="704213427">
      <w:bodyDiv w:val="1"/>
      <w:marLeft w:val="0"/>
      <w:marRight w:val="0"/>
      <w:marTop w:val="0"/>
      <w:marBottom w:val="0"/>
      <w:divBdr>
        <w:top w:val="none" w:sz="0" w:space="0" w:color="auto"/>
        <w:left w:val="none" w:sz="0" w:space="0" w:color="auto"/>
        <w:bottom w:val="none" w:sz="0" w:space="0" w:color="auto"/>
        <w:right w:val="none" w:sz="0" w:space="0" w:color="auto"/>
      </w:divBdr>
    </w:div>
    <w:div w:id="782647876">
      <w:bodyDiv w:val="1"/>
      <w:marLeft w:val="0"/>
      <w:marRight w:val="0"/>
      <w:marTop w:val="0"/>
      <w:marBottom w:val="0"/>
      <w:divBdr>
        <w:top w:val="none" w:sz="0" w:space="0" w:color="auto"/>
        <w:left w:val="none" w:sz="0" w:space="0" w:color="auto"/>
        <w:bottom w:val="none" w:sz="0" w:space="0" w:color="auto"/>
        <w:right w:val="none" w:sz="0" w:space="0" w:color="auto"/>
      </w:divBdr>
    </w:div>
    <w:div w:id="800391698">
      <w:bodyDiv w:val="1"/>
      <w:marLeft w:val="0"/>
      <w:marRight w:val="0"/>
      <w:marTop w:val="0"/>
      <w:marBottom w:val="0"/>
      <w:divBdr>
        <w:top w:val="none" w:sz="0" w:space="0" w:color="auto"/>
        <w:left w:val="none" w:sz="0" w:space="0" w:color="auto"/>
        <w:bottom w:val="none" w:sz="0" w:space="0" w:color="auto"/>
        <w:right w:val="none" w:sz="0" w:space="0" w:color="auto"/>
      </w:divBdr>
    </w:div>
    <w:div w:id="852568714">
      <w:bodyDiv w:val="1"/>
      <w:marLeft w:val="0"/>
      <w:marRight w:val="0"/>
      <w:marTop w:val="0"/>
      <w:marBottom w:val="0"/>
      <w:divBdr>
        <w:top w:val="none" w:sz="0" w:space="0" w:color="auto"/>
        <w:left w:val="none" w:sz="0" w:space="0" w:color="auto"/>
        <w:bottom w:val="none" w:sz="0" w:space="0" w:color="auto"/>
        <w:right w:val="none" w:sz="0" w:space="0" w:color="auto"/>
      </w:divBdr>
    </w:div>
    <w:div w:id="888149513">
      <w:bodyDiv w:val="1"/>
      <w:marLeft w:val="0"/>
      <w:marRight w:val="0"/>
      <w:marTop w:val="0"/>
      <w:marBottom w:val="0"/>
      <w:divBdr>
        <w:top w:val="none" w:sz="0" w:space="0" w:color="auto"/>
        <w:left w:val="none" w:sz="0" w:space="0" w:color="auto"/>
        <w:bottom w:val="none" w:sz="0" w:space="0" w:color="auto"/>
        <w:right w:val="none" w:sz="0" w:space="0" w:color="auto"/>
      </w:divBdr>
    </w:div>
    <w:div w:id="1082990407">
      <w:bodyDiv w:val="1"/>
      <w:marLeft w:val="0"/>
      <w:marRight w:val="0"/>
      <w:marTop w:val="0"/>
      <w:marBottom w:val="0"/>
      <w:divBdr>
        <w:top w:val="none" w:sz="0" w:space="0" w:color="auto"/>
        <w:left w:val="none" w:sz="0" w:space="0" w:color="auto"/>
        <w:bottom w:val="none" w:sz="0" w:space="0" w:color="auto"/>
        <w:right w:val="none" w:sz="0" w:space="0" w:color="auto"/>
      </w:divBdr>
    </w:div>
    <w:div w:id="1100106428">
      <w:bodyDiv w:val="1"/>
      <w:marLeft w:val="0"/>
      <w:marRight w:val="0"/>
      <w:marTop w:val="0"/>
      <w:marBottom w:val="0"/>
      <w:divBdr>
        <w:top w:val="none" w:sz="0" w:space="0" w:color="auto"/>
        <w:left w:val="none" w:sz="0" w:space="0" w:color="auto"/>
        <w:bottom w:val="none" w:sz="0" w:space="0" w:color="auto"/>
        <w:right w:val="none" w:sz="0" w:space="0" w:color="auto"/>
      </w:divBdr>
    </w:div>
    <w:div w:id="1103695736">
      <w:bodyDiv w:val="1"/>
      <w:marLeft w:val="0"/>
      <w:marRight w:val="0"/>
      <w:marTop w:val="0"/>
      <w:marBottom w:val="0"/>
      <w:divBdr>
        <w:top w:val="none" w:sz="0" w:space="0" w:color="auto"/>
        <w:left w:val="none" w:sz="0" w:space="0" w:color="auto"/>
        <w:bottom w:val="none" w:sz="0" w:space="0" w:color="auto"/>
        <w:right w:val="none" w:sz="0" w:space="0" w:color="auto"/>
      </w:divBdr>
    </w:div>
    <w:div w:id="1171529504">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6502734">
      <w:bodyDiv w:val="1"/>
      <w:marLeft w:val="0"/>
      <w:marRight w:val="0"/>
      <w:marTop w:val="0"/>
      <w:marBottom w:val="0"/>
      <w:divBdr>
        <w:top w:val="none" w:sz="0" w:space="0" w:color="auto"/>
        <w:left w:val="none" w:sz="0" w:space="0" w:color="auto"/>
        <w:bottom w:val="none" w:sz="0" w:space="0" w:color="auto"/>
        <w:right w:val="none" w:sz="0" w:space="0" w:color="auto"/>
      </w:divBdr>
    </w:div>
    <w:div w:id="1388214262">
      <w:bodyDiv w:val="1"/>
      <w:marLeft w:val="0"/>
      <w:marRight w:val="0"/>
      <w:marTop w:val="0"/>
      <w:marBottom w:val="0"/>
      <w:divBdr>
        <w:top w:val="none" w:sz="0" w:space="0" w:color="auto"/>
        <w:left w:val="none" w:sz="0" w:space="0" w:color="auto"/>
        <w:bottom w:val="none" w:sz="0" w:space="0" w:color="auto"/>
        <w:right w:val="none" w:sz="0" w:space="0" w:color="auto"/>
      </w:divBdr>
    </w:div>
    <w:div w:id="1519615543">
      <w:bodyDiv w:val="1"/>
      <w:marLeft w:val="0"/>
      <w:marRight w:val="0"/>
      <w:marTop w:val="0"/>
      <w:marBottom w:val="0"/>
      <w:divBdr>
        <w:top w:val="none" w:sz="0" w:space="0" w:color="auto"/>
        <w:left w:val="none" w:sz="0" w:space="0" w:color="auto"/>
        <w:bottom w:val="none" w:sz="0" w:space="0" w:color="auto"/>
        <w:right w:val="none" w:sz="0" w:space="0" w:color="auto"/>
      </w:divBdr>
    </w:div>
    <w:div w:id="1568687519">
      <w:bodyDiv w:val="1"/>
      <w:marLeft w:val="0"/>
      <w:marRight w:val="0"/>
      <w:marTop w:val="0"/>
      <w:marBottom w:val="0"/>
      <w:divBdr>
        <w:top w:val="none" w:sz="0" w:space="0" w:color="auto"/>
        <w:left w:val="none" w:sz="0" w:space="0" w:color="auto"/>
        <w:bottom w:val="none" w:sz="0" w:space="0" w:color="auto"/>
        <w:right w:val="none" w:sz="0" w:space="0" w:color="auto"/>
      </w:divBdr>
    </w:div>
    <w:div w:id="1598555805">
      <w:bodyDiv w:val="1"/>
      <w:marLeft w:val="0"/>
      <w:marRight w:val="0"/>
      <w:marTop w:val="0"/>
      <w:marBottom w:val="0"/>
      <w:divBdr>
        <w:top w:val="none" w:sz="0" w:space="0" w:color="auto"/>
        <w:left w:val="none" w:sz="0" w:space="0" w:color="auto"/>
        <w:bottom w:val="none" w:sz="0" w:space="0" w:color="auto"/>
        <w:right w:val="none" w:sz="0" w:space="0" w:color="auto"/>
      </w:divBdr>
    </w:div>
    <w:div w:id="1600796703">
      <w:bodyDiv w:val="1"/>
      <w:marLeft w:val="0"/>
      <w:marRight w:val="0"/>
      <w:marTop w:val="0"/>
      <w:marBottom w:val="0"/>
      <w:divBdr>
        <w:top w:val="none" w:sz="0" w:space="0" w:color="auto"/>
        <w:left w:val="none" w:sz="0" w:space="0" w:color="auto"/>
        <w:bottom w:val="none" w:sz="0" w:space="0" w:color="auto"/>
        <w:right w:val="none" w:sz="0" w:space="0" w:color="auto"/>
      </w:divBdr>
    </w:div>
    <w:div w:id="1604606494">
      <w:bodyDiv w:val="1"/>
      <w:marLeft w:val="0"/>
      <w:marRight w:val="0"/>
      <w:marTop w:val="0"/>
      <w:marBottom w:val="0"/>
      <w:divBdr>
        <w:top w:val="none" w:sz="0" w:space="0" w:color="auto"/>
        <w:left w:val="none" w:sz="0" w:space="0" w:color="auto"/>
        <w:bottom w:val="none" w:sz="0" w:space="0" w:color="auto"/>
        <w:right w:val="none" w:sz="0" w:space="0" w:color="auto"/>
      </w:divBdr>
    </w:div>
    <w:div w:id="1642224785">
      <w:bodyDiv w:val="1"/>
      <w:marLeft w:val="0"/>
      <w:marRight w:val="0"/>
      <w:marTop w:val="0"/>
      <w:marBottom w:val="0"/>
      <w:divBdr>
        <w:top w:val="none" w:sz="0" w:space="0" w:color="auto"/>
        <w:left w:val="none" w:sz="0" w:space="0" w:color="auto"/>
        <w:bottom w:val="none" w:sz="0" w:space="0" w:color="auto"/>
        <w:right w:val="none" w:sz="0" w:space="0" w:color="auto"/>
      </w:divBdr>
    </w:div>
    <w:div w:id="1659840259">
      <w:bodyDiv w:val="1"/>
      <w:marLeft w:val="0"/>
      <w:marRight w:val="0"/>
      <w:marTop w:val="0"/>
      <w:marBottom w:val="0"/>
      <w:divBdr>
        <w:top w:val="none" w:sz="0" w:space="0" w:color="auto"/>
        <w:left w:val="none" w:sz="0" w:space="0" w:color="auto"/>
        <w:bottom w:val="none" w:sz="0" w:space="0" w:color="auto"/>
        <w:right w:val="none" w:sz="0" w:space="0" w:color="auto"/>
      </w:divBdr>
    </w:div>
    <w:div w:id="1683319191">
      <w:bodyDiv w:val="1"/>
      <w:marLeft w:val="0"/>
      <w:marRight w:val="0"/>
      <w:marTop w:val="0"/>
      <w:marBottom w:val="0"/>
      <w:divBdr>
        <w:top w:val="none" w:sz="0" w:space="0" w:color="auto"/>
        <w:left w:val="none" w:sz="0" w:space="0" w:color="auto"/>
        <w:bottom w:val="none" w:sz="0" w:space="0" w:color="auto"/>
        <w:right w:val="none" w:sz="0" w:space="0" w:color="auto"/>
      </w:divBdr>
    </w:div>
    <w:div w:id="1787233016">
      <w:bodyDiv w:val="1"/>
      <w:marLeft w:val="0"/>
      <w:marRight w:val="0"/>
      <w:marTop w:val="0"/>
      <w:marBottom w:val="0"/>
      <w:divBdr>
        <w:top w:val="none" w:sz="0" w:space="0" w:color="auto"/>
        <w:left w:val="none" w:sz="0" w:space="0" w:color="auto"/>
        <w:bottom w:val="none" w:sz="0" w:space="0" w:color="auto"/>
        <w:right w:val="none" w:sz="0" w:space="0" w:color="auto"/>
      </w:divBdr>
      <w:divsChild>
        <w:div w:id="1648851616">
          <w:marLeft w:val="0"/>
          <w:marRight w:val="0"/>
          <w:marTop w:val="0"/>
          <w:marBottom w:val="0"/>
          <w:divBdr>
            <w:top w:val="none" w:sz="0" w:space="0" w:color="auto"/>
            <w:left w:val="none" w:sz="0" w:space="0" w:color="auto"/>
            <w:bottom w:val="none" w:sz="0" w:space="0" w:color="auto"/>
            <w:right w:val="none" w:sz="0" w:space="0" w:color="auto"/>
          </w:divBdr>
        </w:div>
        <w:div w:id="1859194270">
          <w:marLeft w:val="0"/>
          <w:marRight w:val="0"/>
          <w:marTop w:val="0"/>
          <w:marBottom w:val="0"/>
          <w:divBdr>
            <w:top w:val="none" w:sz="0" w:space="0" w:color="auto"/>
            <w:left w:val="none" w:sz="0" w:space="0" w:color="auto"/>
            <w:bottom w:val="none" w:sz="0" w:space="0" w:color="auto"/>
            <w:right w:val="none" w:sz="0" w:space="0" w:color="auto"/>
          </w:divBdr>
        </w:div>
        <w:div w:id="1864515297">
          <w:marLeft w:val="0"/>
          <w:marRight w:val="0"/>
          <w:marTop w:val="0"/>
          <w:marBottom w:val="0"/>
          <w:divBdr>
            <w:top w:val="none" w:sz="0" w:space="0" w:color="auto"/>
            <w:left w:val="none" w:sz="0" w:space="0" w:color="auto"/>
            <w:bottom w:val="none" w:sz="0" w:space="0" w:color="auto"/>
            <w:right w:val="none" w:sz="0" w:space="0" w:color="auto"/>
          </w:divBdr>
        </w:div>
        <w:div w:id="1337726314">
          <w:marLeft w:val="0"/>
          <w:marRight w:val="0"/>
          <w:marTop w:val="0"/>
          <w:marBottom w:val="0"/>
          <w:divBdr>
            <w:top w:val="none" w:sz="0" w:space="0" w:color="auto"/>
            <w:left w:val="none" w:sz="0" w:space="0" w:color="auto"/>
            <w:bottom w:val="none" w:sz="0" w:space="0" w:color="auto"/>
            <w:right w:val="none" w:sz="0" w:space="0" w:color="auto"/>
          </w:divBdr>
        </w:div>
      </w:divsChild>
    </w:div>
    <w:div w:id="1957708750">
      <w:bodyDiv w:val="1"/>
      <w:marLeft w:val="0"/>
      <w:marRight w:val="0"/>
      <w:marTop w:val="0"/>
      <w:marBottom w:val="0"/>
      <w:divBdr>
        <w:top w:val="none" w:sz="0" w:space="0" w:color="auto"/>
        <w:left w:val="none" w:sz="0" w:space="0" w:color="auto"/>
        <w:bottom w:val="none" w:sz="0" w:space="0" w:color="auto"/>
        <w:right w:val="none" w:sz="0" w:space="0" w:color="auto"/>
      </w:divBdr>
    </w:div>
    <w:div w:id="1996491215">
      <w:bodyDiv w:val="1"/>
      <w:marLeft w:val="0"/>
      <w:marRight w:val="0"/>
      <w:marTop w:val="0"/>
      <w:marBottom w:val="0"/>
      <w:divBdr>
        <w:top w:val="none" w:sz="0" w:space="0" w:color="auto"/>
        <w:left w:val="none" w:sz="0" w:space="0" w:color="auto"/>
        <w:bottom w:val="none" w:sz="0" w:space="0" w:color="auto"/>
        <w:right w:val="none" w:sz="0" w:space="0" w:color="auto"/>
      </w:divBdr>
    </w:div>
    <w:div w:id="2031645395">
      <w:bodyDiv w:val="1"/>
      <w:marLeft w:val="0"/>
      <w:marRight w:val="0"/>
      <w:marTop w:val="0"/>
      <w:marBottom w:val="0"/>
      <w:divBdr>
        <w:top w:val="none" w:sz="0" w:space="0" w:color="auto"/>
        <w:left w:val="none" w:sz="0" w:space="0" w:color="auto"/>
        <w:bottom w:val="none" w:sz="0" w:space="0" w:color="auto"/>
        <w:right w:val="none" w:sz="0" w:space="0" w:color="auto"/>
      </w:divBdr>
    </w:div>
    <w:div w:id="2080901744">
      <w:bodyDiv w:val="1"/>
      <w:marLeft w:val="0"/>
      <w:marRight w:val="0"/>
      <w:marTop w:val="0"/>
      <w:marBottom w:val="0"/>
      <w:divBdr>
        <w:top w:val="none" w:sz="0" w:space="0" w:color="auto"/>
        <w:left w:val="none" w:sz="0" w:space="0" w:color="auto"/>
        <w:bottom w:val="none" w:sz="0" w:space="0" w:color="auto"/>
        <w:right w:val="none" w:sz="0" w:space="0" w:color="auto"/>
      </w:divBdr>
    </w:div>
    <w:div w:id="2112165093">
      <w:bodyDiv w:val="1"/>
      <w:marLeft w:val="0"/>
      <w:marRight w:val="0"/>
      <w:marTop w:val="0"/>
      <w:marBottom w:val="0"/>
      <w:divBdr>
        <w:top w:val="none" w:sz="0" w:space="0" w:color="auto"/>
        <w:left w:val="none" w:sz="0" w:space="0" w:color="auto"/>
        <w:bottom w:val="none" w:sz="0" w:space="0" w:color="auto"/>
        <w:right w:val="none" w:sz="0" w:space="0" w:color="auto"/>
      </w:divBdr>
      <w:divsChild>
        <w:div w:id="369720842">
          <w:marLeft w:val="0"/>
          <w:marRight w:val="0"/>
          <w:marTop w:val="0"/>
          <w:marBottom w:val="0"/>
          <w:divBdr>
            <w:top w:val="single" w:sz="2" w:space="0" w:color="E3E3E3"/>
            <w:left w:val="single" w:sz="2" w:space="0" w:color="E3E3E3"/>
            <w:bottom w:val="single" w:sz="2" w:space="0" w:color="E3E3E3"/>
            <w:right w:val="single" w:sz="2" w:space="0" w:color="E3E3E3"/>
          </w:divBdr>
          <w:divsChild>
            <w:div w:id="690376230">
              <w:marLeft w:val="0"/>
              <w:marRight w:val="0"/>
              <w:marTop w:val="0"/>
              <w:marBottom w:val="0"/>
              <w:divBdr>
                <w:top w:val="single" w:sz="2" w:space="0" w:color="E3E3E3"/>
                <w:left w:val="single" w:sz="2" w:space="0" w:color="E3E3E3"/>
                <w:bottom w:val="single" w:sz="2" w:space="0" w:color="E3E3E3"/>
                <w:right w:val="single" w:sz="2" w:space="0" w:color="E3E3E3"/>
              </w:divBdr>
              <w:divsChild>
                <w:div w:id="373653350">
                  <w:marLeft w:val="0"/>
                  <w:marRight w:val="0"/>
                  <w:marTop w:val="0"/>
                  <w:marBottom w:val="0"/>
                  <w:divBdr>
                    <w:top w:val="single" w:sz="2" w:space="0" w:color="E3E3E3"/>
                    <w:left w:val="single" w:sz="2" w:space="0" w:color="E3E3E3"/>
                    <w:bottom w:val="single" w:sz="2" w:space="0" w:color="E3E3E3"/>
                    <w:right w:val="single" w:sz="2" w:space="0" w:color="E3E3E3"/>
                  </w:divBdr>
                  <w:divsChild>
                    <w:div w:id="1189686746">
                      <w:marLeft w:val="0"/>
                      <w:marRight w:val="0"/>
                      <w:marTop w:val="0"/>
                      <w:marBottom w:val="0"/>
                      <w:divBdr>
                        <w:top w:val="single" w:sz="2" w:space="0" w:color="E3E3E3"/>
                        <w:left w:val="single" w:sz="2" w:space="0" w:color="E3E3E3"/>
                        <w:bottom w:val="single" w:sz="2" w:space="0" w:color="E3E3E3"/>
                        <w:right w:val="single" w:sz="2" w:space="0" w:color="E3E3E3"/>
                      </w:divBdr>
                      <w:divsChild>
                        <w:div w:id="1600287894">
                          <w:marLeft w:val="0"/>
                          <w:marRight w:val="0"/>
                          <w:marTop w:val="0"/>
                          <w:marBottom w:val="0"/>
                          <w:divBdr>
                            <w:top w:val="single" w:sz="2" w:space="0" w:color="E3E3E3"/>
                            <w:left w:val="single" w:sz="2" w:space="0" w:color="E3E3E3"/>
                            <w:bottom w:val="single" w:sz="2" w:space="0" w:color="E3E3E3"/>
                            <w:right w:val="single" w:sz="2" w:space="0" w:color="E3E3E3"/>
                          </w:divBdr>
                          <w:divsChild>
                            <w:div w:id="510028143">
                              <w:marLeft w:val="0"/>
                              <w:marRight w:val="0"/>
                              <w:marTop w:val="100"/>
                              <w:marBottom w:val="100"/>
                              <w:divBdr>
                                <w:top w:val="single" w:sz="2" w:space="0" w:color="E3E3E3"/>
                                <w:left w:val="single" w:sz="2" w:space="0" w:color="E3E3E3"/>
                                <w:bottom w:val="single" w:sz="2" w:space="0" w:color="E3E3E3"/>
                                <w:right w:val="single" w:sz="2" w:space="0" w:color="E3E3E3"/>
                              </w:divBdr>
                              <w:divsChild>
                                <w:div w:id="99497281">
                                  <w:marLeft w:val="0"/>
                                  <w:marRight w:val="0"/>
                                  <w:marTop w:val="0"/>
                                  <w:marBottom w:val="0"/>
                                  <w:divBdr>
                                    <w:top w:val="single" w:sz="2" w:space="0" w:color="E3E3E3"/>
                                    <w:left w:val="single" w:sz="2" w:space="0" w:color="E3E3E3"/>
                                    <w:bottom w:val="single" w:sz="2" w:space="0" w:color="E3E3E3"/>
                                    <w:right w:val="single" w:sz="2" w:space="0" w:color="E3E3E3"/>
                                  </w:divBdr>
                                  <w:divsChild>
                                    <w:div w:id="1078096954">
                                      <w:marLeft w:val="0"/>
                                      <w:marRight w:val="0"/>
                                      <w:marTop w:val="0"/>
                                      <w:marBottom w:val="0"/>
                                      <w:divBdr>
                                        <w:top w:val="single" w:sz="2" w:space="0" w:color="E3E3E3"/>
                                        <w:left w:val="single" w:sz="2" w:space="0" w:color="E3E3E3"/>
                                        <w:bottom w:val="single" w:sz="2" w:space="0" w:color="E3E3E3"/>
                                        <w:right w:val="single" w:sz="2" w:space="0" w:color="E3E3E3"/>
                                      </w:divBdr>
                                      <w:divsChild>
                                        <w:div w:id="1010060255">
                                          <w:marLeft w:val="0"/>
                                          <w:marRight w:val="0"/>
                                          <w:marTop w:val="0"/>
                                          <w:marBottom w:val="0"/>
                                          <w:divBdr>
                                            <w:top w:val="single" w:sz="2" w:space="0" w:color="E3E3E3"/>
                                            <w:left w:val="single" w:sz="2" w:space="0" w:color="E3E3E3"/>
                                            <w:bottom w:val="single" w:sz="2" w:space="0" w:color="E3E3E3"/>
                                            <w:right w:val="single" w:sz="2" w:space="0" w:color="E3E3E3"/>
                                          </w:divBdr>
                                          <w:divsChild>
                                            <w:div w:id="1266156222">
                                              <w:marLeft w:val="0"/>
                                              <w:marRight w:val="0"/>
                                              <w:marTop w:val="0"/>
                                              <w:marBottom w:val="0"/>
                                              <w:divBdr>
                                                <w:top w:val="single" w:sz="2" w:space="0" w:color="E3E3E3"/>
                                                <w:left w:val="single" w:sz="2" w:space="0" w:color="E3E3E3"/>
                                                <w:bottom w:val="single" w:sz="2" w:space="0" w:color="E3E3E3"/>
                                                <w:right w:val="single" w:sz="2" w:space="0" w:color="E3E3E3"/>
                                              </w:divBdr>
                                              <w:divsChild>
                                                <w:div w:id="167794172">
                                                  <w:marLeft w:val="0"/>
                                                  <w:marRight w:val="0"/>
                                                  <w:marTop w:val="0"/>
                                                  <w:marBottom w:val="0"/>
                                                  <w:divBdr>
                                                    <w:top w:val="single" w:sz="2" w:space="0" w:color="E3E3E3"/>
                                                    <w:left w:val="single" w:sz="2" w:space="0" w:color="E3E3E3"/>
                                                    <w:bottom w:val="single" w:sz="2" w:space="0" w:color="E3E3E3"/>
                                                    <w:right w:val="single" w:sz="2" w:space="0" w:color="E3E3E3"/>
                                                  </w:divBdr>
                                                  <w:divsChild>
                                                    <w:div w:id="2626093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1706146">
          <w:marLeft w:val="0"/>
          <w:marRight w:val="0"/>
          <w:marTop w:val="0"/>
          <w:marBottom w:val="0"/>
          <w:divBdr>
            <w:top w:val="none" w:sz="0" w:space="0" w:color="auto"/>
            <w:left w:val="none" w:sz="0" w:space="0" w:color="auto"/>
            <w:bottom w:val="none" w:sz="0" w:space="0" w:color="auto"/>
            <w:right w:val="none" w:sz="0" w:space="0" w:color="auto"/>
          </w:divBdr>
        </w:div>
      </w:divsChild>
    </w:div>
    <w:div w:id="213713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pca/46523031000128/2026/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ncp.gov.br/app/editais/32974503000154/2026/6" TargetMode="External"/><Relationship Id="rId4" Type="http://schemas.openxmlformats.org/officeDocument/2006/relationships/settings" Target="settings.xml"/><Relationship Id="rId9" Type="http://schemas.openxmlformats.org/officeDocument/2006/relationships/hyperlink" Target="https://pncp.gov.br/app/editais/12870883000170/2025/57"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D3627-87C0-43FB-8FF6-8AC806475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1439</TotalTime>
  <Pages>8</Pages>
  <Words>3024</Words>
  <Characters>16333</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Adriano A Postal</dc:creator>
  <cp:keywords/>
  <dc:description/>
  <cp:lastModifiedBy>Richard Moreira Rodrigues</cp:lastModifiedBy>
  <cp:revision>28</cp:revision>
  <cp:lastPrinted>2026-03-31T17:27:00Z</cp:lastPrinted>
  <dcterms:created xsi:type="dcterms:W3CDTF">2025-10-30T17:45:00Z</dcterms:created>
  <dcterms:modified xsi:type="dcterms:W3CDTF">2026-05-11T13:21:00Z</dcterms:modified>
</cp:coreProperties>
</file>