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/>
        <w:jc w:val="center"/>
        <w:rPr>
          <w:rFonts w:ascii="Arial" w:hAnsi="Arial"/>
        </w:rPr>
      </w:pPr>
      <w:r>
        <w:rPr>
          <w:rFonts w:cs="Arial" w:ascii="Arial" w:hAnsi="Arial"/>
          <w:b/>
        </w:rPr>
        <w:t>JUSTIFICATIVA DA CONTRATAÇÃO</w:t>
      </w:r>
    </w:p>
    <w:p>
      <w:pPr>
        <w:pStyle w:val="Normal"/>
        <w:spacing w:lineRule="auto" w:line="240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tabs>
          <w:tab w:val="clear" w:pos="708"/>
          <w:tab w:val="left" w:pos="0" w:leader="none"/>
        </w:tabs>
        <w:spacing w:lineRule="auto" w:line="240"/>
        <w:jc w:val="both"/>
        <w:rPr/>
      </w:pPr>
      <w:r>
        <w:rPr>
          <w:rFonts w:cs="Arial" w:ascii="Arial" w:hAnsi="Arial"/>
          <w:i/>
          <w:iCs/>
          <w:color w:val="000000"/>
        </w:rPr>
        <w:t>Art. 74. Art. I – Lei nº 14.133/2021:</w:t>
      </w:r>
    </w:p>
    <w:p>
      <w:pPr>
        <w:pStyle w:val="Normal"/>
        <w:tabs>
          <w:tab w:val="clear" w:pos="708"/>
          <w:tab w:val="left" w:pos="0" w:leader="none"/>
        </w:tabs>
        <w:spacing w:lineRule="auto" w:line="240"/>
        <w:jc w:val="both"/>
        <w:rPr>
          <w:rFonts w:ascii="Arial" w:hAnsi="Arial" w:cs="Arial"/>
          <w:i/>
          <w:i/>
          <w:iCs/>
          <w:color w:val="000000"/>
        </w:rPr>
      </w:pPr>
      <w:r>
        <w:rPr>
          <w:rFonts w:cs="Arial" w:ascii="Arial" w:hAnsi="Arial"/>
          <w:i/>
          <w:iCs/>
          <w:color w:val="000000"/>
        </w:rPr>
      </w:r>
    </w:p>
    <w:p>
      <w:pPr>
        <w:pStyle w:val="NormalWeb"/>
        <w:spacing w:lineRule="auto" w:line="240" w:before="0" w:after="0"/>
        <w:jc w:val="both"/>
        <w:rPr/>
      </w:pPr>
      <w:r>
        <w:rPr>
          <w:rFonts w:cs="Arial" w:ascii="Arial" w:hAnsi="Arial"/>
          <w:i/>
          <w:iCs/>
          <w:color w:val="000000"/>
          <w:sz w:val="22"/>
          <w:szCs w:val="22"/>
        </w:rPr>
        <w:t>“</w:t>
      </w:r>
      <w:r>
        <w:rPr>
          <w:rFonts w:cs="Arial" w:ascii="Arial" w:hAnsi="Arial"/>
          <w:i/>
          <w:iCs/>
          <w:color w:val="000000"/>
          <w:sz w:val="22"/>
          <w:szCs w:val="22"/>
        </w:rPr>
        <w:t>É inexigível a licitação quando inviável a competição, em especial nos casos de:</w:t>
      </w:r>
    </w:p>
    <w:p>
      <w:pPr>
        <w:pStyle w:val="NormalWeb"/>
        <w:spacing w:lineRule="auto" w:line="240" w:before="0" w:after="0"/>
        <w:jc w:val="both"/>
        <w:rPr/>
      </w:pPr>
      <w:bookmarkStart w:id="0" w:name="art74i"/>
      <w:bookmarkEnd w:id="0"/>
      <w:r>
        <w:rPr>
          <w:rFonts w:cs="Arial" w:ascii="Arial" w:hAnsi="Arial"/>
          <w:i/>
          <w:iCs/>
          <w:color w:val="000000"/>
          <w:sz w:val="22"/>
          <w:szCs w:val="22"/>
        </w:rPr>
        <w:t>I - aquisição de materiais, de equipamentos ou de gêneros ou contratação de serviços que só possam ser fornecidos por produtor, empresa ou representante comercial exclusivos;”</w:t>
      </w:r>
    </w:p>
    <w:p>
      <w:pPr>
        <w:pStyle w:val="Normal"/>
        <w:tabs>
          <w:tab w:val="clear" w:pos="708"/>
          <w:tab w:val="left" w:pos="0" w:leader="none"/>
        </w:tabs>
        <w:spacing w:lineRule="auto" w:line="240"/>
        <w:jc w:val="both"/>
        <w:rPr>
          <w:rFonts w:ascii="Arial" w:hAnsi="Arial" w:cs="Arial"/>
          <w:i/>
          <w:i/>
          <w:iCs/>
          <w:color w:val="000000"/>
        </w:rPr>
      </w:pPr>
      <w:r>
        <w:rPr>
          <w:rFonts w:cs="Arial" w:ascii="Arial" w:hAnsi="Arial"/>
          <w:i/>
          <w:iCs/>
          <w:color w:val="000000"/>
        </w:rPr>
      </w:r>
    </w:p>
    <w:p>
      <w:pPr>
        <w:pStyle w:val="Normal"/>
        <w:widowControl w:val="false"/>
        <w:suppressAutoHyphens w:val="true"/>
        <w:spacing w:lineRule="auto" w:line="360" w:before="0" w:after="0"/>
        <w:ind w:hanging="0"/>
        <w:jc w:val="both"/>
        <w:rPr>
          <w:rFonts w:ascii="Arial" w:hAnsi="Arial" w:cs="Arial"/>
          <w:bCs/>
        </w:rPr>
      </w:pPr>
      <w:r>
        <w:rPr>
          <w:rFonts w:eastAsia="Calibri" w:cs="Arial" w:ascii="Arial" w:hAnsi="Arial"/>
          <w:bCs/>
          <w:color w:val="000000"/>
          <w:sz w:val="22"/>
          <w:szCs w:val="22"/>
          <w:lang w:val="pt-BR" w:eastAsia="en-US" w:bidi="ar-SA"/>
        </w:rPr>
        <w:t>A escolha do fornecedor será através de oficinas credenciadas pela seguradora.</w:t>
      </w:r>
    </w:p>
    <w:p>
      <w:pPr>
        <w:pStyle w:val="Normal"/>
        <w:spacing w:lineRule="auto" w:line="240"/>
        <w:jc w:val="both"/>
        <w:rPr>
          <w:rFonts w:ascii="Arial" w:hAnsi="Arial"/>
          <w:i/>
          <w:i/>
          <w:iCs/>
        </w:rPr>
      </w:pPr>
      <w:r>
        <w:rPr>
          <w:rFonts w:ascii="Arial" w:hAnsi="Arial"/>
          <w:i/>
          <w:iCs/>
        </w:rPr>
      </w:r>
    </w:p>
    <w:p>
      <w:pPr>
        <w:pStyle w:val="Corpodotexto"/>
        <w:spacing w:before="0" w:after="283"/>
        <w:rPr>
          <w:rFonts w:ascii="Arial" w:hAnsi="Arial"/>
          <w:i/>
          <w:i/>
          <w:iCs/>
          <w:color w:val="000000"/>
        </w:rPr>
      </w:pPr>
      <w:r>
        <w:rPr>
          <w:rFonts w:ascii="Arial" w:hAnsi="Arial"/>
          <w:i/>
          <w:iCs/>
          <w:color w:val="000000"/>
        </w:rPr>
      </w:r>
    </w:p>
    <w:p>
      <w:pPr>
        <w:pStyle w:val="Normal"/>
        <w:widowControl w:val="false"/>
        <w:spacing w:lineRule="auto" w:line="240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widowControl w:val="false"/>
        <w:spacing w:lineRule="auto" w:line="240"/>
        <w:jc w:val="both"/>
        <w:rPr>
          <w:rFonts w:ascii="Arial" w:hAnsi="Arial" w:cs="Arial"/>
          <w:b/>
          <w:b/>
          <w:bCs/>
          <w:color w:val="111111"/>
        </w:rPr>
      </w:pPr>
      <w:r>
        <w:rPr>
          <w:rFonts w:cs="Arial" w:ascii="Arial" w:hAnsi="Arial"/>
          <w:b/>
          <w:bCs/>
          <w:color w:val="111111"/>
        </w:rPr>
      </w:r>
    </w:p>
    <w:p>
      <w:pPr>
        <w:pStyle w:val="Normal"/>
        <w:widowControl w:val="false"/>
        <w:spacing w:lineRule="auto" w:line="240"/>
        <w:jc w:val="center"/>
        <w:rPr>
          <w:rFonts w:ascii="Arial" w:hAnsi="Arial" w:eastAsia="Calibri" w:cs="Arial"/>
          <w:b/>
          <w:b/>
          <w:bCs/>
          <w:color w:val="111111"/>
          <w:kern w:val="0"/>
          <w:sz w:val="22"/>
          <w:szCs w:val="22"/>
          <w:lang w:val="pt-BR" w:eastAsia="en-US" w:bidi="ar-SA"/>
        </w:rPr>
      </w:pPr>
      <w:r>
        <w:rPr>
          <w:rFonts w:eastAsia="Calibri" w:cs="Arial" w:ascii="Arial" w:hAnsi="Arial"/>
          <w:b/>
          <w:bCs/>
          <w:color w:val="111111"/>
          <w:kern w:val="0"/>
          <w:sz w:val="22"/>
          <w:szCs w:val="22"/>
          <w:lang w:val="pt-BR" w:eastAsia="en-US" w:bidi="ar-SA"/>
        </w:rPr>
        <w:t>CLAUDIOMIRO ROCHA</w:t>
      </w:r>
    </w:p>
    <w:p>
      <w:pPr>
        <w:pStyle w:val="Normal"/>
        <w:widowControl w:val="false"/>
        <w:spacing w:lineRule="auto" w:line="240"/>
        <w:jc w:val="center"/>
        <w:rPr>
          <w:rFonts w:ascii="Arial" w:hAnsi="Arial" w:eastAsia="Calibri" w:cs="Arial"/>
          <w:color w:val="111111"/>
          <w:kern w:val="0"/>
          <w:sz w:val="22"/>
          <w:szCs w:val="22"/>
          <w:lang w:val="pt-BR" w:eastAsia="en-US" w:bidi="ar-SA"/>
        </w:rPr>
      </w:pPr>
      <w:r>
        <w:rPr>
          <w:rFonts w:eastAsia="Calibri" w:cs="Arial" w:ascii="Arial" w:hAnsi="Arial"/>
          <w:color w:val="111111"/>
          <w:kern w:val="0"/>
          <w:sz w:val="22"/>
          <w:szCs w:val="22"/>
          <w:lang w:val="pt-BR" w:eastAsia="en-US" w:bidi="ar-SA"/>
        </w:rPr>
        <w:t xml:space="preserve">Gestor de Frotas </w:t>
      </w:r>
    </w:p>
    <w:sectPr>
      <w:headerReference w:type="default" r:id="rId2"/>
      <w:type w:val="nextPage"/>
      <w:pgSz w:w="11906" w:h="16838"/>
      <w:pgMar w:left="1701" w:right="1701" w:header="1417" w:top="3261" w:footer="0" w:bottom="1417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Verdana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spacing w:lineRule="auto" w:line="240"/>
      <w:jc w:val="both"/>
      <w:rPr/>
    </w:pPr>
    <w:r>
      <w:drawing>
        <wp:anchor behindDoc="0" distT="0" distB="0" distL="114935" distR="114935" simplePos="0" locked="0" layoutInCell="0" allowOverlap="1" relativeHeight="3">
          <wp:simplePos x="0" y="0"/>
          <wp:positionH relativeFrom="column">
            <wp:posOffset>-851535</wp:posOffset>
          </wp:positionH>
          <wp:positionV relativeFrom="paragraph">
            <wp:posOffset>-109220</wp:posOffset>
          </wp:positionV>
          <wp:extent cx="987425" cy="988695"/>
          <wp:effectExtent l="0" t="0" r="0" b="0"/>
          <wp:wrapSquare wrapText="bothSides"/>
          <wp:docPr id="1" name="Figura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0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19" t="-409" r="-419" b="-409"/>
                  <a:stretch>
                    <a:fillRect/>
                  </a:stretch>
                </pic:blipFill>
                <pic:spPr bwMode="auto">
                  <a:xfrm>
                    <a:off x="0" y="0"/>
                    <a:ext cx="987425" cy="9886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cs="Verdana" w:ascii="Verdana" w:hAnsi="Verdana"/>
        <w:b/>
        <w:sz w:val="20"/>
      </w:rPr>
      <w:t xml:space="preserve">     </w:t>
    </w:r>
    <w:r>
      <w:rPr>
        <w:rFonts w:cs="Verdana" w:ascii="Verdana" w:hAnsi="Verdana"/>
        <w:b/>
        <w:sz w:val="20"/>
      </w:rPr>
      <w:t>ESTADO DE SANTA CATARINA</w:t>
    </w:r>
  </w:p>
  <w:p>
    <w:pPr>
      <w:pStyle w:val="Cabealho"/>
      <w:spacing w:lineRule="auto" w:line="240"/>
      <w:jc w:val="both"/>
      <w:rPr/>
    </w:pPr>
    <w:r>
      <w:rPr>
        <w:rFonts w:cs="Verdana" w:ascii="Verdana" w:hAnsi="Verdana"/>
        <w:b/>
        <w:sz w:val="20"/>
      </w:rPr>
      <w:t xml:space="preserve">     </w:t>
    </w:r>
    <w:r>
      <w:rPr>
        <w:rFonts w:cs="Verdana" w:ascii="Verdana" w:hAnsi="Verdana"/>
        <w:b/>
        <w:sz w:val="20"/>
      </w:rPr>
      <w:t>MUNICÍPIO DE ITÁ</w:t>
    </w:r>
  </w:p>
  <w:p>
    <w:pPr>
      <w:pStyle w:val="Cabealho"/>
      <w:spacing w:lineRule="auto" w:line="240"/>
      <w:rPr/>
    </w:pPr>
    <w:r>
      <w:rPr>
        <w:rFonts w:cs="Verdana" w:ascii="Verdana" w:hAnsi="Verdana"/>
        <w:b/>
        <w:sz w:val="20"/>
      </w:rPr>
      <w:t xml:space="preserve">     </w:t>
    </w:r>
    <w:r>
      <w:rPr>
        <w:rFonts w:cs="Verdana" w:ascii="Verdana" w:hAnsi="Verdana"/>
        <w:b/>
        <w:sz w:val="20"/>
      </w:rPr>
      <w:t>Praça Dr. Aldo Ivo Stumpf, 100 - Fone</w:t>
    </w:r>
    <w:r>
      <w:rPr>
        <w:rFonts w:cs="Verdana" w:ascii="Verdana" w:hAnsi="Verdana"/>
        <w:b/>
        <w:sz w:val="20"/>
        <w:lang w:eastAsia="pt-BR"/>
      </w:rPr>
      <w:t xml:space="preserve"> (</w:t>
    </w:r>
    <w:r>
      <w:rPr>
        <w:rFonts w:cs="Verdana" w:ascii="Verdana" w:hAnsi="Verdana"/>
        <w:b/>
        <w:sz w:val="20"/>
      </w:rPr>
      <w:t>49) 3458-9500.</w:t>
    </w:r>
  </w:p>
  <w:p>
    <w:pPr>
      <w:pStyle w:val="Cabealho"/>
      <w:spacing w:lineRule="auto" w:line="240"/>
      <w:rPr/>
    </w:pPr>
    <w:r>
      <w:rPr>
        <w:rFonts w:cs="Verdana" w:ascii="Verdana" w:hAnsi="Verdana"/>
        <w:b/>
        <w:sz w:val="20"/>
      </w:rPr>
      <w:t xml:space="preserve">     </w:t>
    </w:r>
    <w:r>
      <w:rPr>
        <w:rFonts w:cs="Verdana" w:ascii="Verdana" w:hAnsi="Verdana"/>
        <w:b/>
        <w:sz w:val="20"/>
      </w:rPr>
      <w:t>CEP: 89760-000 – ITÁ – Santa Catarina</w:t>
    </w:r>
  </w:p>
  <w:p>
    <w:pPr>
      <w:pStyle w:val="Cabealho"/>
      <w:spacing w:lineRule="auto" w:line="240"/>
      <w:rPr/>
    </w:pPr>
    <w:r>
      <w:rPr>
        <w:rFonts w:eastAsia="Verdana" w:cs="Verdana" w:ascii="Verdana" w:hAnsi="Verdana"/>
        <w:b/>
        <w:sz w:val="20"/>
      </w:rPr>
      <w:t xml:space="preserve">     </w:t>
    </w:r>
    <w:r>
      <w:rPr>
        <w:rFonts w:cs="Verdana" w:ascii="Verdana" w:hAnsi="Verdana"/>
        <w:b/>
        <w:sz w:val="20"/>
      </w:rPr>
      <w:t xml:space="preserve">E-mail: </w:t>
    </w:r>
    <w:r>
      <w:rPr>
        <w:rStyle w:val="LinkdaInternet"/>
        <w:rFonts w:eastAsia="Calibri" w:cs="Verdana" w:ascii="Verdana" w:hAnsi="Verdana"/>
        <w:b/>
        <w:color w:val="0000FF"/>
        <w:kern w:val="0"/>
        <w:sz w:val="20"/>
        <w:szCs w:val="22"/>
        <w:u w:val="single"/>
        <w:lang w:val="pt-BR" w:eastAsia="en-US" w:bidi="ar-SA"/>
      </w:rPr>
      <w:t>frotas</w:t>
    </w:r>
    <w:hyperlink r:id="rId2">
      <w:r>
        <w:rPr>
          <w:rStyle w:val="LinkdaInternet"/>
          <w:rFonts w:cs="Verdana" w:ascii="Verdana" w:hAnsi="Verdana"/>
          <w:b/>
          <w:sz w:val="20"/>
        </w:rPr>
        <w:t>@ita.sc.gov.br</w:t>
      </w:r>
    </w:hyperlink>
    <w:r>
      <w:rPr>
        <w:rFonts w:cs="Verdana" w:ascii="Verdana" w:hAnsi="Verdana"/>
        <w:b/>
        <w:sz w:val="20"/>
      </w:rPr>
      <w:t xml:space="preserve"> - site: </w:t>
    </w:r>
    <w:hyperlink r:id="rId3">
      <w:r>
        <w:rPr>
          <w:rStyle w:val="LinkdaInternet"/>
          <w:rFonts w:cs="Verdana" w:ascii="Verdana" w:hAnsi="Verdana"/>
          <w:b/>
          <w:sz w:val="20"/>
        </w:rPr>
        <w:t>ita.atende.net</w:t>
      </w:r>
    </w:hyperlink>
  </w:p>
  <w:p>
    <w:pPr>
      <w:pStyle w:val="Cabealho"/>
      <w:widowControl w:val="false"/>
      <w:jc w:val="both"/>
      <w:rPr>
        <w:rFonts w:ascii="Times New Roman" w:hAnsi="Times New Roman" w:eastAsia="Times New Roman"/>
        <w:sz w:val="20"/>
        <w:szCs w:val="20"/>
        <w:lang w:eastAsia="pt-BR"/>
      </w:rPr>
    </w:pPr>
    <w:r>
      <w:rPr>
        <w:rFonts w:eastAsia="Times New Roman" w:ascii="Times New Roman" w:hAnsi="Times New Roman"/>
        <w:sz w:val="20"/>
        <w:szCs w:val="20"/>
        <w:lang w:eastAsia="pt-BR"/>
      </w:rPr>
      <mc:AlternateContent>
        <mc:Choice Requires="wps">
          <w:drawing>
            <wp:anchor behindDoc="1" distT="28575" distB="28575" distL="28575" distR="28575" simplePos="0" locked="0" layoutInCell="0" allowOverlap="1" relativeHeight="2" wp14:anchorId="189676A5">
              <wp:simplePos x="0" y="0"/>
              <wp:positionH relativeFrom="column">
                <wp:posOffset>608965</wp:posOffset>
              </wp:positionH>
              <wp:positionV relativeFrom="paragraph">
                <wp:posOffset>172085</wp:posOffset>
              </wp:positionV>
              <wp:extent cx="4796155" cy="17780"/>
              <wp:effectExtent l="0" t="0" r="0" b="0"/>
              <wp:wrapNone/>
              <wp:docPr id="2" name="Figura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795560" cy="3960"/>
                      </a:xfrm>
                      <a:prstGeom prst="line">
                        <a:avLst/>
                      </a:prstGeom>
                      <a:ln w="5724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47.95pt,13.55pt" to="425.5pt,13.8pt" ID="Figura1" stroked="t" style="position:absolute" wp14:anchorId="189676A5">
              <v:stroke color="black" weight="57240" joinstyle="miter" endcap="flat"/>
              <v:fill o:detectmouseclick="t" on="false"/>
              <w10:wrap type="none"/>
            </v:line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kern w:val="2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false"/>
      <w:bidi w:val="0"/>
      <w:spacing w:lineRule="auto" w:line="360"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 w:customStyle="1">
    <w:name w:val="Link da Internet"/>
    <w:rPr>
      <w:color w:val="0000FF"/>
      <w:u w:val="single"/>
    </w:rPr>
  </w:style>
  <w:style w:type="character" w:styleId="Smbolosdenumerao" w:customStyle="1">
    <w:name w:val="Símbolos de numeração"/>
    <w:qFormat/>
    <w:rPr/>
  </w:style>
  <w:style w:type="character" w:styleId="Marcadores" w:customStyle="1">
    <w:name w:val="Marcadores"/>
    <w:qFormat/>
    <w:rPr>
      <w:rFonts w:ascii="OpenSymbol" w:hAnsi="OpenSymbol" w:eastAsia="OpenSymbol" w:cs="OpenSymbol"/>
    </w:rPr>
  </w:style>
  <w:style w:type="character" w:styleId="RodapChar" w:customStyle="1">
    <w:name w:val="Rodapé Char"/>
    <w:basedOn w:val="DefaultParagraphFont"/>
    <w:link w:val="Rodap"/>
    <w:uiPriority w:val="99"/>
    <w:qFormat/>
    <w:rsid w:val="00600f7c"/>
    <w:rPr>
      <w:rFonts w:cs="Times New Roman"/>
      <w:kern w:val="0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tulododocumento">
    <w:name w:val="Title"/>
    <w:basedOn w:val="Normal"/>
    <w:next w:val="Corpodotexto"/>
    <w:uiPriority w:val="10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ListParagraph">
    <w:name w:val="List Paragraph"/>
    <w:basedOn w:val="Normal"/>
    <w:qFormat/>
    <w:pPr>
      <w:spacing w:lineRule="auto" w:line="240"/>
      <w:ind w:left="708" w:hanging="0"/>
    </w:pPr>
    <w:rPr>
      <w:rFonts w:ascii="Times New Roman" w:hAnsi="Times New Roman" w:eastAsia="Times New Roman"/>
      <w:sz w:val="20"/>
      <w:szCs w:val="20"/>
      <w:lang w:eastAsia="pt-BR"/>
    </w:rPr>
  </w:style>
  <w:style w:type="paragraph" w:styleId="Contedodatabela" w:customStyle="1">
    <w:name w:val="Conteúdo da tabela"/>
    <w:basedOn w:val="Normal"/>
    <w:qFormat/>
    <w:pPr>
      <w:widowControl w:val="false"/>
      <w:suppressLineNumbers/>
      <w:spacing w:lineRule="auto" w:line="259" w:before="0" w:after="160"/>
    </w:pPr>
    <w:rPr>
      <w:rFonts w:cs="Calibri"/>
    </w:rPr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TableParagraph" w:customStyle="1">
    <w:name w:val="Table Paragraph"/>
    <w:basedOn w:val="Normal"/>
    <w:qFormat/>
    <w:pPr/>
    <w:rPr/>
  </w:style>
  <w:style w:type="paragraph" w:styleId="Recuodecorpodetexto32" w:customStyle="1">
    <w:name w:val="Recuo de corpo de texto 32"/>
    <w:basedOn w:val="Normal"/>
    <w:qFormat/>
    <w:pPr>
      <w:suppressAutoHyphens w:val="false"/>
      <w:spacing w:before="0" w:after="120"/>
      <w:ind w:left="283" w:hanging="0"/>
    </w:pPr>
    <w:rPr>
      <w:sz w:val="16"/>
      <w:szCs w:val="16"/>
    </w:rPr>
  </w:style>
  <w:style w:type="paragraph" w:styleId="CabealhoeRodap" w:customStyle="1">
    <w:name w:val="Cabeçalho e Rodapé"/>
    <w:basedOn w:val="Normal"/>
    <w:qFormat/>
    <w:pPr>
      <w:suppressLineNumbers/>
      <w:tabs>
        <w:tab w:val="clear" w:pos="708"/>
        <w:tab w:val="center" w:pos="4252" w:leader="none"/>
        <w:tab w:val="right" w:pos="8504" w:leader="none"/>
      </w:tabs>
    </w:pPr>
    <w:rPr/>
  </w:style>
  <w:style w:type="paragraph" w:styleId="Cabealho">
    <w:name w:val="Header"/>
    <w:basedOn w:val="CabealhoeRodap"/>
    <w:pPr/>
    <w:rPr/>
  </w:style>
  <w:style w:type="paragraph" w:styleId="NormalWeb">
    <w:name w:val="Normal (Web)"/>
    <w:basedOn w:val="Normal"/>
    <w:qFormat/>
    <w:pPr>
      <w:suppressAutoHyphens w:val="false"/>
      <w:spacing w:before="280" w:after="280"/>
    </w:pPr>
    <w:rPr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600f7c"/>
    <w:pPr>
      <w:tabs>
        <w:tab w:val="clear" w:pos="708"/>
        <w:tab w:val="center" w:pos="4252" w:leader="none"/>
        <w:tab w:val="right" w:pos="8504" w:leader="none"/>
      </w:tabs>
      <w:spacing w:lineRule="auto" w:line="24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hyperlink" Target="mailto:licitacao@ita.sc.gov.br" TargetMode="External"/><Relationship Id="rId3" Type="http://schemas.openxmlformats.org/officeDocument/2006/relationships/hyperlink" Target="http://www.ita.sc.gov.br/" TargetMode="External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6093</TotalTime>
  <Application>LibreOffice/7.1.4.2$Windows_X86_64 LibreOffice_project/a529a4fab45b75fefc5b6226684193eb000654f6</Application>
  <AppVersion>15.0000</AppVersion>
  <Pages>1</Pages>
  <Words>92</Words>
  <Characters>530</Characters>
  <CharactersWithSpaces>639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2023-04-04T16:33:00Z</dcterms:created>
  <dc:creator>User</dc:creator>
  <dc:description/>
  <dc:language>pt-BR</dc:language>
  <cp:lastModifiedBy/>
  <cp:lastPrinted>2024-06-17T10:28:00Z</cp:lastPrinted>
  <dcterms:modified xsi:type="dcterms:W3CDTF">2024-08-15T13:36:26Z</dcterms:modified>
  <cp:revision>118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