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2.9.0 -->
  <w:body>
    <w:bookmarkStart w:id="0" w:name="__bookmark_1"/>
    <w:bookmarkEnd w:id="0"/>
    <w:tbl>
      <w:tblPr>
        <w:tblStyle w:val="TableNormal"/>
        <w:tblOverlap w:val="never"/>
        <w:tblW w:w="10733" w:type="dxa"/>
        <w:tblInd w:w="20" w:type="dxa"/>
        <w:tblLayout w:type="fixed"/>
        <w:tblLook w:val="01E0"/>
      </w:tblPr>
      <w:tblGrid>
        <w:gridCol w:w="10733"/>
      </w:tblGrid>
      <w:tr>
        <w:tblPrEx>
          <w:tblW w:w="10733" w:type="dxa"/>
          <w:tblInd w:w="20" w:type="dxa"/>
          <w:tblLayout w:type="fixed"/>
          <w:tblLook w:val="01E0"/>
        </w:tblPrEx>
        <w:tc>
          <w:tcPr>
            <w:tcW w:w="10773" w:type="dxa"/>
            <w:noWrap w:val="0"/>
            <w:tcMar>
              <w:top w:w="0" w:type="dxa"/>
              <w:left w:w="0" w:type="dxa"/>
              <w:bottom w:w="0" w:type="dxa"/>
              <w:right w:w="0" w:type="dxa"/>
            </w:tcMar>
            <w:vAlign w:val="top"/>
          </w:tcPr>
          <w:tbl>
            <w:tblPr>
              <w:tblStyle w:val="TableNormal"/>
              <w:tblOverlap w:val="never"/>
              <w:tblW w:w="10773" w:type="dxa"/>
              <w:jc w:val="left"/>
              <w:tblInd w:w="0" w:type="dxa"/>
              <w:tblLayout w:type="fixed"/>
              <w:tblCellMar>
                <w:top w:w="0" w:type="dxa"/>
                <w:left w:w="0" w:type="dxa"/>
                <w:bottom w:w="0" w:type="dxa"/>
                <w:right w:w="0" w:type="dxa"/>
              </w:tblCellMar>
              <w:tblLook w:val="01E0"/>
            </w:tblPr>
            <w:tblGrid>
              <w:gridCol w:w="10773"/>
            </w:tblGrid>
            <w:tr>
              <w:tblPrEx>
                <w:tblW w:w="10773" w:type="dxa"/>
                <w:jc w:val="left"/>
                <w:tblInd w:w="0" w:type="dxa"/>
                <w:tblLayout w:type="fixed"/>
                <w:tblCellMar>
                  <w:top w:w="0" w:type="dxa"/>
                  <w:left w:w="0" w:type="dxa"/>
                  <w:bottom w:w="0" w:type="dxa"/>
                  <w:right w:w="0" w:type="dxa"/>
                </w:tblCellMar>
                <w:tblLook w:val="01E0"/>
              </w:tblPrEx>
              <w:trPr>
                <w:jc w:val="left"/>
              </w:trPr>
              <w:tc>
                <w:tcPr>
                  <w:tcW w:w="10773" w:type="dxa"/>
                  <w:noWrap w:val="0"/>
                  <w:tcMar>
                    <w:top w:w="0" w:type="dxa"/>
                    <w:left w:w="0" w:type="dxa"/>
                    <w:bottom w:w="0" w:type="dxa"/>
                    <w:right w:w="0" w:type="dxa"/>
                  </w:tcMar>
                  <w:vAlign w:val="top"/>
                </w:tcPr>
                <w:p>
                  <w:pPr>
                    <w:bidi w:val="0"/>
                    <w:spacing w:before="0" w:after="0"/>
                    <w:jc w:val="center"/>
                  </w:pPr>
                  <w:r>
                    <w:rPr>
                      <w:rFonts w:ascii="Arial" w:eastAsia="Arial" w:hAnsi="Arial" w:cs="Arial"/>
                      <w:b/>
                      <w:bCs/>
                      <w:color w:val="000000"/>
                      <w:spacing w:val="0"/>
                      <w:sz w:val="16"/>
                      <w:szCs w:val="16"/>
                    </w:rPr>
                    <w:t>ATA DE REGISTRO DE PREÇOS Nº 199 / 2024</w:t>
                  </w:r>
                </w:p>
                <w:p>
                  <w:pPr>
                    <w:bidi w:val="0"/>
                    <w:spacing w:before="0" w:after="0"/>
                    <w:jc w:val="center"/>
                  </w:pPr>
                </w:p>
                <w:p>
                  <w:pPr>
                    <w:bidi w:val="0"/>
                    <w:spacing w:before="0" w:after="0"/>
                    <w:jc w:val="center"/>
                  </w:pPr>
                  <w:r>
                    <w:rPr>
                      <w:rFonts w:ascii="Arial" w:eastAsia="Arial" w:hAnsi="Arial" w:cs="Arial"/>
                      <w:b/>
                      <w:bCs/>
                      <w:color w:val="000000"/>
                      <w:spacing w:val="0"/>
                      <w:sz w:val="16"/>
                      <w:szCs w:val="16"/>
                    </w:rPr>
                    <w:t>Pregão Eletrônico Nº 145 / 2024</w:t>
                  </w:r>
                </w:p>
                <w:p>
                  <w:pPr>
                    <w:bidi w:val="0"/>
                    <w:spacing w:before="0" w:after="0"/>
                    <w:jc w:val="both"/>
                  </w:pPr>
                </w:p>
                <w:p>
                  <w:pPr>
                    <w:bidi w:val="0"/>
                    <w:spacing w:before="0" w:after="0"/>
                    <w:jc w:val="both"/>
                  </w:pPr>
                </w:p>
                <w:p>
                  <w:pPr>
                    <w:bidi w:val="0"/>
                    <w:spacing w:before="0" w:after="0"/>
                    <w:jc w:val="both"/>
                  </w:pPr>
                  <w:r>
                    <w:rPr>
                      <w:rFonts w:ascii="Arial" w:eastAsia="Arial" w:hAnsi="Arial" w:cs="Arial"/>
                      <w:color w:val="000000"/>
                      <w:spacing w:val="0"/>
                      <w:sz w:val="16"/>
                      <w:szCs w:val="16"/>
                    </w:rPr>
                    <w:t xml:space="preserve">Aos doze dias do mês de novembro do ano de 2024 o </w:t>
                  </w:r>
                  <w:r>
                    <w:rPr>
                      <w:rFonts w:ascii="Arial" w:eastAsia="Arial" w:hAnsi="Arial" w:cs="Arial"/>
                      <w:b/>
                      <w:bCs/>
                      <w:color w:val="000000"/>
                      <w:spacing w:val="0"/>
                      <w:sz w:val="16"/>
                      <w:szCs w:val="16"/>
                    </w:rPr>
                    <w:t>MUNICÍPIO DE PALHOÇA</w:t>
                  </w:r>
                  <w:r>
                    <w:rPr>
                      <w:rFonts w:ascii="Arial" w:eastAsia="Arial" w:hAnsi="Arial" w:cs="Arial"/>
                      <w:color w:val="000000"/>
                      <w:spacing w:val="0"/>
                      <w:sz w:val="16"/>
                      <w:szCs w:val="16"/>
                    </w:rPr>
                    <w:t xml:space="preserve">, através do </w:t>
                  </w:r>
                  <w:r>
                    <w:rPr>
                      <w:rFonts w:ascii="Arial" w:eastAsia="Arial" w:hAnsi="Arial" w:cs="Arial"/>
                      <w:b/>
                      <w:bCs/>
                      <w:color w:val="000000"/>
                      <w:spacing w:val="0"/>
                      <w:sz w:val="16"/>
                      <w:szCs w:val="16"/>
                    </w:rPr>
                    <w:t>FUNDO MUNICIPAL DE SAUDE</w:t>
                  </w:r>
                  <w:r>
                    <w:rPr>
                      <w:rFonts w:ascii="Arial" w:eastAsia="Arial" w:hAnsi="Arial" w:cs="Arial"/>
                      <w:color w:val="000000"/>
                      <w:spacing w:val="0"/>
                      <w:sz w:val="16"/>
                      <w:szCs w:val="16"/>
                    </w:rPr>
                    <w:t>, pessoa jurídica de direito público, situado na HILZA TEREZINHA PAGANI, Nº 280, PASSA VINTE - Palhoça CEP: 88.130-101, inscrito no CNPJ Nº. 12.092.636/0001-90, abaixo assinado, nos termos da Lei Federal nº. 14.133/2021 e alterações e das demais normas legais aplicáveis, em face da classificação das propostas apresentadas no Pregão do SISTEMA DE REGISTRO DE PREÇOS Nº. 145 / 2024, RESOLVE registrar os valores oferecidos, conforme consta no Edital do(a) Pregão e seus anexos, que passa a fazer parte desta Ata, tendo sido, os referidos valores, oferecidos pelas empresas cujas propostas foram classificadas no certame. Presentes às empresas e seus representantes:</w:t>
                  </w:r>
                </w:p>
                <w:p>
                  <w:pPr>
                    <w:bidi w:val="0"/>
                    <w:spacing w:before="0" w:after="0"/>
                    <w:jc w:val="both"/>
                  </w:pPr>
                </w:p>
                <w:p>
                  <w:pPr>
                    <w:bidi w:val="0"/>
                    <w:spacing w:before="0" w:after="0"/>
                    <w:jc w:val="both"/>
                  </w:pPr>
                </w:p>
                <w:p>
                  <w:pPr>
                    <w:bidi w:val="0"/>
                    <w:spacing w:before="0" w:after="0"/>
                    <w:jc w:val="both"/>
                  </w:pPr>
                  <w:r>
                    <w:rPr>
                      <w:rFonts w:ascii="Arial" w:eastAsia="Arial" w:hAnsi="Arial" w:cs="Arial"/>
                      <w:b/>
                      <w:bCs/>
                      <w:color w:val="000000"/>
                      <w:spacing w:val="0"/>
                      <w:sz w:val="16"/>
                      <w:szCs w:val="16"/>
                    </w:rPr>
                    <w:t>CLÁUSULA I – DO OBJETO</w:t>
                  </w:r>
                </w:p>
                <w:p>
                  <w:pPr>
                    <w:bidi w:val="0"/>
                    <w:spacing w:before="0" w:after="0"/>
                    <w:jc w:val="both"/>
                  </w:pPr>
                </w:p>
                <w:p>
                  <w:pPr>
                    <w:bidi w:val="0"/>
                    <w:spacing w:before="0" w:after="0"/>
                    <w:jc w:val="both"/>
                  </w:pPr>
                  <w:r>
                    <w:rPr>
                      <w:rFonts w:ascii="Arial" w:eastAsia="Arial" w:hAnsi="Arial" w:cs="Arial"/>
                      <w:color w:val="000000"/>
                      <w:spacing w:val="0"/>
                      <w:sz w:val="16"/>
                      <w:szCs w:val="16"/>
                    </w:rPr>
                    <w:t>1. Aquisição de fórmulas especiais que apresentam substâncias peculiares e que não estão padronizadas no Programa de Fórmulas Lácteas e Especiais, para atender os pacientes deste Município que possuem ações judicializadas, pelo Sistema de Registro de Preços, com entrega de forma parcelada., através do Sistema de Registro de Preços, para uso do FUNDO MUNICIPAL DE SAUDE, de acordo com as especificações e quantitativos abaixo estimados:</w:t>
                  </w:r>
                </w:p>
              </w:tc>
            </w:tr>
          </w:tbl>
          <w:p>
            <w:pPr>
              <w:spacing w:line="1" w:lineRule="auto"/>
            </w:pPr>
          </w:p>
        </w:tc>
      </w:tr>
      <w:tr>
        <w:tblPrEx>
          <w:tblW w:w="10733" w:type="dxa"/>
          <w:tblInd w:w="20" w:type="dxa"/>
          <w:tblLayout w:type="fixed"/>
          <w:tblLook w:val="01E0"/>
        </w:tblPrEx>
        <w:tc>
          <w:tcPr>
            <w:tcW w:w="10773" w:type="dxa"/>
            <w:noWrap w:val="0"/>
            <w:tcMar>
              <w:top w:w="0" w:type="dxa"/>
              <w:left w:w="0" w:type="dxa"/>
              <w:bottom w:w="0" w:type="dxa"/>
              <w:right w:w="0" w:type="dxa"/>
            </w:tcMar>
            <w:vAlign w:val="top"/>
          </w:tcPr>
          <w:bookmarkStart w:id="1" w:name="__bookmark_3"/>
          <w:bookmarkEnd w:id="1"/>
          <w:p/>
          <w:tbl>
            <w:tblPr>
              <w:tblStyle w:val="TableNormal"/>
              <w:tblOverlap w:val="never"/>
              <w:tblW w:w="10673" w:type="dxa"/>
              <w:tblInd w:w="20" w:type="dxa"/>
              <w:tblLayout w:type="fixed"/>
              <w:tblLook w:val="01E0"/>
            </w:tblPr>
            <w:tblGrid>
              <w:gridCol w:w="793"/>
              <w:gridCol w:w="3431"/>
              <w:gridCol w:w="1006"/>
              <w:gridCol w:w="900"/>
              <w:gridCol w:w="1371"/>
              <w:gridCol w:w="1586"/>
              <w:gridCol w:w="1586"/>
            </w:tblGrid>
            <w:tr>
              <w:tblPrEx>
                <w:tblW w:w="10673" w:type="dxa"/>
                <w:tblInd w:w="20" w:type="dxa"/>
                <w:tblLayout w:type="fixed"/>
                <w:tblLook w:val="01E0"/>
              </w:tblPrEx>
              <w:trPr>
                <w:trHeight w:val="230"/>
              </w:trPr>
              <w:tc>
                <w:tcPr>
                  <w:tcW w:w="10713" w:type="dxa"/>
                  <w:gridSpan w:val="7"/>
                  <w:vMerge w:val="restart"/>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rPr>
                      <w:vanish/>
                    </w:rPr>
                  </w:pPr>
                  <w:bookmarkStart w:id="2" w:name="_TocCARLA MACHADO DE SOUZA ME"/>
                  <w:bookmarkEnd w:id="2"/>
                  <w:r>
                    <w:fldChar w:fldCharType="begin"/>
                  </w:r>
                  <w:r>
                    <w:instrText xml:space="preserve"> TC "CARLA MACHADO DE SOUZA ME" \f C \l "1"</w:instrText>
                  </w:r>
                  <w:r>
                    <w:fldChar w:fldCharType="end"/>
                  </w:r>
                </w:p>
                <w:tbl>
                  <w:tblPr>
                    <w:tblStyle w:val="TableNormal"/>
                    <w:tblOverlap w:val="never"/>
                    <w:tblW w:w="10713" w:type="dxa"/>
                    <w:jc w:val="left"/>
                    <w:tblInd w:w="0" w:type="dxa"/>
                    <w:shd w:val="clear" w:color="auto" w:fill="E0E0E0"/>
                    <w:tblLayout w:type="fixed"/>
                    <w:tblCellMar>
                      <w:top w:w="0" w:type="dxa"/>
                      <w:left w:w="0" w:type="dxa"/>
                      <w:bottom w:w="0" w:type="dxa"/>
                      <w:right w:w="0" w:type="dxa"/>
                    </w:tblCellMar>
                    <w:tblLook w:val="01E0"/>
                  </w:tblPr>
                  <w:tblGrid>
                    <w:gridCol w:w="10713"/>
                  </w:tblGrid>
                  <w:tr>
                    <w:tblPrEx>
                      <w:tblW w:w="10713" w:type="dxa"/>
                      <w:jc w:val="left"/>
                      <w:tblInd w:w="0" w:type="dxa"/>
                      <w:shd w:val="clear" w:color="auto" w:fill="E0E0E0"/>
                      <w:tblLayout w:type="fixed"/>
                      <w:tblCellMar>
                        <w:top w:w="0" w:type="dxa"/>
                        <w:left w:w="0" w:type="dxa"/>
                        <w:bottom w:w="0" w:type="dxa"/>
                        <w:right w:w="0" w:type="dxa"/>
                      </w:tblCellMar>
                      <w:tblLook w:val="01E0"/>
                    </w:tblPrEx>
                    <w:trPr>
                      <w:jc w:val="left"/>
                    </w:trPr>
                    <w:tc>
                      <w:tcPr>
                        <w:tcW w:w="10713" w:type="dxa"/>
                        <w:shd w:val="clear" w:color="auto" w:fill="E0E0E0"/>
                        <w:noWrap w:val="0"/>
                        <w:tcMar>
                          <w:top w:w="0" w:type="dxa"/>
                          <w:left w:w="0" w:type="dxa"/>
                          <w:bottom w:w="0" w:type="dxa"/>
                          <w:right w:w="0" w:type="dxa"/>
                        </w:tcMar>
                        <w:vAlign w:val="top"/>
                      </w:tcPr>
                      <w:p>
                        <w:pPr>
                          <w:bidi w:val="0"/>
                          <w:spacing w:before="0" w:after="0"/>
                          <w:jc w:val="both"/>
                        </w:pPr>
                        <w:r>
                          <w:rPr>
                            <w:rFonts w:ascii="Arial" w:eastAsia="Arial" w:hAnsi="Arial" w:cs="Arial"/>
                            <w:b/>
                            <w:bCs/>
                            <w:color w:val="000000"/>
                            <w:spacing w:val="0"/>
                            <w:sz w:val="16"/>
                            <w:szCs w:val="16"/>
                          </w:rPr>
                          <w:t>Fornecedor: CARLA MACHADO DE SOUZA ME(09.525.628/0001-85)</w:t>
                        </w:r>
                      </w:p>
                    </w:tc>
                  </w:tr>
                </w:tbl>
                <w:p>
                  <w:pPr>
                    <w:spacing w:line="1" w:lineRule="auto"/>
                  </w:pPr>
                </w:p>
              </w:tc>
            </w:tr>
            <w:tr>
              <w:tblPrEx>
                <w:tblW w:w="10673" w:type="dxa"/>
                <w:tblInd w:w="20" w:type="dxa"/>
                <w:tblLayout w:type="fixed"/>
                <w:tblLook w:val="01E0"/>
              </w:tblPrEx>
              <w:trPr>
                <w:trHeight w:val="230"/>
              </w:trPr>
              <w:tc>
                <w:tcPr>
                  <w:tcW w:w="10713" w:type="dxa"/>
                  <w:gridSpan w:val="7"/>
                  <w:vMerge w:val="restart"/>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tbl>
                  <w:tblPr>
                    <w:tblStyle w:val="TableNormal"/>
                    <w:tblOverlap w:val="never"/>
                    <w:tblW w:w="10713" w:type="dxa"/>
                    <w:jc w:val="left"/>
                    <w:tblInd w:w="0" w:type="dxa"/>
                    <w:tblLayout w:type="fixed"/>
                    <w:tblCellMar>
                      <w:top w:w="0" w:type="dxa"/>
                      <w:left w:w="0" w:type="dxa"/>
                      <w:bottom w:w="0" w:type="dxa"/>
                      <w:right w:w="0" w:type="dxa"/>
                    </w:tblCellMar>
                    <w:tblLook w:val="01E0"/>
                  </w:tblPr>
                  <w:tblGrid>
                    <w:gridCol w:w="10713"/>
                  </w:tblGrid>
                  <w:tr>
                    <w:tblPrEx>
                      <w:tblW w:w="10713" w:type="dxa"/>
                      <w:jc w:val="left"/>
                      <w:tblInd w:w="0" w:type="dxa"/>
                      <w:tblLayout w:type="fixed"/>
                      <w:tblCellMar>
                        <w:top w:w="0" w:type="dxa"/>
                        <w:left w:w="0" w:type="dxa"/>
                        <w:bottom w:w="0" w:type="dxa"/>
                        <w:right w:w="0" w:type="dxa"/>
                      </w:tblCellMar>
                      <w:tblLook w:val="01E0"/>
                    </w:tblPrEx>
                    <w:trPr>
                      <w:jc w:val="left"/>
                    </w:trPr>
                    <w:tc>
                      <w:tcPr>
                        <w:tcW w:w="10713" w:type="dxa"/>
                        <w:noWrap w:val="0"/>
                        <w:tcMar>
                          <w:top w:w="0" w:type="dxa"/>
                          <w:left w:w="0" w:type="dxa"/>
                          <w:bottom w:w="0" w:type="dxa"/>
                          <w:right w:w="0" w:type="dxa"/>
                        </w:tcMar>
                        <w:vAlign w:val="top"/>
                      </w:tcPr>
                      <w:p>
                        <w:pPr>
                          <w:bidi w:val="0"/>
                          <w:spacing w:before="0" w:after="0"/>
                          <w:jc w:val="both"/>
                        </w:pPr>
                        <w:r>
                          <w:rPr>
                            <w:rFonts w:ascii="Arial" w:eastAsia="Arial" w:hAnsi="Arial" w:cs="Arial"/>
                            <w:b/>
                            <w:bCs/>
                            <w:color w:val="000000"/>
                            <w:spacing w:val="0"/>
                            <w:sz w:val="16"/>
                            <w:szCs w:val="16"/>
                          </w:rPr>
                          <w:t>Sem lote</w:t>
                        </w:r>
                      </w:p>
                    </w:tc>
                  </w:tr>
                </w:tbl>
                <w:p>
                  <w:pPr>
                    <w:spacing w:line="1" w:lineRule="auto"/>
                  </w:pPr>
                </w:p>
              </w:tc>
            </w:tr>
            <w:tr>
              <w:tblPrEx>
                <w:tblW w:w="10673" w:type="dxa"/>
                <w:tblInd w:w="20" w:type="dxa"/>
                <w:tblLayout w:type="fixed"/>
                <w:tblLook w:val="01E0"/>
              </w:tblPrEx>
              <w:tc>
                <w:tcPr>
                  <w:tcW w:w="796" w:type="dxa"/>
                  <w:vMerge w:val="restart"/>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center"/>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Item</w:t>
                  </w:r>
                </w:p>
              </w:tc>
              <w:tc>
                <w:tcPr>
                  <w:tcW w:w="3444" w:type="dxa"/>
                  <w:vMerge w:val="restart"/>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center"/>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Descrição</w:t>
                  </w:r>
                </w:p>
              </w:tc>
              <w:tc>
                <w:tcPr>
                  <w:tcW w:w="1010" w:type="dxa"/>
                  <w:vMerge w:val="restart"/>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center"/>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Marca</w:t>
                  </w:r>
                </w:p>
              </w:tc>
              <w:tc>
                <w:tcPr>
                  <w:tcW w:w="903" w:type="dxa"/>
                  <w:vMerge w:val="restart"/>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center"/>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Unidade</w:t>
                  </w:r>
                </w:p>
              </w:tc>
              <w:tc>
                <w:tcPr>
                  <w:tcW w:w="1376" w:type="dxa"/>
                  <w:vMerge w:val="restart"/>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center"/>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Quantidade</w:t>
                  </w:r>
                </w:p>
              </w:tc>
              <w:tc>
                <w:tcPr>
                  <w:tcW w:w="3184" w:type="dxa"/>
                  <w:gridSpan w:val="2"/>
                  <w:vMerge w:val="restart"/>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Valor</w:t>
                  </w:r>
                </w:p>
              </w:tc>
            </w:tr>
            <w:tr>
              <w:tblPrEx>
                <w:tblW w:w="10673" w:type="dxa"/>
                <w:tblInd w:w="20" w:type="dxa"/>
                <w:tblLayout w:type="fixed"/>
                <w:tblLook w:val="01E0"/>
              </w:tblPrEx>
              <w:tc>
                <w:tcPr>
                  <w:tcW w:w="796" w:type="dxa"/>
                  <w:vMerge/>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center"/>
                </w:tcPr>
                <w:p>
                  <w:pPr>
                    <w:spacing w:line="1" w:lineRule="auto"/>
                  </w:pPr>
                </w:p>
              </w:tc>
              <w:tc>
                <w:tcPr>
                  <w:tcW w:w="3444" w:type="dxa"/>
                  <w:vMerge/>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center"/>
                </w:tcPr>
                <w:p>
                  <w:pPr>
                    <w:spacing w:line="1" w:lineRule="auto"/>
                  </w:pPr>
                </w:p>
              </w:tc>
              <w:tc>
                <w:tcPr>
                  <w:tcW w:w="1010" w:type="dxa"/>
                  <w:vMerge/>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center"/>
                </w:tcPr>
                <w:p>
                  <w:pPr>
                    <w:spacing w:line="1" w:lineRule="auto"/>
                  </w:pPr>
                </w:p>
              </w:tc>
              <w:tc>
                <w:tcPr>
                  <w:tcW w:w="903" w:type="dxa"/>
                  <w:vMerge/>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center"/>
                </w:tcPr>
                <w:p>
                  <w:pPr>
                    <w:spacing w:line="1" w:lineRule="auto"/>
                  </w:pPr>
                </w:p>
              </w:tc>
              <w:tc>
                <w:tcPr>
                  <w:tcW w:w="1376" w:type="dxa"/>
                  <w:vMerge/>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center"/>
                </w:tcPr>
                <w:p>
                  <w:pPr>
                    <w:spacing w:line="1" w:lineRule="auto"/>
                  </w:pPr>
                </w:p>
              </w:tc>
              <w:tc>
                <w:tcPr>
                  <w:tcW w:w="1592" w:type="dxa"/>
                  <w:vMerge w:val="restart"/>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Unitário</w:t>
                  </w:r>
                </w:p>
              </w:tc>
              <w:tc>
                <w:tcPr>
                  <w:tcW w:w="1592" w:type="dxa"/>
                  <w:vMerge w:val="restart"/>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Total</w:t>
                  </w:r>
                </w:p>
              </w:tc>
            </w:tr>
            <w:tr>
              <w:tblPrEx>
                <w:tblW w:w="10673" w:type="dxa"/>
                <w:tblInd w:w="20" w:type="dxa"/>
                <w:tblLayout w:type="fixed"/>
                <w:tblLook w:val="01E0"/>
              </w:tblPrEx>
              <w:tc>
                <w:tcPr>
                  <w:tcW w:w="796"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2</w:t>
                  </w:r>
                </w:p>
              </w:tc>
              <w:tc>
                <w:tcPr>
                  <w:tcW w:w="3444" w:type="dxa"/>
                  <w:vMerge w:val="restart"/>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both"/>
                    <w:rPr>
                      <w:rFonts w:ascii="Arial" w:eastAsia="Arial" w:hAnsi="Arial" w:cs="Arial"/>
                      <w:color w:val="000000"/>
                      <w:spacing w:val="0"/>
                      <w:sz w:val="16"/>
                      <w:szCs w:val="16"/>
                    </w:rPr>
                  </w:pPr>
                  <w:r>
                    <w:rPr>
                      <w:rFonts w:ascii="Arial" w:eastAsia="Arial" w:hAnsi="Arial" w:cs="Arial"/>
                      <w:color w:val="000000"/>
                      <w:spacing w:val="0"/>
                      <w:sz w:val="16"/>
                      <w:szCs w:val="16"/>
                    </w:rPr>
                    <w:t>Fórmula pediátrica para nutrição enteral e oral, em pó, sem sabor. Marca FORTINI PLUS. Fabricante: Danone.  Ingredientes: Maltodextrina, óleos vegetais (palma, girassol alto oleico, canola), caseinato, sacarose, citrato tripotássico, fosfato de potássio dibásico, fosfato de magnésio, cloreto de sódio, carbonato de cálcio, cloreto de colina, ácido L-ascórbico, L-ascorbato de sódio, taurina, sulfato ferroso, sulfato de zinco, L-carnitina, nicotinamida, sulfato de manganês, D-pantotenato de cálcio, mononitrato de tiamina, sulfato de cobre, riboflavina, cloridrato de piridoxina, fluoreto de sódio, palmitato de retinila, acetato de DL-alfa-tocoferila, DL-alfa-tocoferol, colecalciferol, ácido N- pteroil-L-glutâmico, iodeto de potássio, cloreto de cromo, molibdato de sódio, selenito de sódio, D-biotina, fitomenadiona, cianocobalamina e emulsificante lecitina de soja. Não deve conter glúten. Lata com 400 gramas.</w:t>
                  </w:r>
                </w:p>
              </w:tc>
              <w:tc>
                <w:tcPr>
                  <w:tcW w:w="1010"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DANONE</w:t>
                  </w:r>
                </w:p>
              </w:tc>
              <w:tc>
                <w:tcPr>
                  <w:tcW w:w="90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LATA</w:t>
                  </w:r>
                </w:p>
              </w:tc>
              <w:tc>
                <w:tcPr>
                  <w:tcW w:w="1376" w:type="dxa"/>
                  <w:vMerge w:val="restart"/>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500</w:t>
                  </w:r>
                </w:p>
              </w:tc>
              <w:tc>
                <w:tcPr>
                  <w:tcW w:w="1592" w:type="dxa"/>
                  <w:vMerge w:val="restart"/>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R$ 55,00</w:t>
                  </w:r>
                </w:p>
              </w:tc>
              <w:tc>
                <w:tcPr>
                  <w:tcW w:w="1592" w:type="dxa"/>
                  <w:vMerge w:val="restart"/>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R$ 27.500,00</w:t>
                  </w:r>
                </w:p>
              </w:tc>
            </w:tr>
            <w:tr>
              <w:tblPrEx>
                <w:tblW w:w="10673" w:type="dxa"/>
                <w:tblInd w:w="20" w:type="dxa"/>
                <w:tblLayout w:type="fixed"/>
                <w:tblLook w:val="01E0"/>
              </w:tblPrEx>
              <w:tc>
                <w:tcPr>
                  <w:tcW w:w="796"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1</w:t>
                  </w:r>
                </w:p>
              </w:tc>
              <w:tc>
                <w:tcPr>
                  <w:tcW w:w="3444"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both"/>
                    <w:rPr>
                      <w:rFonts w:ascii="Arial" w:eastAsia="Arial" w:hAnsi="Arial" w:cs="Arial"/>
                      <w:color w:val="000000"/>
                      <w:spacing w:val="0"/>
                      <w:sz w:val="16"/>
                      <w:szCs w:val="16"/>
                    </w:rPr>
                  </w:pPr>
                  <w:r>
                    <w:rPr>
                      <w:rFonts w:ascii="Arial" w:eastAsia="Arial" w:hAnsi="Arial" w:cs="Arial"/>
                      <w:color w:val="000000"/>
                      <w:spacing w:val="0"/>
                      <w:sz w:val="16"/>
                      <w:szCs w:val="16"/>
                    </w:rPr>
                    <w:t>Fórmula pediátrica para nutrição enteral e oral, em pó, para crianças &lt; 10 anos, nutricionalmente completa, com alto teor de vitaminas e minerais, normocalórica (1.0 à 1.5 cal/ml). Com ou sem sabor. Não conter glúten.  Lata com 400 gramas. Marcas aceitáveis: Trophic Infant, Nutren Jr, Pediasure ou Fortini complete ou plus.</w:t>
                  </w:r>
                </w:p>
              </w:tc>
              <w:tc>
                <w:tcPr>
                  <w:tcW w:w="1010"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DANONE</w:t>
                  </w:r>
                </w:p>
              </w:tc>
              <w:tc>
                <w:tcPr>
                  <w:tcW w:w="90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LATA</w:t>
                  </w:r>
                </w:p>
              </w:tc>
              <w:tc>
                <w:tcPr>
                  <w:tcW w:w="1376"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615</w:t>
                  </w:r>
                </w:p>
              </w:tc>
              <w:tc>
                <w:tcPr>
                  <w:tcW w:w="1592"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R$ 44,50</w:t>
                  </w:r>
                </w:p>
              </w:tc>
              <w:tc>
                <w:tcPr>
                  <w:tcW w:w="1592" w:type="dxa"/>
                  <w:vMerge w:val="restart"/>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R$ 27.367,50</w:t>
                  </w:r>
                </w:p>
              </w:tc>
            </w:tr>
            <w:tr>
              <w:tblPrEx>
                <w:tblW w:w="10673" w:type="dxa"/>
                <w:tblInd w:w="20" w:type="dxa"/>
                <w:tblLayout w:type="fixed"/>
                <w:tblLook w:val="01E0"/>
              </w:tblPrEx>
              <w:tc>
                <w:tcPr>
                  <w:tcW w:w="9121" w:type="dxa"/>
                  <w:gridSpan w:val="6"/>
                  <w:vMerge w:val="restart"/>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 xml:space="preserve">Total do Fornecedor: </w:t>
                  </w:r>
                </w:p>
              </w:tc>
              <w:tc>
                <w:tcPr>
                  <w:tcW w:w="1592" w:type="dxa"/>
                  <w:vMerge w:val="restart"/>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R$ 54.867,50</w:t>
                  </w:r>
                </w:p>
              </w:tc>
            </w:tr>
            <w:tr>
              <w:tblPrEx>
                <w:tblW w:w="10673" w:type="dxa"/>
                <w:tblInd w:w="20" w:type="dxa"/>
                <w:tblLayout w:type="fixed"/>
                <w:tblLook w:val="01E0"/>
              </w:tblPrEx>
              <w:tc>
                <w:tcPr>
                  <w:tcW w:w="9121" w:type="dxa"/>
                  <w:gridSpan w:val="6"/>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Total Geral dos Itens:</w:t>
                  </w:r>
                </w:p>
              </w:tc>
              <w:tc>
                <w:tcPr>
                  <w:tcW w:w="1592"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R$ 54.867,50</w:t>
                  </w:r>
                </w:p>
              </w:tc>
            </w:tr>
          </w:tbl>
          <w:p>
            <w:pPr>
              <w:spacing w:line="1" w:lineRule="auto"/>
            </w:pPr>
          </w:p>
        </w:tc>
      </w:tr>
      <w:tr>
        <w:tblPrEx>
          <w:tblW w:w="10733" w:type="dxa"/>
          <w:tblInd w:w="20" w:type="dxa"/>
          <w:tblLayout w:type="fixed"/>
          <w:tblLook w:val="01E0"/>
        </w:tblPrEx>
        <w:trPr>
          <w:trHeight w:hRule="exact" w:val="113"/>
        </w:trPr>
        <w:tc>
          <w:tcPr>
            <w:tcW w:w="10773" w:type="dxa"/>
            <w:noWrap w:val="0"/>
            <w:tcMar>
              <w:top w:w="0" w:type="dxa"/>
              <w:left w:w="0" w:type="dxa"/>
              <w:bottom w:w="0" w:type="dxa"/>
              <w:right w:w="0" w:type="dxa"/>
            </w:tcMar>
            <w:vAlign w:val="top"/>
          </w:tcPr>
          <w:p>
            <w:pPr>
              <w:spacing w:line="1" w:lineRule="auto"/>
            </w:pPr>
          </w:p>
        </w:tc>
      </w:tr>
      <w:tr>
        <w:tblPrEx>
          <w:tblW w:w="10733" w:type="dxa"/>
          <w:tblInd w:w="20" w:type="dxa"/>
          <w:tblLayout w:type="fixed"/>
          <w:tblLook w:val="01E0"/>
        </w:tblPrEx>
        <w:tc>
          <w:tcPr>
            <w:tcW w:w="10773" w:type="dxa"/>
            <w:noWrap w:val="0"/>
            <w:tcMar>
              <w:top w:w="0" w:type="dxa"/>
              <w:left w:w="0" w:type="dxa"/>
              <w:bottom w:w="0" w:type="dxa"/>
              <w:right w:w="0" w:type="dxa"/>
            </w:tcMar>
            <w:vAlign w:val="top"/>
          </w:tcPr>
          <w:p/>
          <w:tbl>
            <w:tblPr>
              <w:tblStyle w:val="TableNormal"/>
              <w:tblOverlap w:val="never"/>
              <w:tblW w:w="10773" w:type="dxa"/>
              <w:jc w:val="left"/>
              <w:tblInd w:w="0" w:type="dxa"/>
              <w:tblLayout w:type="fixed"/>
              <w:tblCellMar>
                <w:top w:w="0" w:type="dxa"/>
                <w:left w:w="0" w:type="dxa"/>
                <w:bottom w:w="0" w:type="dxa"/>
                <w:right w:w="0" w:type="dxa"/>
              </w:tblCellMar>
              <w:tblLook w:val="01E0"/>
            </w:tblPr>
            <w:tblGrid>
              <w:gridCol w:w="10773"/>
            </w:tblGrid>
            <w:tr>
              <w:tblPrEx>
                <w:tblW w:w="10773" w:type="dxa"/>
                <w:jc w:val="left"/>
                <w:tblInd w:w="0" w:type="dxa"/>
                <w:tblLayout w:type="fixed"/>
                <w:tblCellMar>
                  <w:top w:w="0" w:type="dxa"/>
                  <w:left w:w="0" w:type="dxa"/>
                  <w:bottom w:w="0" w:type="dxa"/>
                  <w:right w:w="0" w:type="dxa"/>
                </w:tblCellMar>
                <w:tblLook w:val="01E0"/>
              </w:tblPrEx>
              <w:trPr>
                <w:jc w:val="left"/>
              </w:trPr>
              <w:tc>
                <w:tcPr>
                  <w:tcW w:w="10773" w:type="dxa"/>
                  <w:noWrap w:val="0"/>
                  <w:tcMar>
                    <w:top w:w="0" w:type="dxa"/>
                    <w:left w:w="0" w:type="dxa"/>
                    <w:bottom w:w="0" w:type="dxa"/>
                    <w:right w:w="0" w:type="dxa"/>
                  </w:tcMar>
                  <w:vAlign w:val="top"/>
                </w:tcPr>
                <w:p>
                  <w:pPr>
                    <w:bidi w:val="0"/>
                    <w:spacing w:before="0" w:after="0"/>
                    <w:jc w:val="both"/>
                  </w:pPr>
                  <w:r>
                    <w:rPr>
                      <w:rFonts w:ascii="Arial" w:eastAsia="Arial" w:hAnsi="Arial" w:cs="Arial"/>
                      <w:color w:val="000000"/>
                      <w:spacing w:val="0"/>
                      <w:sz w:val="16"/>
                      <w:szCs w:val="16"/>
                    </w:rPr>
                    <w:t>1.1. CONSUMO MÉDIO: O valor estimado para a citada aquisição é de R$ 54.867,50 (cinquenta e quatro mil, oitocentos e sessenta e sete reais e cinquenta centavos).</w:t>
                  </w:r>
                </w:p>
                <w:p>
                  <w:pPr>
                    <w:bidi w:val="0"/>
                    <w:spacing w:before="0" w:after="0"/>
                    <w:jc w:val="both"/>
                  </w:pPr>
                </w:p>
                <w:p>
                  <w:pPr>
                    <w:bidi w:val="0"/>
                    <w:spacing w:before="0" w:after="0"/>
                    <w:jc w:val="both"/>
                  </w:pPr>
                  <w:r>
                    <w:rPr>
                      <w:rFonts w:ascii="Arial" w:eastAsia="Arial" w:hAnsi="Arial" w:cs="Arial"/>
                      <w:b/>
                      <w:bCs/>
                      <w:color w:val="000000"/>
                      <w:spacing w:val="0"/>
                      <w:sz w:val="16"/>
                      <w:szCs w:val="16"/>
                    </w:rPr>
                    <w:t>CLÁUSULA II – DA VALIDADE, FORMALIZAÇÃO DA ATA DE REGISTRO DE PREÇOS</w:t>
                  </w:r>
                </w:p>
                <w:p>
                  <w:pPr>
                    <w:bidi w:val="0"/>
                    <w:spacing w:before="0" w:after="0"/>
                    <w:jc w:val="both"/>
                  </w:pPr>
                </w:p>
                <w:p>
                  <w:pPr>
                    <w:bidi w:val="0"/>
                    <w:spacing w:before="0" w:after="0"/>
                    <w:jc w:val="both"/>
                  </w:pPr>
                  <w:r>
                    <w:rPr>
                      <w:rFonts w:ascii="Arial" w:eastAsia="Arial" w:hAnsi="Arial" w:cs="Arial"/>
                      <w:color w:val="000000"/>
                      <w:spacing w:val="0"/>
                      <w:sz w:val="16"/>
                      <w:szCs w:val="16"/>
                    </w:rPr>
                    <w:t>2. A validade da Ata de Registro de Preços será de 1 (um) ano, contado a partir do primeiro dia útil subsequente à data de divulgação no PNCP, podendo ser prorrogada por igual período, mediante a anuência do fornecedor, desde que comprovado o preço vantajoso.</w:t>
                  </w:r>
                </w:p>
                <w:p>
                  <w:pPr>
                    <w:bidi w:val="0"/>
                    <w:spacing w:before="0" w:after="0"/>
                    <w:jc w:val="both"/>
                  </w:pPr>
                  <w:r>
                    <w:rPr>
                      <w:rFonts w:ascii="Arial" w:eastAsia="Arial" w:hAnsi="Arial" w:cs="Arial"/>
                      <w:color w:val="000000"/>
                      <w:spacing w:val="0"/>
                      <w:sz w:val="16"/>
                      <w:szCs w:val="16"/>
                    </w:rPr>
                    <w:t>2.1.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pPr>
                    <w:bidi w:val="0"/>
                    <w:spacing w:before="0" w:after="0"/>
                    <w:jc w:val="both"/>
                  </w:pPr>
                  <w:r>
                    <w:rPr>
                      <w:rFonts w:ascii="Arial" w:eastAsia="Arial" w:hAnsi="Arial" w:cs="Arial"/>
                      <w:color w:val="000000"/>
                      <w:spacing w:val="0"/>
                      <w:sz w:val="16"/>
                      <w:szCs w:val="16"/>
                    </w:rPr>
                    <w:t>2.1.1. Na formalização do contrato ou do instrumento substituto deverá haver a indicação da disponibilidade dos créditos orçamentários respectivos.</w:t>
                  </w:r>
                </w:p>
                <w:p>
                  <w:pPr>
                    <w:bidi w:val="0"/>
                    <w:spacing w:before="0" w:after="0"/>
                    <w:jc w:val="both"/>
                  </w:pPr>
                  <w:r>
                    <w:rPr>
                      <w:rFonts w:ascii="Arial" w:eastAsia="Arial" w:hAnsi="Arial" w:cs="Arial"/>
                      <w:color w:val="000000"/>
                      <w:spacing w:val="0"/>
                      <w:sz w:val="16"/>
                      <w:szCs w:val="16"/>
                    </w:rPr>
                    <w:t>2.2. 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pPr>
                    <w:bidi w:val="0"/>
                    <w:spacing w:before="0" w:after="0"/>
                    <w:jc w:val="both"/>
                  </w:pPr>
                  <w:r>
                    <w:rPr>
                      <w:rFonts w:ascii="Arial" w:eastAsia="Arial" w:hAnsi="Arial" w:cs="Arial"/>
                      <w:color w:val="000000"/>
                      <w:spacing w:val="0"/>
                      <w:sz w:val="16"/>
                      <w:szCs w:val="16"/>
                    </w:rPr>
                    <w:t>2.2.1. O instrumento contratual de que trata o item 2 deverá ser assinado no prazo de validade da ata de registro de preços.</w:t>
                  </w:r>
                </w:p>
                <w:p>
                  <w:pPr>
                    <w:bidi w:val="0"/>
                    <w:spacing w:before="0" w:after="0"/>
                    <w:jc w:val="both"/>
                  </w:pPr>
                  <w:r>
                    <w:rPr>
                      <w:rFonts w:ascii="Arial" w:eastAsia="Arial" w:hAnsi="Arial" w:cs="Arial"/>
                      <w:color w:val="000000"/>
                      <w:spacing w:val="0"/>
                      <w:sz w:val="16"/>
                      <w:szCs w:val="16"/>
                    </w:rPr>
                    <w:t>2.3. Os contratos decorrentes do sistema de registro de preços poderão ser alterados, observado o art. 124 da Lei nº 14.133, de 2021.</w:t>
                  </w:r>
                </w:p>
                <w:p>
                  <w:pPr>
                    <w:bidi w:val="0"/>
                    <w:spacing w:before="0" w:after="0"/>
                    <w:jc w:val="both"/>
                  </w:pPr>
                  <w:r>
                    <w:rPr>
                      <w:rFonts w:ascii="Arial" w:eastAsia="Arial" w:hAnsi="Arial" w:cs="Arial"/>
                      <w:color w:val="000000"/>
                      <w:spacing w:val="0"/>
                      <w:sz w:val="16"/>
                      <w:szCs w:val="16"/>
                    </w:rPr>
                    <w:t>2.4. Após a homologação da licitação ou da contratação direta, deverão ser observadas as seguintes condições para formalização da ata de registro de preços:</w:t>
                  </w:r>
                </w:p>
                <w:p>
                  <w:pPr>
                    <w:bidi w:val="0"/>
                    <w:spacing w:before="0" w:after="0"/>
                    <w:jc w:val="both"/>
                  </w:pPr>
                  <w:r>
                    <w:rPr>
                      <w:rFonts w:ascii="Arial" w:eastAsia="Arial" w:hAnsi="Arial" w:cs="Arial"/>
                      <w:color w:val="000000"/>
                      <w:spacing w:val="0"/>
                      <w:sz w:val="16"/>
                      <w:szCs w:val="16"/>
                    </w:rPr>
                    <w:t>2.4.1. Serão registrados na ata os preços e os quantitativos do adjudicatário, devendo ser observada a possibilidade de o licitante oferecer ou não proposta em quantitativo inferior ao máximo previsto no edital ou no aviso de contratação direta e se obrigar nos limites dela;</w:t>
                  </w:r>
                </w:p>
                <w:p>
                  <w:pPr>
                    <w:bidi w:val="0"/>
                    <w:spacing w:before="0" w:after="0"/>
                    <w:jc w:val="both"/>
                  </w:pPr>
                  <w:r>
                    <w:rPr>
                      <w:rFonts w:ascii="Arial" w:eastAsia="Arial" w:hAnsi="Arial" w:cs="Arial"/>
                      <w:color w:val="000000"/>
                      <w:spacing w:val="0"/>
                      <w:sz w:val="16"/>
                      <w:szCs w:val="16"/>
                    </w:rPr>
                    <w:t>2.5. O preço registrado com indicação dos licitantes e fornecedores será divulgado no PNCP e ficará disponibilizado durante a vigência da ata de registro de preços.</w:t>
                  </w:r>
                </w:p>
                <w:p>
                  <w:pPr>
                    <w:bidi w:val="0"/>
                    <w:spacing w:before="0" w:after="0"/>
                    <w:jc w:val="both"/>
                  </w:pPr>
                  <w:r>
                    <w:rPr>
                      <w:rFonts w:ascii="Arial" w:eastAsia="Arial" w:hAnsi="Arial" w:cs="Arial"/>
                      <w:color w:val="000000"/>
                      <w:spacing w:val="0"/>
                      <w:sz w:val="16"/>
                      <w:szCs w:val="16"/>
                    </w:rPr>
                    <w:t>2.6. 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pPr>
                    <w:bidi w:val="0"/>
                    <w:spacing w:before="0" w:after="0"/>
                    <w:jc w:val="both"/>
                  </w:pPr>
                  <w:r>
                    <w:rPr>
                      <w:rFonts w:ascii="Arial" w:eastAsia="Arial" w:hAnsi="Arial" w:cs="Arial"/>
                      <w:color w:val="000000"/>
                      <w:spacing w:val="0"/>
                      <w:sz w:val="16"/>
                      <w:szCs w:val="16"/>
                    </w:rPr>
                    <w:t>2.6.1. O prazo de convocação poderá ser prorrogado 1 (uma) vez, por igual período, mediante solicitação do licitante ou fornecedor convocado, desde que apresentada dentro do prazo, devidamente justificada, e que a justificativa seja aceita pela Administração.</w:t>
                  </w:r>
                </w:p>
                <w:p>
                  <w:pPr>
                    <w:bidi w:val="0"/>
                    <w:spacing w:before="0" w:after="0"/>
                    <w:jc w:val="both"/>
                  </w:pPr>
                  <w:r>
                    <w:rPr>
                      <w:rFonts w:ascii="Arial" w:eastAsia="Arial" w:hAnsi="Arial" w:cs="Arial"/>
                      <w:color w:val="000000"/>
                      <w:spacing w:val="0"/>
                      <w:sz w:val="16"/>
                      <w:szCs w:val="16"/>
                    </w:rPr>
                    <w:t>2.7. A ata de registro de preços será assinada por meio de assinatura digital e disponibilizada no Portal do Município.</w:t>
                  </w:r>
                </w:p>
                <w:p>
                  <w:pPr>
                    <w:bidi w:val="0"/>
                    <w:spacing w:before="0" w:after="0"/>
                    <w:jc w:val="both"/>
                  </w:pPr>
                  <w:r>
                    <w:rPr>
                      <w:rFonts w:ascii="Arial" w:eastAsia="Arial" w:hAnsi="Arial" w:cs="Arial"/>
                      <w:color w:val="000000"/>
                      <w:spacing w:val="0"/>
                      <w:sz w:val="16"/>
                      <w:szCs w:val="16"/>
                    </w:rPr>
                    <w:t>2.8. Quando o convocado não assinar a ata de registro de preços no prazo e nas condições estabelecidos no edital ou no aviso de contratação, fica facultado à Administração convocar os licitantes remanescentes, na ordem de classificação, para fazê-lo, observados o valor estimado e sua eventual atualização nos termos do edital ou do aviso de contratação direta, poderá:</w:t>
                  </w:r>
                </w:p>
                <w:p>
                  <w:pPr>
                    <w:bidi w:val="0"/>
                    <w:spacing w:before="0" w:after="0"/>
                    <w:jc w:val="both"/>
                  </w:pPr>
                  <w:r>
                    <w:rPr>
                      <w:rFonts w:ascii="Arial" w:eastAsia="Arial" w:hAnsi="Arial" w:cs="Arial"/>
                      <w:color w:val="000000"/>
                      <w:spacing w:val="0"/>
                      <w:sz w:val="16"/>
                      <w:szCs w:val="16"/>
                    </w:rPr>
                    <w:t>2.8.1. Convocar para negociação os demais licitantes ou fornecedores remanescentes cujos preços foram registrados, observada a ordem de classificação, com vistas à obtenção de preço melhor, mesmo que acima do preço do adjudicatário; ou</w:t>
                  </w:r>
                </w:p>
                <w:p>
                  <w:pPr>
                    <w:bidi w:val="0"/>
                    <w:spacing w:before="0" w:after="0"/>
                    <w:jc w:val="both"/>
                  </w:pPr>
                  <w:r>
                    <w:rPr>
                      <w:rFonts w:ascii="Arial" w:eastAsia="Arial" w:hAnsi="Arial" w:cs="Arial"/>
                      <w:color w:val="000000"/>
                      <w:spacing w:val="0"/>
                      <w:sz w:val="16"/>
                      <w:szCs w:val="16"/>
                    </w:rPr>
                    <w:t>2.8.2. Adjudicar e firmar o contrato nas condições ofertadas pelos licitantes ou fornecedores remanescentes, atendida a ordem classificatória, quando frustrada a negociação de melhor condição.</w:t>
                  </w:r>
                </w:p>
                <w:p>
                  <w:pPr>
                    <w:bidi w:val="0"/>
                    <w:spacing w:before="0" w:after="0"/>
                    <w:jc w:val="both"/>
                  </w:pPr>
                  <w:r>
                    <w:rPr>
                      <w:rFonts w:ascii="Arial" w:eastAsia="Arial" w:hAnsi="Arial" w:cs="Arial"/>
                      <w:color w:val="000000"/>
                      <w:spacing w:val="0"/>
                      <w:sz w:val="16"/>
                      <w:szCs w:val="16"/>
                    </w:rPr>
                    <w:t>2.9.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pPr>
                    <w:bidi w:val="0"/>
                    <w:spacing w:before="0" w:after="0"/>
                    <w:jc w:val="both"/>
                  </w:pPr>
                </w:p>
                <w:p>
                  <w:pPr>
                    <w:bidi w:val="0"/>
                    <w:spacing w:before="0" w:after="0"/>
                    <w:jc w:val="both"/>
                  </w:pPr>
                  <w:r>
                    <w:rPr>
                      <w:rFonts w:ascii="Arial" w:eastAsia="Arial" w:hAnsi="Arial" w:cs="Arial"/>
                      <w:b/>
                      <w:bCs/>
                      <w:color w:val="000000"/>
                      <w:spacing w:val="0"/>
                      <w:sz w:val="16"/>
                      <w:szCs w:val="16"/>
                    </w:rPr>
                    <w:t>CLÁUSULA III – DA UTILIZAÇÃO DA ATA DE REGISTRO DE PREÇOS</w:t>
                  </w:r>
                </w:p>
                <w:p>
                  <w:pPr>
                    <w:bidi w:val="0"/>
                    <w:spacing w:before="0" w:after="0"/>
                    <w:jc w:val="both"/>
                  </w:pPr>
                </w:p>
                <w:p>
                  <w:pPr>
                    <w:bidi w:val="0"/>
                    <w:spacing w:before="0" w:after="0"/>
                    <w:jc w:val="both"/>
                  </w:pPr>
                  <w:r>
                    <w:rPr>
                      <w:rFonts w:ascii="Arial" w:eastAsia="Arial" w:hAnsi="Arial" w:cs="Arial"/>
                      <w:color w:val="000000"/>
                      <w:spacing w:val="0"/>
                      <w:sz w:val="16"/>
                      <w:szCs w:val="16"/>
                    </w:rPr>
                    <w:t>3. A presente Ata de Registro de Preços será usado pelo FUNDO MUNICIPAL DE SAUDE, que será o órgão gerenciador da presente Ata de Registro de Preços.</w:t>
                  </w:r>
                </w:p>
                <w:p>
                  <w:pPr>
                    <w:bidi w:val="0"/>
                    <w:spacing w:before="0" w:after="0"/>
                    <w:jc w:val="both"/>
                  </w:pPr>
                  <w:r>
                    <w:rPr>
                      <w:rFonts w:ascii="Arial" w:eastAsia="Arial" w:hAnsi="Arial" w:cs="Arial"/>
                      <w:color w:val="000000"/>
                      <w:spacing w:val="0"/>
                      <w:sz w:val="16"/>
                      <w:szCs w:val="16"/>
                    </w:rPr>
                    <w:t>3.1. O valor ofertado pelas empresas signatárias da presente Ata de Registro de Preços é o relacionado na Cláusula Primeira, de acordo com a respectiva classificação no Pregão Nº. 145 / 2024.</w:t>
                  </w:r>
                </w:p>
                <w:p>
                  <w:pPr>
                    <w:bidi w:val="0"/>
                    <w:spacing w:before="0" w:after="0"/>
                    <w:jc w:val="both"/>
                  </w:pPr>
                  <w:r>
                    <w:rPr>
                      <w:rFonts w:ascii="Arial" w:eastAsia="Arial" w:hAnsi="Arial" w:cs="Arial"/>
                      <w:color w:val="000000"/>
                      <w:spacing w:val="0"/>
                      <w:sz w:val="16"/>
                      <w:szCs w:val="16"/>
                    </w:rPr>
                    <w:t xml:space="preserve"> 3.2. Em cada fornecimento de produtos/prestação de serviço(s) decorrente desta Ata, serão observadas as cláusulas e condições constantes do Edital de Pregão Nº. 145 / 2024 e seus Anexos, que a precederam e integram o presente instrumento de compromisso.</w:t>
                  </w:r>
                </w:p>
                <w:p>
                  <w:pPr>
                    <w:bidi w:val="0"/>
                    <w:spacing w:before="0" w:after="0"/>
                    <w:jc w:val="both"/>
                  </w:pPr>
                  <w:r>
                    <w:rPr>
                      <w:rFonts w:ascii="Arial" w:eastAsia="Arial" w:hAnsi="Arial" w:cs="Arial"/>
                      <w:color w:val="000000"/>
                      <w:spacing w:val="0"/>
                      <w:sz w:val="16"/>
                      <w:szCs w:val="16"/>
                    </w:rPr>
                    <w:t>3.3. Não será admitida a adesão à ata de registro de preços decorrente desta licitação ou desta contratação direta.</w:t>
                  </w:r>
                </w:p>
                <w:p>
                  <w:pPr>
                    <w:bidi w:val="0"/>
                    <w:spacing w:before="0" w:after="0"/>
                    <w:jc w:val="both"/>
                  </w:pPr>
                  <w:r>
                    <w:rPr>
                      <w:rFonts w:ascii="Arial" w:eastAsia="Arial" w:hAnsi="Arial" w:cs="Arial"/>
                      <w:color w:val="000000"/>
                      <w:spacing w:val="0"/>
                      <w:sz w:val="16"/>
                      <w:szCs w:val="16"/>
                    </w:rPr>
                    <w:t>3.4. É vedado efetuar acréscimos nos quantitativos fixados na ata de registro de preços.</w:t>
                  </w:r>
                </w:p>
                <w:p>
                  <w:pPr>
                    <w:bidi w:val="0"/>
                    <w:spacing w:before="0" w:after="0"/>
                    <w:jc w:val="both"/>
                  </w:pPr>
                </w:p>
                <w:p>
                  <w:pPr>
                    <w:bidi w:val="0"/>
                    <w:spacing w:before="0" w:after="0"/>
                    <w:jc w:val="both"/>
                  </w:pPr>
                  <w:r>
                    <w:rPr>
                      <w:rFonts w:ascii="Arial" w:eastAsia="Arial" w:hAnsi="Arial" w:cs="Arial"/>
                      <w:b/>
                      <w:bCs/>
                      <w:color w:val="000000"/>
                      <w:spacing w:val="0"/>
                      <w:sz w:val="16"/>
                      <w:szCs w:val="16"/>
                    </w:rPr>
                    <w:t>CLÁUSULA IV – DO PAGAMENTO</w:t>
                  </w:r>
                </w:p>
                <w:p>
                  <w:pPr>
                    <w:bidi w:val="0"/>
                    <w:spacing w:before="0" w:after="0"/>
                    <w:jc w:val="both"/>
                  </w:pPr>
                </w:p>
                <w:p>
                  <w:pPr>
                    <w:bidi w:val="0"/>
                    <w:spacing w:before="0" w:after="0"/>
                    <w:jc w:val="both"/>
                  </w:pPr>
                  <w:r>
                    <w:rPr>
                      <w:rFonts w:ascii="Arial" w:eastAsia="Arial" w:hAnsi="Arial" w:cs="Arial"/>
                      <w:color w:val="000000"/>
                      <w:spacing w:val="0"/>
                      <w:sz w:val="16"/>
                      <w:szCs w:val="16"/>
                    </w:rPr>
                    <w:t>4. Do Recurso Financeiro - As despesas decorrentes da presente ata serão efetuadas à conta do seguinte recurso financeiro:</w:t>
                  </w:r>
                </w:p>
              </w:tc>
            </w:tr>
          </w:tbl>
          <w:p>
            <w:pPr>
              <w:spacing w:line="1" w:lineRule="auto"/>
            </w:pPr>
          </w:p>
        </w:tc>
      </w:tr>
      <w:tr>
        <w:tblPrEx>
          <w:tblW w:w="10733" w:type="dxa"/>
          <w:tblInd w:w="20" w:type="dxa"/>
          <w:tblLayout w:type="fixed"/>
          <w:tblLook w:val="01E0"/>
        </w:tblPrEx>
        <w:trPr>
          <w:trHeight w:hRule="exact" w:val="113"/>
        </w:trPr>
        <w:tc>
          <w:tcPr>
            <w:tcW w:w="10773" w:type="dxa"/>
            <w:noWrap w:val="0"/>
            <w:tcMar>
              <w:top w:w="0" w:type="dxa"/>
              <w:left w:w="0" w:type="dxa"/>
              <w:bottom w:w="0" w:type="dxa"/>
              <w:right w:w="0" w:type="dxa"/>
            </w:tcMar>
            <w:vAlign w:val="top"/>
          </w:tcPr>
          <w:p>
            <w:pPr>
              <w:spacing w:line="1" w:lineRule="auto"/>
            </w:pPr>
          </w:p>
        </w:tc>
      </w:tr>
      <w:tr>
        <w:tblPrEx>
          <w:tblW w:w="10733" w:type="dxa"/>
          <w:tblInd w:w="20" w:type="dxa"/>
          <w:tblLayout w:type="fixed"/>
          <w:tblLook w:val="01E0"/>
        </w:tblPrEx>
        <w:tc>
          <w:tcPr>
            <w:tcW w:w="10773" w:type="dxa"/>
            <w:noWrap w:val="0"/>
            <w:tcMar>
              <w:top w:w="0" w:type="dxa"/>
              <w:left w:w="0" w:type="dxa"/>
              <w:bottom w:w="0" w:type="dxa"/>
              <w:right w:w="0" w:type="dxa"/>
            </w:tcMar>
            <w:vAlign w:val="top"/>
          </w:tcPr>
          <w:bookmarkStart w:id="3" w:name="__bookmark_4"/>
          <w:bookmarkEnd w:id="3"/>
          <w:p/>
          <w:tbl>
            <w:tblPr>
              <w:tblStyle w:val="TableNormal"/>
              <w:tblOverlap w:val="never"/>
              <w:tblW w:w="10679" w:type="dxa"/>
              <w:tblInd w:w="20" w:type="dxa"/>
              <w:tblLayout w:type="fixed"/>
              <w:tblLook w:val="01E0"/>
            </w:tblPr>
            <w:tblGrid>
              <w:gridCol w:w="961"/>
              <w:gridCol w:w="961"/>
              <w:gridCol w:w="960"/>
              <w:gridCol w:w="960"/>
              <w:gridCol w:w="4275"/>
              <w:gridCol w:w="2562"/>
            </w:tblGrid>
            <w:tr>
              <w:tblPrEx>
                <w:tblW w:w="10679" w:type="dxa"/>
                <w:tblInd w:w="20" w:type="dxa"/>
                <w:tblLayout w:type="fixed"/>
                <w:tblLook w:val="01E0"/>
              </w:tblPrEx>
              <w:trPr>
                <w:trHeight w:val="184"/>
                <w:tblHeader w:val="0"/>
              </w:trPr>
              <w:tc>
                <w:tcPr>
                  <w:tcW w:w="10719" w:type="dxa"/>
                  <w:gridSpan w:val="6"/>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b/>
                      <w:bCs/>
                      <w:color w:val="000000"/>
                      <w:spacing w:val="0"/>
                      <w:sz w:val="16"/>
                      <w:szCs w:val="16"/>
                    </w:rPr>
                  </w:pPr>
                  <w:r>
                    <w:rPr>
                      <w:rFonts w:ascii="Arial" w:eastAsia="Arial" w:hAnsi="Arial" w:cs="Arial"/>
                      <w:b/>
                      <w:bCs/>
                      <w:color w:val="000000"/>
                      <w:spacing w:val="0"/>
                      <w:sz w:val="16"/>
                      <w:szCs w:val="16"/>
                    </w:rPr>
                    <w:t>Dotação Orçamentária</w:t>
                  </w:r>
                </w:p>
              </w:tc>
            </w:tr>
            <w:tr>
              <w:tblPrEx>
                <w:tblW w:w="10679" w:type="dxa"/>
                <w:tblInd w:w="20" w:type="dxa"/>
                <w:tblLayout w:type="fixed"/>
                <w:tblLook w:val="01E0"/>
              </w:tblPrEx>
              <w:trPr>
                <w:tblHeader w:val="0"/>
              </w:trPr>
              <w:tc>
                <w:tcPr>
                  <w:tcW w:w="964" w:type="dxa"/>
                  <w:tcBorders>
                    <w:top w:val="single" w:sz="6" w:space="0" w:color="000000"/>
                    <w:left w:val="single" w:sz="6" w:space="0" w:color="000000"/>
                    <w:bottom w:val="single" w:sz="6" w:space="0" w:color="000000"/>
                    <w:right w:val="single" w:sz="6" w:space="0" w:color="000000"/>
                  </w:tcBorders>
                  <w:shd w:val="clear" w:color="auto" w:fill="E2E2E2"/>
                  <w:noWrap w:val="0"/>
                  <w:tcMar>
                    <w:top w:w="0" w:type="dxa"/>
                    <w:left w:w="0" w:type="dxa"/>
                    <w:bottom w:w="0" w:type="dxa"/>
                    <w:right w:w="0" w:type="dxa"/>
                  </w:tcMar>
                  <w:vAlign w:val="top"/>
                </w:tcPr>
                <w:p>
                  <w:pPr>
                    <w:bidi w:val="0"/>
                    <w:jc w:val="center"/>
                    <w:rPr>
                      <w:rFonts w:ascii="Arial" w:eastAsia="Arial" w:hAnsi="Arial" w:cs="Arial"/>
                      <w:b/>
                      <w:bCs/>
                      <w:color w:val="000000"/>
                      <w:spacing w:val="0"/>
                      <w:sz w:val="16"/>
                      <w:szCs w:val="16"/>
                    </w:rPr>
                  </w:pPr>
                  <w:r>
                    <w:rPr>
                      <w:rFonts w:ascii="Arial" w:eastAsia="Arial" w:hAnsi="Arial" w:cs="Arial"/>
                      <w:b/>
                      <w:bCs/>
                      <w:color w:val="000000"/>
                      <w:spacing w:val="0"/>
                      <w:sz w:val="16"/>
                      <w:szCs w:val="16"/>
                    </w:rPr>
                    <w:t>Dotação</w:t>
                  </w:r>
                </w:p>
              </w:tc>
              <w:tc>
                <w:tcPr>
                  <w:tcW w:w="964" w:type="dxa"/>
                  <w:tcBorders>
                    <w:top w:val="single" w:sz="6" w:space="0" w:color="000000"/>
                    <w:left w:val="single" w:sz="6" w:space="0" w:color="000000"/>
                    <w:bottom w:val="single" w:sz="6" w:space="0" w:color="000000"/>
                    <w:right w:val="single" w:sz="6" w:space="0" w:color="000000"/>
                  </w:tcBorders>
                  <w:shd w:val="clear" w:color="auto" w:fill="E2E2E2"/>
                  <w:noWrap w:val="0"/>
                  <w:tcMar>
                    <w:top w:w="0" w:type="dxa"/>
                    <w:left w:w="0" w:type="dxa"/>
                    <w:bottom w:w="0" w:type="dxa"/>
                    <w:right w:w="0" w:type="dxa"/>
                  </w:tcMar>
                  <w:vAlign w:val="top"/>
                </w:tcPr>
                <w:p>
                  <w:pPr>
                    <w:bidi w:val="0"/>
                    <w:jc w:val="center"/>
                    <w:rPr>
                      <w:rFonts w:ascii="Arial" w:eastAsia="Arial" w:hAnsi="Arial" w:cs="Arial"/>
                      <w:b/>
                      <w:bCs/>
                      <w:color w:val="000000"/>
                      <w:spacing w:val="0"/>
                      <w:sz w:val="16"/>
                      <w:szCs w:val="16"/>
                    </w:rPr>
                  </w:pPr>
                  <w:r>
                    <w:rPr>
                      <w:rFonts w:ascii="Arial" w:eastAsia="Arial" w:hAnsi="Arial" w:cs="Arial"/>
                      <w:b/>
                      <w:bCs/>
                      <w:color w:val="000000"/>
                      <w:spacing w:val="0"/>
                      <w:sz w:val="16"/>
                      <w:szCs w:val="16"/>
                    </w:rPr>
                    <w:t>Órgao</w:t>
                  </w:r>
                </w:p>
              </w:tc>
              <w:tc>
                <w:tcPr>
                  <w:tcW w:w="964" w:type="dxa"/>
                  <w:tcBorders>
                    <w:top w:val="single" w:sz="6" w:space="0" w:color="000000"/>
                    <w:left w:val="single" w:sz="6" w:space="0" w:color="000000"/>
                    <w:bottom w:val="single" w:sz="6" w:space="0" w:color="000000"/>
                    <w:right w:val="single" w:sz="6" w:space="0" w:color="000000"/>
                  </w:tcBorders>
                  <w:shd w:val="clear" w:color="auto" w:fill="E2E2E2"/>
                  <w:noWrap w:val="0"/>
                  <w:tcMar>
                    <w:top w:w="0" w:type="dxa"/>
                    <w:left w:w="0" w:type="dxa"/>
                    <w:bottom w:w="0" w:type="dxa"/>
                    <w:right w:w="0" w:type="dxa"/>
                  </w:tcMar>
                  <w:vAlign w:val="top"/>
                </w:tcPr>
                <w:p>
                  <w:pPr>
                    <w:bidi w:val="0"/>
                    <w:jc w:val="center"/>
                    <w:rPr>
                      <w:rFonts w:ascii="Arial" w:eastAsia="Arial" w:hAnsi="Arial" w:cs="Arial"/>
                      <w:b/>
                      <w:bCs/>
                      <w:color w:val="000000"/>
                      <w:spacing w:val="0"/>
                      <w:sz w:val="16"/>
                      <w:szCs w:val="16"/>
                    </w:rPr>
                  </w:pPr>
                  <w:r>
                    <w:rPr>
                      <w:rFonts w:ascii="Arial" w:eastAsia="Arial" w:hAnsi="Arial" w:cs="Arial"/>
                      <w:b/>
                      <w:bCs/>
                      <w:color w:val="000000"/>
                      <w:spacing w:val="0"/>
                      <w:sz w:val="16"/>
                      <w:szCs w:val="16"/>
                    </w:rPr>
                    <w:t>Unidade</w:t>
                  </w:r>
                </w:p>
              </w:tc>
              <w:tc>
                <w:tcPr>
                  <w:tcW w:w="964" w:type="dxa"/>
                  <w:tcBorders>
                    <w:top w:val="single" w:sz="6" w:space="0" w:color="000000"/>
                    <w:left w:val="single" w:sz="6" w:space="0" w:color="000000"/>
                    <w:bottom w:val="single" w:sz="6" w:space="0" w:color="000000"/>
                    <w:right w:val="single" w:sz="6" w:space="0" w:color="000000"/>
                  </w:tcBorders>
                  <w:shd w:val="clear" w:color="auto" w:fill="E2E2E2"/>
                  <w:noWrap w:val="0"/>
                  <w:tcMar>
                    <w:top w:w="0" w:type="dxa"/>
                    <w:left w:w="0" w:type="dxa"/>
                    <w:bottom w:w="0" w:type="dxa"/>
                    <w:right w:w="0" w:type="dxa"/>
                  </w:tcMar>
                  <w:vAlign w:val="top"/>
                </w:tcPr>
                <w:p>
                  <w:pPr>
                    <w:bidi w:val="0"/>
                    <w:jc w:val="center"/>
                    <w:rPr>
                      <w:rFonts w:ascii="Arial" w:eastAsia="Arial" w:hAnsi="Arial" w:cs="Arial"/>
                      <w:b/>
                      <w:bCs/>
                      <w:color w:val="000000"/>
                      <w:spacing w:val="0"/>
                      <w:sz w:val="16"/>
                      <w:szCs w:val="16"/>
                    </w:rPr>
                  </w:pPr>
                  <w:r>
                    <w:rPr>
                      <w:rFonts w:ascii="Arial" w:eastAsia="Arial" w:hAnsi="Arial" w:cs="Arial"/>
                      <w:b/>
                      <w:bCs/>
                      <w:color w:val="000000"/>
                      <w:spacing w:val="0"/>
                      <w:sz w:val="16"/>
                      <w:szCs w:val="16"/>
                    </w:rPr>
                    <w:t>Ação</w:t>
                  </w:r>
                </w:p>
              </w:tc>
              <w:tc>
                <w:tcPr>
                  <w:tcW w:w="4291" w:type="dxa"/>
                  <w:tcBorders>
                    <w:top w:val="single" w:sz="6" w:space="0" w:color="000000"/>
                    <w:left w:val="single" w:sz="6" w:space="0" w:color="000000"/>
                    <w:bottom w:val="single" w:sz="6" w:space="0" w:color="000000"/>
                    <w:right w:val="single" w:sz="6" w:space="0" w:color="000000"/>
                  </w:tcBorders>
                  <w:shd w:val="clear" w:color="auto" w:fill="E2E2E2"/>
                  <w:noWrap w:val="0"/>
                  <w:tcMar>
                    <w:top w:w="0" w:type="dxa"/>
                    <w:left w:w="0" w:type="dxa"/>
                    <w:bottom w:w="0" w:type="dxa"/>
                    <w:right w:w="0" w:type="dxa"/>
                  </w:tcMar>
                  <w:vAlign w:val="top"/>
                </w:tcPr>
                <w:p>
                  <w:pPr>
                    <w:bidi w:val="0"/>
                    <w:jc w:val="center"/>
                    <w:rPr>
                      <w:rFonts w:ascii="Arial" w:eastAsia="Arial" w:hAnsi="Arial" w:cs="Arial"/>
                      <w:b/>
                      <w:bCs/>
                      <w:color w:val="000000"/>
                      <w:spacing w:val="0"/>
                      <w:sz w:val="16"/>
                      <w:szCs w:val="16"/>
                    </w:rPr>
                  </w:pPr>
                  <w:r>
                    <w:rPr>
                      <w:rFonts w:ascii="Arial" w:eastAsia="Arial" w:hAnsi="Arial" w:cs="Arial"/>
                      <w:b/>
                      <w:bCs/>
                      <w:color w:val="000000"/>
                      <w:spacing w:val="0"/>
                      <w:sz w:val="16"/>
                      <w:szCs w:val="16"/>
                    </w:rPr>
                    <w:t>Elemento</w:t>
                  </w:r>
                </w:p>
              </w:tc>
              <w:tc>
                <w:tcPr>
                  <w:tcW w:w="2572" w:type="dxa"/>
                  <w:tcBorders>
                    <w:top w:val="single" w:sz="6" w:space="0" w:color="000000"/>
                    <w:left w:val="single" w:sz="6" w:space="0" w:color="000000"/>
                    <w:bottom w:val="single" w:sz="6" w:space="0" w:color="000000"/>
                    <w:right w:val="single" w:sz="6" w:space="0" w:color="000000"/>
                  </w:tcBorders>
                  <w:shd w:val="clear" w:color="auto" w:fill="E2E2E2"/>
                  <w:noWrap w:val="0"/>
                  <w:tcMar>
                    <w:top w:w="0" w:type="dxa"/>
                    <w:left w:w="0" w:type="dxa"/>
                    <w:bottom w:w="0" w:type="dxa"/>
                    <w:right w:w="0" w:type="dxa"/>
                  </w:tcMar>
                  <w:vAlign w:val="top"/>
                </w:tcPr>
                <w:p>
                  <w:pPr>
                    <w:bidi w:val="0"/>
                    <w:jc w:val="center"/>
                    <w:rPr>
                      <w:rFonts w:ascii="Arial" w:eastAsia="Arial" w:hAnsi="Arial" w:cs="Arial"/>
                      <w:b/>
                      <w:bCs/>
                      <w:color w:val="000000"/>
                      <w:spacing w:val="0"/>
                      <w:sz w:val="16"/>
                      <w:szCs w:val="16"/>
                    </w:rPr>
                  </w:pPr>
                  <w:r>
                    <w:rPr>
                      <w:rFonts w:ascii="Arial" w:eastAsia="Arial" w:hAnsi="Arial" w:cs="Arial"/>
                      <w:b/>
                      <w:bCs/>
                      <w:color w:val="000000"/>
                      <w:spacing w:val="0"/>
                      <w:sz w:val="16"/>
                      <w:szCs w:val="16"/>
                    </w:rPr>
                    <w:t>Vínculo</w:t>
                  </w:r>
                </w:p>
              </w:tc>
            </w:tr>
          </w:tbl>
          <w:p>
            <w:pPr>
              <w:spacing w:line="1" w:lineRule="auto"/>
            </w:pPr>
          </w:p>
        </w:tc>
      </w:tr>
      <w:tr>
        <w:tblPrEx>
          <w:tblW w:w="10733" w:type="dxa"/>
          <w:tblInd w:w="20" w:type="dxa"/>
          <w:tblLayout w:type="fixed"/>
          <w:tblLook w:val="01E0"/>
        </w:tblPrEx>
        <w:trPr>
          <w:trHeight w:hRule="exact" w:val="113"/>
        </w:trPr>
        <w:tc>
          <w:tcPr>
            <w:tcW w:w="10773" w:type="dxa"/>
            <w:noWrap w:val="0"/>
            <w:tcMar>
              <w:top w:w="0" w:type="dxa"/>
              <w:left w:w="0" w:type="dxa"/>
              <w:bottom w:w="0" w:type="dxa"/>
              <w:right w:w="0" w:type="dxa"/>
            </w:tcMar>
            <w:vAlign w:val="top"/>
          </w:tcPr>
          <w:p>
            <w:pPr>
              <w:spacing w:line="1" w:lineRule="auto"/>
            </w:pPr>
          </w:p>
        </w:tc>
      </w:tr>
      <w:tr>
        <w:tblPrEx>
          <w:tblW w:w="10733" w:type="dxa"/>
          <w:tblInd w:w="20" w:type="dxa"/>
          <w:tblLayout w:type="fixed"/>
          <w:tblLook w:val="01E0"/>
        </w:tblPrEx>
        <w:tc>
          <w:tcPr>
            <w:tcW w:w="10773" w:type="dxa"/>
            <w:noWrap w:val="0"/>
            <w:tcMar>
              <w:top w:w="0" w:type="dxa"/>
              <w:left w:w="0" w:type="dxa"/>
              <w:bottom w:w="0" w:type="dxa"/>
              <w:right w:w="0" w:type="dxa"/>
            </w:tcMar>
            <w:vAlign w:val="top"/>
          </w:tcPr>
          <w:p/>
          <w:tbl>
            <w:tblPr>
              <w:tblStyle w:val="TableNormal"/>
              <w:tblOverlap w:val="never"/>
              <w:tblW w:w="10773" w:type="dxa"/>
              <w:jc w:val="left"/>
              <w:tblInd w:w="0" w:type="dxa"/>
              <w:tblLayout w:type="fixed"/>
              <w:tblCellMar>
                <w:top w:w="0" w:type="dxa"/>
                <w:left w:w="0" w:type="dxa"/>
                <w:bottom w:w="0" w:type="dxa"/>
                <w:right w:w="0" w:type="dxa"/>
              </w:tblCellMar>
              <w:tblLook w:val="01E0"/>
            </w:tblPr>
            <w:tblGrid>
              <w:gridCol w:w="10773"/>
            </w:tblGrid>
            <w:tr>
              <w:tblPrEx>
                <w:tblW w:w="10773" w:type="dxa"/>
                <w:jc w:val="left"/>
                <w:tblInd w:w="0" w:type="dxa"/>
                <w:tblLayout w:type="fixed"/>
                <w:tblCellMar>
                  <w:top w:w="0" w:type="dxa"/>
                  <w:left w:w="0" w:type="dxa"/>
                  <w:bottom w:w="0" w:type="dxa"/>
                  <w:right w:w="0" w:type="dxa"/>
                </w:tblCellMar>
                <w:tblLook w:val="01E0"/>
              </w:tblPrEx>
              <w:trPr>
                <w:jc w:val="left"/>
              </w:trPr>
              <w:tc>
                <w:tcPr>
                  <w:tcW w:w="10773" w:type="dxa"/>
                  <w:noWrap w:val="0"/>
                  <w:tcMar>
                    <w:top w:w="0" w:type="dxa"/>
                    <w:left w:w="0" w:type="dxa"/>
                    <w:bottom w:w="0" w:type="dxa"/>
                    <w:right w:w="0" w:type="dxa"/>
                  </w:tcMar>
                  <w:vAlign w:val="top"/>
                </w:tcPr>
                <w:p>
                  <w:pPr>
                    <w:bidi w:val="0"/>
                    <w:spacing w:before="0" w:after="0"/>
                    <w:jc w:val="both"/>
                  </w:pPr>
                  <w:r>
                    <w:rPr>
                      <w:rFonts w:ascii="Arial" w:eastAsia="Arial" w:hAnsi="Arial" w:cs="Arial"/>
                      <w:b/>
                      <w:bCs/>
                      <w:color w:val="000000"/>
                      <w:spacing w:val="0"/>
                      <w:sz w:val="16"/>
                      <w:szCs w:val="16"/>
                    </w:rPr>
                    <w:t>CLÁUSULA V – DAS CONDIÇÕES DE FORNECIMENTO, LOCAL E PRAZO DE ENTREGA</w:t>
                  </w:r>
                </w:p>
                <w:p>
                  <w:pPr>
                    <w:bidi w:val="0"/>
                    <w:spacing w:before="0" w:after="0"/>
                    <w:jc w:val="both"/>
                  </w:pPr>
                </w:p>
                <w:p>
                  <w:pPr>
                    <w:bidi w:val="0"/>
                    <w:spacing w:before="0" w:after="0"/>
                    <w:jc w:val="both"/>
                  </w:pPr>
                  <w:r>
                    <w:rPr>
                      <w:rFonts w:ascii="Arial" w:eastAsia="Arial" w:hAnsi="Arial" w:cs="Arial"/>
                      <w:color w:val="000000"/>
                      <w:spacing w:val="0"/>
                      <w:sz w:val="16"/>
                      <w:szCs w:val="16"/>
                    </w:rPr>
                    <w:t>5. O local e o prazo para entrega do produto/prestação do serviço será o estabelecido no Termo de Referência.</w:t>
                  </w:r>
                </w:p>
                <w:p>
                  <w:pPr>
                    <w:bidi w:val="0"/>
                    <w:spacing w:before="0" w:after="0"/>
                    <w:jc w:val="both"/>
                  </w:pPr>
                </w:p>
                <w:p>
                  <w:pPr>
                    <w:bidi w:val="0"/>
                    <w:spacing w:before="0" w:after="0"/>
                    <w:jc w:val="both"/>
                  </w:pPr>
                  <w:r>
                    <w:rPr>
                      <w:rFonts w:ascii="Arial" w:eastAsia="Arial" w:hAnsi="Arial" w:cs="Arial"/>
                      <w:b/>
                      <w:bCs/>
                      <w:color w:val="000000"/>
                      <w:spacing w:val="0"/>
                      <w:sz w:val="16"/>
                      <w:szCs w:val="16"/>
                    </w:rPr>
                    <w:t>CLÁUSULA VI – DAS PENALIDADES</w:t>
                  </w:r>
                </w:p>
                <w:p>
                  <w:pPr>
                    <w:bidi w:val="0"/>
                    <w:spacing w:before="0" w:after="0"/>
                    <w:jc w:val="both"/>
                  </w:pPr>
                </w:p>
                <w:p>
                  <w:pPr>
                    <w:bidi w:val="0"/>
                    <w:spacing w:before="0" w:after="0"/>
                    <w:jc w:val="both"/>
                  </w:pPr>
                  <w:r>
                    <w:rPr>
                      <w:rFonts w:ascii="Arial" w:eastAsia="Arial" w:hAnsi="Arial" w:cs="Arial"/>
                      <w:color w:val="000000"/>
                      <w:spacing w:val="0"/>
                      <w:sz w:val="16"/>
                      <w:szCs w:val="16"/>
                    </w:rPr>
                    <w:t>6. A recusa injustificada da empresa com proposta classificada na licitação e indicada para registro dos respectivos preços ensejará a aplicação das penalidades enunciadas nos artigos 155 a 162 da Lei Federal nº. 14.133/2021 e alterações.</w:t>
                  </w:r>
                </w:p>
                <w:p>
                  <w:pPr>
                    <w:bidi w:val="0"/>
                    <w:spacing w:before="0" w:after="0"/>
                    <w:jc w:val="both"/>
                  </w:pPr>
                  <w:r>
                    <w:rPr>
                      <w:rFonts w:ascii="Arial" w:eastAsia="Arial" w:hAnsi="Arial" w:cs="Arial"/>
                      <w:color w:val="000000"/>
                      <w:spacing w:val="0"/>
                      <w:sz w:val="16"/>
                      <w:szCs w:val="16"/>
                    </w:rPr>
                    <w:t>6.1 As sanções aplicáveis à presente Ata são as estabelecidas no Termo de Referência.</w:t>
                  </w:r>
                </w:p>
                <w:p>
                  <w:pPr>
                    <w:bidi w:val="0"/>
                    <w:spacing w:before="0" w:after="0"/>
                    <w:jc w:val="both"/>
                  </w:pPr>
                </w:p>
                <w:p>
                  <w:pPr>
                    <w:bidi w:val="0"/>
                    <w:spacing w:before="0" w:after="0"/>
                    <w:jc w:val="both"/>
                  </w:pPr>
                  <w:r>
                    <w:rPr>
                      <w:rFonts w:ascii="Arial" w:eastAsia="Arial" w:hAnsi="Arial" w:cs="Arial"/>
                      <w:b/>
                      <w:bCs/>
                      <w:color w:val="000000"/>
                      <w:spacing w:val="0"/>
                      <w:sz w:val="16"/>
                      <w:szCs w:val="16"/>
                    </w:rPr>
                    <w:t>CLÁUSULA VII – DA ATUALIZAÇÃO, ALTERAÇÃO OU REAJUSTAMENTO DE PREÇOS</w:t>
                  </w:r>
                </w:p>
                <w:p>
                  <w:pPr>
                    <w:bidi w:val="0"/>
                    <w:spacing w:before="0" w:after="0"/>
                    <w:jc w:val="both"/>
                  </w:pPr>
                </w:p>
                <w:p>
                  <w:pPr>
                    <w:bidi w:val="0"/>
                    <w:spacing w:before="0" w:after="0"/>
                    <w:jc w:val="both"/>
                  </w:pPr>
                  <w:r>
                    <w:rPr>
                      <w:rFonts w:ascii="Arial" w:eastAsia="Arial" w:hAnsi="Arial" w:cs="Arial"/>
                      <w:color w:val="000000"/>
                      <w:spacing w:val="0"/>
                      <w:sz w:val="16"/>
                      <w:szCs w:val="16"/>
                    </w:rPr>
                    <w:t>7. As atas com vigência menores de 12 meses (365 dias), não poderão sofrer reajustes, sendo os preços irreajustáveis.</w:t>
                  </w:r>
                </w:p>
                <w:p>
                  <w:pPr>
                    <w:bidi w:val="0"/>
                    <w:spacing w:before="0" w:after="0"/>
                    <w:jc w:val="both"/>
                  </w:pPr>
                  <w:r>
                    <w:rPr>
                      <w:rFonts w:ascii="Arial" w:eastAsia="Arial" w:hAnsi="Arial" w:cs="Arial"/>
                      <w:color w:val="000000"/>
                      <w:spacing w:val="0"/>
                      <w:sz w:val="16"/>
                      <w:szCs w:val="16"/>
                    </w:rPr>
                    <w:t>7.1. As Atas de Registro de Preços poderão ser reajustadas no momento de sua prorrogação, conforme previsto no Edital.</w:t>
                  </w:r>
                </w:p>
                <w:p>
                  <w:pPr>
                    <w:bidi w:val="0"/>
                    <w:spacing w:before="0" w:after="0"/>
                    <w:jc w:val="both"/>
                  </w:pPr>
                  <w:r>
                    <w:rPr>
                      <w:rFonts w:ascii="Arial" w:eastAsia="Arial" w:hAnsi="Arial" w:cs="Arial"/>
                      <w:color w:val="000000"/>
                      <w:spacing w:val="0"/>
                      <w:sz w:val="16"/>
                      <w:szCs w:val="16"/>
                    </w:rPr>
                    <w:t>7.2. No caso de prorrogação do prazo de vigência da ata, as quantidades registradas serão renovadas.</w:t>
                  </w:r>
                </w:p>
                <w:p>
                  <w:pPr>
                    <w:bidi w:val="0"/>
                    <w:spacing w:before="0" w:after="0"/>
                    <w:jc w:val="both"/>
                  </w:pPr>
                </w:p>
                <w:p>
                  <w:pPr>
                    <w:bidi w:val="0"/>
                    <w:spacing w:before="0" w:after="0"/>
                    <w:jc w:val="both"/>
                  </w:pPr>
                  <w:r>
                    <w:rPr>
                      <w:rFonts w:ascii="Arial" w:eastAsia="Arial" w:hAnsi="Arial" w:cs="Arial"/>
                      <w:b/>
                      <w:bCs/>
                      <w:color w:val="000000"/>
                      <w:spacing w:val="0"/>
                      <w:sz w:val="16"/>
                      <w:szCs w:val="16"/>
                    </w:rPr>
                    <w:t>CLÁUSULA VIII – DA NEGOCIAÇÃO DOS PREÇOS REGISTRADOS</w:t>
                  </w:r>
                </w:p>
                <w:p>
                  <w:pPr>
                    <w:bidi w:val="0"/>
                    <w:spacing w:before="0" w:after="0"/>
                    <w:jc w:val="both"/>
                  </w:pPr>
                </w:p>
                <w:p>
                  <w:pPr>
                    <w:bidi w:val="0"/>
                    <w:spacing w:before="0" w:after="0"/>
                    <w:jc w:val="both"/>
                  </w:pPr>
                  <w:r>
                    <w:rPr>
                      <w:rFonts w:ascii="Arial" w:eastAsia="Arial" w:hAnsi="Arial" w:cs="Arial"/>
                      <w:color w:val="000000"/>
                      <w:spacing w:val="0"/>
                      <w:sz w:val="16"/>
                      <w:szCs w:val="16"/>
                    </w:rPr>
                    <w:t>8. Na hipótese de o preço registrado tornar-se superior ao preço praticado no mercado por motivo superveniente, o órgão ou entidade gerenciadora convocará o fornecedor para negociar a redução do preço registrado.</w:t>
                  </w:r>
                </w:p>
                <w:p>
                  <w:pPr>
                    <w:bidi w:val="0"/>
                    <w:spacing w:before="0" w:after="0"/>
                    <w:jc w:val="both"/>
                  </w:pPr>
                  <w:r>
                    <w:rPr>
                      <w:rFonts w:ascii="Arial" w:eastAsia="Arial" w:hAnsi="Arial" w:cs="Arial"/>
                      <w:color w:val="000000"/>
                      <w:spacing w:val="0"/>
                      <w:sz w:val="16"/>
                      <w:szCs w:val="16"/>
                    </w:rPr>
                    <w:t>8.1. Caso não aceite reduzir seu preço aos valores praticados pelo mercado, o fornecedor será liberado do compromisso assumido quanto ao item registrado, sem aplicação de penalidades administrativas.</w:t>
                  </w:r>
                </w:p>
                <w:p>
                  <w:pPr>
                    <w:bidi w:val="0"/>
                    <w:spacing w:before="0" w:after="0"/>
                    <w:jc w:val="both"/>
                  </w:pPr>
                  <w:r>
                    <w:rPr>
                      <w:rFonts w:ascii="Arial" w:eastAsia="Arial" w:hAnsi="Arial" w:cs="Arial"/>
                      <w:color w:val="000000"/>
                      <w:spacing w:val="0"/>
                      <w:sz w:val="16"/>
                      <w:szCs w:val="16"/>
                    </w:rPr>
                    <w:t xml:space="preserve">8.1.1. Na hipótese prevista no item anterior, o gerenciador convocará os fornecedores, na ordem de classificação, para verificar se aceitam reduzir seus preços aos valores de mercado e não convocará os licitantes ou fornecedores que tiveram seu registro cancelado. </w:t>
                  </w:r>
                </w:p>
                <w:p>
                  <w:pPr>
                    <w:bidi w:val="0"/>
                    <w:spacing w:before="0" w:after="0"/>
                    <w:jc w:val="both"/>
                  </w:pPr>
                  <w:r>
                    <w:rPr>
                      <w:rFonts w:ascii="Arial" w:eastAsia="Arial" w:hAnsi="Arial" w:cs="Arial"/>
                      <w:color w:val="000000"/>
                      <w:spacing w:val="0"/>
                      <w:sz w:val="16"/>
                      <w:szCs w:val="16"/>
                    </w:rPr>
                    <w:t>8.1.2. Se não obtiver êxito nas negociações, o órgão ou entidade gerenciadora procederá ao cancelamento da ata de registro de preços, adotando as medidas cabíveis para obtenção de contratação mais vantajosa.</w:t>
                  </w:r>
                </w:p>
                <w:p>
                  <w:pPr>
                    <w:bidi w:val="0"/>
                    <w:spacing w:before="0" w:after="0"/>
                    <w:jc w:val="both"/>
                  </w:pPr>
                  <w:r>
                    <w:rPr>
                      <w:rFonts w:ascii="Arial" w:eastAsia="Arial" w:hAnsi="Arial" w:cs="Arial"/>
                      <w:color w:val="000000"/>
                      <w:spacing w:val="0"/>
                      <w:sz w:val="16"/>
                      <w:szCs w:val="16"/>
                    </w:rPr>
                    <w:t>8.1.3. 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pPr>
                    <w:bidi w:val="0"/>
                    <w:spacing w:before="0" w:after="0"/>
                    <w:jc w:val="both"/>
                  </w:pPr>
                  <w:r>
                    <w:rPr>
                      <w:rFonts w:ascii="Arial" w:eastAsia="Arial" w:hAnsi="Arial" w:cs="Arial"/>
                      <w:color w:val="000000"/>
                      <w:spacing w:val="0"/>
                      <w:sz w:val="16"/>
                      <w:szCs w:val="16"/>
                    </w:rPr>
                    <w:t>8.2.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pPr>
                    <w:bidi w:val="0"/>
                    <w:spacing w:before="0" w:after="0"/>
                    <w:jc w:val="both"/>
                  </w:pPr>
                  <w:r>
                    <w:rPr>
                      <w:rFonts w:ascii="Arial" w:eastAsia="Arial" w:hAnsi="Arial" w:cs="Arial"/>
                      <w:color w:val="000000"/>
                      <w:spacing w:val="0"/>
                      <w:sz w:val="16"/>
                      <w:szCs w:val="16"/>
                    </w:rPr>
                    <w:t>8.2.1. Neste caso, o fornecedor encaminhará, juntamente com o pedido de alteração, a documentação comprobatória ou a planilha de custos que demonstre a inviabilidade do preço registrado em relação às condições inicialmente pactuadas.</w:t>
                  </w:r>
                </w:p>
                <w:p>
                  <w:pPr>
                    <w:bidi w:val="0"/>
                    <w:spacing w:before="0" w:after="0"/>
                    <w:jc w:val="both"/>
                  </w:pPr>
                  <w:r>
                    <w:rPr>
                      <w:rFonts w:ascii="Arial" w:eastAsia="Arial" w:hAnsi="Arial" w:cs="Arial"/>
                      <w:color w:val="000000"/>
                      <w:spacing w:val="0"/>
                      <w:sz w:val="16"/>
                      <w:szCs w:val="16"/>
                    </w:rPr>
                    <w:t>8.2.2. Na hipótese de não comprovação da existência de fato superveniente que inviabilize o preço registrado, o pedido será indeferido pelo órgão ou entidade gerenciadora e o fornecedor deverá cumprir as obrigações estabelecidas na ata;</w:t>
                  </w:r>
                </w:p>
                <w:p>
                  <w:pPr>
                    <w:bidi w:val="0"/>
                    <w:spacing w:before="0" w:after="0"/>
                    <w:jc w:val="both"/>
                  </w:pPr>
                  <w:r>
                    <w:rPr>
                      <w:rFonts w:ascii="Arial" w:eastAsia="Arial" w:hAnsi="Arial" w:cs="Arial"/>
                      <w:color w:val="000000"/>
                      <w:spacing w:val="0"/>
                      <w:sz w:val="16"/>
                      <w:szCs w:val="16"/>
                    </w:rPr>
                    <w:t>8.2.3. Na hipótese de cancelamento do registro do fornecedor, nos termos do item anterior, o gerenciador convocará os fornecedores na ordem de classificação, para verificar se aceitam manter seus preços registrados;</w:t>
                  </w:r>
                </w:p>
                <w:p>
                  <w:pPr>
                    <w:bidi w:val="0"/>
                    <w:spacing w:before="0" w:after="0"/>
                    <w:jc w:val="both"/>
                  </w:pPr>
                  <w:r>
                    <w:rPr>
                      <w:rFonts w:ascii="Arial" w:eastAsia="Arial" w:hAnsi="Arial" w:cs="Arial"/>
                      <w:color w:val="000000"/>
                      <w:spacing w:val="0"/>
                      <w:sz w:val="16"/>
                      <w:szCs w:val="16"/>
                    </w:rPr>
                    <w:t>8.2.4. Se não obtiver êxito nas negociações, o órgão ou entidade gerenciadora procederá ao cancelamento da ata de registro de preços e adotará as medidas cabíveis para a obtenção da contratação mais vantajosa.</w:t>
                  </w:r>
                </w:p>
                <w:p>
                  <w:pPr>
                    <w:bidi w:val="0"/>
                    <w:spacing w:before="0" w:after="0"/>
                    <w:jc w:val="both"/>
                  </w:pPr>
                  <w:r>
                    <w:rPr>
                      <w:rFonts w:ascii="Arial" w:eastAsia="Arial" w:hAnsi="Arial" w:cs="Arial"/>
                      <w:color w:val="000000"/>
                      <w:spacing w:val="0"/>
                      <w:sz w:val="16"/>
                      <w:szCs w:val="16"/>
                    </w:rPr>
                    <w:t>8.2.5. Na hipótese de comprovação da majoração do preço de mercado que inviabilize o preço registrado.</w:t>
                  </w:r>
                </w:p>
                <w:p>
                  <w:pPr>
                    <w:bidi w:val="0"/>
                    <w:spacing w:before="0" w:after="0"/>
                    <w:jc w:val="both"/>
                  </w:pPr>
                </w:p>
                <w:p>
                  <w:pPr>
                    <w:bidi w:val="0"/>
                    <w:spacing w:before="0" w:after="0"/>
                    <w:jc w:val="both"/>
                  </w:pPr>
                  <w:r>
                    <w:rPr>
                      <w:rFonts w:ascii="Arial" w:eastAsia="Arial" w:hAnsi="Arial" w:cs="Arial"/>
                      <w:b/>
                      <w:bCs/>
                      <w:color w:val="000000"/>
                      <w:spacing w:val="0"/>
                      <w:sz w:val="16"/>
                      <w:szCs w:val="16"/>
                    </w:rPr>
                    <w:t>CLÁUSULA IX – DO CANCELAMENTO DA ATA DE REGISTRO DE PREÇOS</w:t>
                  </w:r>
                </w:p>
                <w:p>
                  <w:pPr>
                    <w:bidi w:val="0"/>
                    <w:spacing w:before="0" w:after="0"/>
                    <w:jc w:val="both"/>
                  </w:pPr>
                </w:p>
                <w:p>
                  <w:pPr>
                    <w:bidi w:val="0"/>
                    <w:spacing w:before="0" w:after="0"/>
                    <w:jc w:val="both"/>
                  </w:pPr>
                  <w:r>
                    <w:rPr>
                      <w:rFonts w:ascii="Arial" w:eastAsia="Arial" w:hAnsi="Arial" w:cs="Arial"/>
                      <w:color w:val="000000"/>
                      <w:spacing w:val="0"/>
                      <w:sz w:val="16"/>
                      <w:szCs w:val="16"/>
                    </w:rPr>
                    <w:t>9. O registro do fornecedor será cancelado pelo gerenciador, quando o fornecedor:</w:t>
                  </w:r>
                </w:p>
                <w:p>
                  <w:pPr>
                    <w:bidi w:val="0"/>
                    <w:spacing w:before="0" w:after="0"/>
                    <w:jc w:val="both"/>
                  </w:pPr>
                  <w:r>
                    <w:rPr>
                      <w:rFonts w:ascii="Arial" w:eastAsia="Arial" w:hAnsi="Arial" w:cs="Arial"/>
                      <w:color w:val="000000"/>
                      <w:spacing w:val="0"/>
                      <w:sz w:val="16"/>
                      <w:szCs w:val="16"/>
                    </w:rPr>
                    <w:t>9.1. Descumprir as condições da ata de registro de preços, sem motivo justificado;</w:t>
                  </w:r>
                </w:p>
                <w:p>
                  <w:pPr>
                    <w:bidi w:val="0"/>
                    <w:spacing w:before="0" w:after="0"/>
                    <w:jc w:val="both"/>
                  </w:pPr>
                  <w:r>
                    <w:rPr>
                      <w:rFonts w:ascii="Arial" w:eastAsia="Arial" w:hAnsi="Arial" w:cs="Arial"/>
                      <w:color w:val="000000"/>
                      <w:spacing w:val="0"/>
                      <w:sz w:val="16"/>
                      <w:szCs w:val="16"/>
                    </w:rPr>
                    <w:t>9.1.1. Descumprir as condições da ata de registro de preços, sem motivo justificado;</w:t>
                  </w:r>
                </w:p>
                <w:p>
                  <w:pPr>
                    <w:bidi w:val="0"/>
                    <w:spacing w:before="0" w:after="0"/>
                    <w:jc w:val="both"/>
                  </w:pPr>
                  <w:r>
                    <w:rPr>
                      <w:rFonts w:ascii="Arial" w:eastAsia="Arial" w:hAnsi="Arial" w:cs="Arial"/>
                      <w:color w:val="000000"/>
                      <w:spacing w:val="0"/>
                      <w:sz w:val="16"/>
                      <w:szCs w:val="16"/>
                    </w:rPr>
                    <w:t>9.1.2. Não retirar a nota de empenho, ou instrumento equivalente, no prazo estabelecido pela Administração sem justificativa razoável;</w:t>
                  </w:r>
                </w:p>
                <w:p>
                  <w:pPr>
                    <w:bidi w:val="0"/>
                    <w:spacing w:before="0" w:after="0"/>
                    <w:jc w:val="both"/>
                  </w:pPr>
                  <w:r>
                    <w:rPr>
                      <w:rFonts w:ascii="Arial" w:eastAsia="Arial" w:hAnsi="Arial" w:cs="Arial"/>
                      <w:color w:val="000000"/>
                      <w:spacing w:val="0"/>
                      <w:sz w:val="16"/>
                      <w:szCs w:val="16"/>
                    </w:rPr>
                    <w:t>9.1.3. Não aceitar manter seu preço registrado, na hipótese prevista no artigo 27, § 2º, do Decreto nº 11.462, de 2023; ou</w:t>
                  </w:r>
                </w:p>
                <w:p>
                  <w:pPr>
                    <w:bidi w:val="0"/>
                    <w:spacing w:before="0" w:after="0"/>
                    <w:jc w:val="both"/>
                  </w:pPr>
                  <w:r>
                    <w:rPr>
                      <w:rFonts w:ascii="Arial" w:eastAsia="Arial" w:hAnsi="Arial" w:cs="Arial"/>
                      <w:color w:val="000000"/>
                      <w:spacing w:val="0"/>
                      <w:sz w:val="16"/>
                      <w:szCs w:val="16"/>
                    </w:rPr>
                    <w:t>9.1.4. Sofrer sanção prevista nos incisos III ou IV do caput do art. 156 da Lei nº 14.133, de 2021.</w:t>
                  </w:r>
                </w:p>
                <w:p>
                  <w:pPr>
                    <w:bidi w:val="0"/>
                    <w:spacing w:before="0" w:after="0"/>
                    <w:jc w:val="both"/>
                  </w:pPr>
                  <w:r>
                    <w:rPr>
                      <w:rFonts w:ascii="Arial" w:eastAsia="Arial" w:hAnsi="Arial" w:cs="Arial"/>
                      <w:color w:val="000000"/>
                      <w:spacing w:val="0"/>
                      <w:sz w:val="16"/>
                      <w:szCs w:val="16"/>
                    </w:rPr>
                    <w:t>9.1.4.1. Na hipótese de aplicação de sanção prevista nos incisos III ou IV do caput do art. 156 da Lei nº 14.133, de 2021, caso a penalidade aplicada ao fornecedor não ultrapasse o prazo de vigência da ata de registro de preços, poderá o órgão ou a entidade gerenciadora, mediante decisão fundamentada, decidir pela manutenção do registro de preços, vedadas contratações derivadas da ata enquanto perdurarem os efeitos da sanção.</w:t>
                  </w:r>
                </w:p>
                <w:p>
                  <w:pPr>
                    <w:bidi w:val="0"/>
                    <w:spacing w:before="0" w:after="0"/>
                    <w:jc w:val="both"/>
                  </w:pPr>
                  <w:r>
                    <w:rPr>
                      <w:rFonts w:ascii="Arial" w:eastAsia="Arial" w:hAnsi="Arial" w:cs="Arial"/>
                      <w:color w:val="000000"/>
                      <w:spacing w:val="0"/>
                      <w:sz w:val="16"/>
                      <w:szCs w:val="16"/>
                    </w:rPr>
                    <w:t>9.2. O cancelamento de registros nas hipóteses previstas no item 9.1 será formalizado por despacho do órgão ou da entidade gerenciadora, garantidos os princípios do contraditório e da ampla defesa.</w:t>
                  </w:r>
                </w:p>
                <w:p>
                  <w:pPr>
                    <w:bidi w:val="0"/>
                    <w:spacing w:before="0" w:after="0"/>
                    <w:jc w:val="both"/>
                  </w:pPr>
                  <w:r>
                    <w:rPr>
                      <w:rFonts w:ascii="Arial" w:eastAsia="Arial" w:hAnsi="Arial" w:cs="Arial"/>
                      <w:color w:val="000000"/>
                      <w:spacing w:val="0"/>
                      <w:sz w:val="16"/>
                      <w:szCs w:val="16"/>
                    </w:rPr>
                    <w:t>9.3. Na hipótese de cancelamento do registro do fornecedor, o órgão ou a entidade gerenciadora poderá convocar os licitantes remanescentes, observada a ordem de classificação.</w:t>
                  </w:r>
                </w:p>
                <w:p>
                  <w:pPr>
                    <w:bidi w:val="0"/>
                    <w:spacing w:before="0" w:after="0"/>
                    <w:jc w:val="both"/>
                  </w:pPr>
                  <w:r>
                    <w:rPr>
                      <w:rFonts w:ascii="Arial" w:eastAsia="Arial" w:hAnsi="Arial" w:cs="Arial"/>
                      <w:color w:val="000000"/>
                      <w:spacing w:val="0"/>
                      <w:sz w:val="16"/>
                      <w:szCs w:val="16"/>
                    </w:rPr>
                    <w:t>9.4. O cancelamento dos preços registrados poderá ser realizado pelo gerenciador, em determinada ata de registro de preços, total ou parcialmente, nas seguintes hipóteses, desde que devidamente comprovadas e justificadas:</w:t>
                  </w:r>
                </w:p>
                <w:p>
                  <w:pPr>
                    <w:bidi w:val="0"/>
                    <w:spacing w:before="0" w:after="0"/>
                    <w:jc w:val="both"/>
                  </w:pPr>
                  <w:r>
                    <w:rPr>
                      <w:rFonts w:ascii="Arial" w:eastAsia="Arial" w:hAnsi="Arial" w:cs="Arial"/>
                      <w:color w:val="000000"/>
                      <w:spacing w:val="0"/>
                      <w:sz w:val="16"/>
                      <w:szCs w:val="16"/>
                    </w:rPr>
                    <w:t>9.4.1. Por razão de interesse público;</w:t>
                  </w:r>
                </w:p>
                <w:p>
                  <w:pPr>
                    <w:bidi w:val="0"/>
                    <w:spacing w:before="0" w:after="0"/>
                    <w:jc w:val="both"/>
                  </w:pPr>
                  <w:r>
                    <w:rPr>
                      <w:rFonts w:ascii="Arial" w:eastAsia="Arial" w:hAnsi="Arial" w:cs="Arial"/>
                      <w:color w:val="000000"/>
                      <w:spacing w:val="0"/>
                      <w:sz w:val="16"/>
                      <w:szCs w:val="16"/>
                    </w:rPr>
                    <w:t>9.4.2. A pedido do fornecedor, decorrente de caso fortuito ou força maior; ou</w:t>
                  </w:r>
                </w:p>
                <w:p>
                  <w:pPr>
                    <w:bidi w:val="0"/>
                    <w:spacing w:before="0" w:after="0"/>
                    <w:jc w:val="both"/>
                  </w:pPr>
                  <w:r>
                    <w:rPr>
                      <w:rFonts w:ascii="Arial" w:eastAsia="Arial" w:hAnsi="Arial" w:cs="Arial"/>
                      <w:color w:val="000000"/>
                      <w:spacing w:val="0"/>
                      <w:sz w:val="16"/>
                      <w:szCs w:val="16"/>
                    </w:rPr>
                    <w:t>9.4.3. Se não houver êxito nas negociações, nas hipóteses em que o preço de mercado tornar-se superior ou inferior ao preço registrado.</w:t>
                  </w:r>
                </w:p>
                <w:p>
                  <w:pPr>
                    <w:bidi w:val="0"/>
                    <w:spacing w:before="0" w:after="0"/>
                    <w:jc w:val="both"/>
                  </w:pPr>
                </w:p>
                <w:p>
                  <w:pPr>
                    <w:bidi w:val="0"/>
                    <w:spacing w:before="0" w:after="0"/>
                    <w:jc w:val="both"/>
                  </w:pPr>
                  <w:r>
                    <w:rPr>
                      <w:rFonts w:ascii="Arial" w:eastAsia="Arial" w:hAnsi="Arial" w:cs="Arial"/>
                      <w:b/>
                      <w:bCs/>
                      <w:color w:val="000000"/>
                      <w:spacing w:val="0"/>
                      <w:sz w:val="16"/>
                      <w:szCs w:val="16"/>
                    </w:rPr>
                    <w:t>CLÁUSULA X – DA AUTORIZAÇÃO PARA CONTRATAÇÃO E EMISSÃO DAS NOTAS DE EMPENHO</w:t>
                  </w:r>
                </w:p>
                <w:p>
                  <w:pPr>
                    <w:bidi w:val="0"/>
                    <w:spacing w:before="0" w:after="0"/>
                    <w:jc w:val="both"/>
                  </w:pPr>
                </w:p>
                <w:p>
                  <w:pPr>
                    <w:bidi w:val="0"/>
                    <w:spacing w:before="0" w:after="0"/>
                    <w:jc w:val="both"/>
                  </w:pPr>
                  <w:r>
                    <w:rPr>
                      <w:rFonts w:ascii="Arial" w:eastAsia="Arial" w:hAnsi="Arial" w:cs="Arial"/>
                      <w:color w:val="000000"/>
                      <w:spacing w:val="0"/>
                      <w:sz w:val="16"/>
                      <w:szCs w:val="16"/>
                    </w:rPr>
                    <w:t xml:space="preserve">10. O fornecimento do objeto da presente Ata de Registro de Preços será autorizado, caso a caso, pelo (a) FUNDO MUNICIPAL DE SAUDE, que é o órgão gerenciador da mesma e também pela unidade financeira competente para os pagamentos. </w:t>
                  </w:r>
                </w:p>
                <w:p>
                  <w:pPr>
                    <w:bidi w:val="0"/>
                    <w:spacing w:before="0" w:after="0"/>
                    <w:jc w:val="both"/>
                  </w:pPr>
                  <w:r>
                    <w:rPr>
                      <w:rFonts w:ascii="Arial" w:eastAsia="Arial" w:hAnsi="Arial" w:cs="Arial"/>
                      <w:color w:val="000000"/>
                      <w:spacing w:val="0"/>
                      <w:sz w:val="16"/>
                      <w:szCs w:val="16"/>
                    </w:rPr>
                    <w:t>10.1 A emissão dos pedidos, sua retificação ou cancelamento, autorizados pelo órgão requisitante total ou parcial, serão igualmente, quando da solicitação.</w:t>
                  </w:r>
                </w:p>
                <w:p>
                  <w:pPr>
                    <w:bidi w:val="0"/>
                    <w:spacing w:before="0" w:after="0"/>
                    <w:jc w:val="both"/>
                  </w:pPr>
                </w:p>
                <w:p>
                  <w:pPr>
                    <w:bidi w:val="0"/>
                    <w:spacing w:before="0" w:after="0"/>
                    <w:jc w:val="both"/>
                  </w:pPr>
                  <w:r>
                    <w:rPr>
                      <w:rFonts w:ascii="Arial" w:eastAsia="Arial" w:hAnsi="Arial" w:cs="Arial"/>
                      <w:b/>
                      <w:bCs/>
                      <w:color w:val="000000"/>
                      <w:spacing w:val="0"/>
                      <w:sz w:val="16"/>
                      <w:szCs w:val="16"/>
                    </w:rPr>
                    <w:t>CLÁUSULA XI – DAS OBRIGAÇÕES DA CONTRATANTE</w:t>
                  </w:r>
                </w:p>
                <w:p>
                  <w:pPr>
                    <w:bidi w:val="0"/>
                    <w:spacing w:before="0" w:after="0"/>
                    <w:jc w:val="both"/>
                  </w:pPr>
                </w:p>
                <w:p>
                  <w:pPr>
                    <w:bidi w:val="0"/>
                    <w:spacing w:before="0" w:after="0"/>
                    <w:jc w:val="both"/>
                  </w:pPr>
                  <w:r>
                    <w:rPr>
                      <w:rFonts w:ascii="Arial" w:eastAsia="Arial" w:hAnsi="Arial" w:cs="Arial"/>
                      <w:color w:val="000000"/>
                      <w:spacing w:val="0"/>
                      <w:sz w:val="16"/>
                      <w:szCs w:val="16"/>
                    </w:rPr>
                    <w:t>11. O Fundo Municipal de Saude, depois de empenhada e encaminhada a Ordem de Compra, compromete-se a:</w:t>
                  </w:r>
                </w:p>
                <w:p>
                  <w:pPr>
                    <w:bidi w:val="0"/>
                    <w:spacing w:before="0" w:after="0"/>
                    <w:jc w:val="both"/>
                  </w:pPr>
                  <w:r>
                    <w:rPr>
                      <w:rFonts w:ascii="Arial" w:eastAsia="Arial" w:hAnsi="Arial" w:cs="Arial"/>
                      <w:color w:val="000000"/>
                      <w:spacing w:val="0"/>
                      <w:sz w:val="16"/>
                      <w:szCs w:val="16"/>
                    </w:rPr>
                    <w:t>11.1. Proporcionar todas as facilidades indispensáveis à boa execução das obrigações contratuais;</w:t>
                  </w:r>
                </w:p>
                <w:p>
                  <w:pPr>
                    <w:bidi w:val="0"/>
                    <w:spacing w:before="0" w:after="0"/>
                    <w:jc w:val="both"/>
                  </w:pPr>
                  <w:r>
                    <w:rPr>
                      <w:rFonts w:ascii="Arial" w:eastAsia="Arial" w:hAnsi="Arial" w:cs="Arial"/>
                      <w:color w:val="000000"/>
                      <w:spacing w:val="0"/>
                      <w:sz w:val="16"/>
                      <w:szCs w:val="16"/>
                    </w:rPr>
                    <w:t>11.2. Promover os pagamentos dentro do prazo estipulado para tal;</w:t>
                  </w:r>
                </w:p>
                <w:p>
                  <w:pPr>
                    <w:bidi w:val="0"/>
                    <w:spacing w:before="0" w:after="0"/>
                    <w:jc w:val="both"/>
                  </w:pPr>
                  <w:r>
                    <w:rPr>
                      <w:rFonts w:ascii="Arial" w:eastAsia="Arial" w:hAnsi="Arial" w:cs="Arial"/>
                      <w:color w:val="000000"/>
                      <w:spacing w:val="0"/>
                      <w:sz w:val="16"/>
                      <w:szCs w:val="16"/>
                    </w:rPr>
                    <w:t>11.3. Fornecer atestados de capacidade técnica quando solicitado, desde que atendidas às obrigações contratuais;</w:t>
                  </w:r>
                </w:p>
                <w:p>
                  <w:pPr>
                    <w:bidi w:val="0"/>
                    <w:spacing w:before="0" w:after="0"/>
                    <w:jc w:val="both"/>
                  </w:pPr>
                  <w:r>
                    <w:rPr>
                      <w:rFonts w:ascii="Arial" w:eastAsia="Arial" w:hAnsi="Arial" w:cs="Arial"/>
                      <w:color w:val="000000"/>
                      <w:spacing w:val="0"/>
                      <w:sz w:val="16"/>
                      <w:szCs w:val="16"/>
                    </w:rPr>
                    <w:t>11.3.1. Rejeitar, em todo ou em parte, os produtos entregues em desacordo com as obrigações assumidas pela empresa;</w:t>
                  </w:r>
                </w:p>
                <w:p>
                  <w:pPr>
                    <w:bidi w:val="0"/>
                    <w:spacing w:before="0" w:after="0"/>
                    <w:jc w:val="both"/>
                  </w:pPr>
                  <w:r>
                    <w:rPr>
                      <w:rFonts w:ascii="Arial" w:eastAsia="Arial" w:hAnsi="Arial" w:cs="Arial"/>
                      <w:color w:val="000000"/>
                      <w:spacing w:val="0"/>
                      <w:sz w:val="16"/>
                      <w:szCs w:val="16"/>
                    </w:rPr>
                    <w:t>11.3.2. Comunicar as empresas, por escrito, eventuais anormalidades de qualquer espécie, prestando os esclarecimentos necessários, determinando prazo para correção das falhas.</w:t>
                  </w:r>
                </w:p>
                <w:p>
                  <w:pPr>
                    <w:bidi w:val="0"/>
                    <w:spacing w:before="0" w:after="0"/>
                    <w:jc w:val="both"/>
                  </w:pPr>
                </w:p>
                <w:p>
                  <w:pPr>
                    <w:bidi w:val="0"/>
                    <w:spacing w:before="0" w:after="0"/>
                    <w:jc w:val="both"/>
                  </w:pPr>
                  <w:r>
                    <w:rPr>
                      <w:rFonts w:ascii="Arial" w:eastAsia="Arial" w:hAnsi="Arial" w:cs="Arial"/>
                      <w:b/>
                      <w:bCs/>
                      <w:color w:val="000000"/>
                      <w:spacing w:val="0"/>
                      <w:sz w:val="16"/>
                      <w:szCs w:val="16"/>
                    </w:rPr>
                    <w:t>CLÁUSULA XII – DAS OBRIGAÇÕES DA CONTRATADA</w:t>
                  </w:r>
                </w:p>
                <w:p>
                  <w:pPr>
                    <w:bidi w:val="0"/>
                    <w:spacing w:before="0" w:after="0"/>
                    <w:jc w:val="both"/>
                  </w:pPr>
                </w:p>
                <w:p>
                  <w:pPr>
                    <w:bidi w:val="0"/>
                    <w:spacing w:before="0" w:after="0"/>
                    <w:jc w:val="both"/>
                  </w:pPr>
                  <w:r>
                    <w:rPr>
                      <w:rFonts w:ascii="Arial" w:eastAsia="Arial" w:hAnsi="Arial" w:cs="Arial"/>
                      <w:color w:val="000000"/>
                      <w:spacing w:val="0"/>
                      <w:sz w:val="16"/>
                      <w:szCs w:val="16"/>
                    </w:rPr>
                    <w:t>12. Entregar o objeto licitado em prazo não superior ao máximo estipulado neste Edital. Caso a entrega não seja feito dentro do prazo, a CONTRATADA ficará sujeita à multa estabelecida neste edital.</w:t>
                  </w:r>
                </w:p>
                <w:p>
                  <w:pPr>
                    <w:bidi w:val="0"/>
                    <w:spacing w:before="0" w:after="0"/>
                    <w:jc w:val="both"/>
                  </w:pPr>
                  <w:r>
                    <w:rPr>
                      <w:rFonts w:ascii="Arial" w:eastAsia="Arial" w:hAnsi="Arial" w:cs="Arial"/>
                      <w:color w:val="000000"/>
                      <w:spacing w:val="0"/>
                      <w:sz w:val="16"/>
                      <w:szCs w:val="16"/>
                    </w:rPr>
                    <w:t>12.1. Responder, em relação aos seus empregados, por todas as despesas decorrentes do fornecimento do produto, tais como: salários, seguros de acidente, taxas, impostos e contribuições, indenizações, vales-refeições, vales transporte e outras que porventura venham a ser criadas e exigidas pelo Governo;</w:t>
                  </w:r>
                </w:p>
                <w:p>
                  <w:pPr>
                    <w:bidi w:val="0"/>
                    <w:spacing w:before="0" w:after="0"/>
                    <w:jc w:val="both"/>
                  </w:pPr>
                  <w:r>
                    <w:rPr>
                      <w:rFonts w:ascii="Arial" w:eastAsia="Arial" w:hAnsi="Arial" w:cs="Arial"/>
                      <w:color w:val="000000"/>
                      <w:spacing w:val="0"/>
                      <w:sz w:val="16"/>
                      <w:szCs w:val="16"/>
                    </w:rPr>
                    <w:t>12.2. Promover o fornecimento, responsabilizando-se pela qualidade do produto.</w:t>
                  </w:r>
                </w:p>
                <w:p>
                  <w:pPr>
                    <w:bidi w:val="0"/>
                    <w:spacing w:before="0" w:after="0"/>
                    <w:jc w:val="both"/>
                  </w:pPr>
                  <w:r>
                    <w:rPr>
                      <w:rFonts w:ascii="Arial" w:eastAsia="Arial" w:hAnsi="Arial" w:cs="Arial"/>
                      <w:color w:val="000000"/>
                      <w:spacing w:val="0"/>
                      <w:sz w:val="16"/>
                      <w:szCs w:val="16"/>
                    </w:rPr>
                    <w:t>12.3. Substituir, de imediato, às suas expensas, o objeto do contrato que não se adequar às especificações constantes deste contrato.</w:t>
                  </w:r>
                </w:p>
                <w:p>
                  <w:pPr>
                    <w:bidi w:val="0"/>
                    <w:spacing w:before="0" w:after="0"/>
                    <w:jc w:val="both"/>
                  </w:pPr>
                  <w:r>
                    <w:rPr>
                      <w:rFonts w:ascii="Arial" w:eastAsia="Arial" w:hAnsi="Arial" w:cs="Arial"/>
                      <w:color w:val="000000"/>
                      <w:spacing w:val="0"/>
                      <w:sz w:val="16"/>
                      <w:szCs w:val="16"/>
                    </w:rPr>
                    <w:t>12.4. Assumir a responsabilidade por todos os encargos previdenciários e obrigações sociais previstos na legislação social e trabalhista em vigor, obrigando-se a saldá-la na época própria, vez que os seus empregados não manterão nenhum vínculo empregatício com o Fundo Municipal de Saude.</w:t>
                  </w:r>
                </w:p>
                <w:p>
                  <w:pPr>
                    <w:bidi w:val="0"/>
                    <w:spacing w:before="0" w:after="0"/>
                    <w:jc w:val="both"/>
                  </w:pPr>
                  <w:r>
                    <w:rPr>
                      <w:rFonts w:ascii="Arial" w:eastAsia="Arial" w:hAnsi="Arial" w:cs="Arial"/>
                      <w:color w:val="000000"/>
                      <w:spacing w:val="0"/>
                      <w:sz w:val="16"/>
                      <w:szCs w:val="16"/>
                    </w:rPr>
                    <w:t>12.5. Manter, durante toda a vigência do contrato, em compatibilidade com as obrigações por ela assumidas, todas as condições de habilitação e qualificação exigidas na licitação, devendo comunicar, imediatamente, qualquer alteração que possa comprometer a manutenção da ata.</w:t>
                  </w:r>
                </w:p>
                <w:p>
                  <w:pPr>
                    <w:bidi w:val="0"/>
                    <w:spacing w:before="0" w:after="0"/>
                    <w:jc w:val="both"/>
                  </w:pPr>
                  <w:r>
                    <w:rPr>
                      <w:rFonts w:ascii="Arial" w:eastAsia="Arial" w:hAnsi="Arial" w:cs="Arial"/>
                      <w:color w:val="000000"/>
                      <w:spacing w:val="0"/>
                      <w:sz w:val="16"/>
                      <w:szCs w:val="16"/>
                    </w:rPr>
                    <w:t>12.6. Responder pelas despesas relativas a encargos trabalhistas, de seguro de acidentes, impostos, contribuições previdenciárias e quaisquer outras que forem devidas e referidas aos serviços executados por seus empregados, uma vez que os mesmos não têm nenhum vínculo empregatício com o Fundo Municipal de Saude.</w:t>
                  </w:r>
                </w:p>
                <w:p>
                  <w:pPr>
                    <w:bidi w:val="0"/>
                    <w:spacing w:before="0" w:after="0"/>
                    <w:jc w:val="both"/>
                  </w:pPr>
                  <w:r>
                    <w:rPr>
                      <w:rFonts w:ascii="Arial" w:eastAsia="Arial" w:hAnsi="Arial" w:cs="Arial"/>
                      <w:color w:val="000000"/>
                      <w:spacing w:val="0"/>
                      <w:sz w:val="16"/>
                      <w:szCs w:val="16"/>
                    </w:rPr>
                    <w:t>12.7. Responder, integralmente, por perdas e danos que vier a causar ao Fundo Municipal de Saude ou a terceiros em razão de ação ou omissão, dolosa ou culposa, sua ou dos seus prepostos, independentemente de outras cominações contratuais ou legais a que estiver sujeita.</w:t>
                  </w:r>
                </w:p>
                <w:p>
                  <w:pPr>
                    <w:bidi w:val="0"/>
                    <w:spacing w:before="0" w:after="0"/>
                    <w:jc w:val="both"/>
                  </w:pPr>
                  <w:r>
                    <w:rPr>
                      <w:rFonts w:ascii="Arial" w:eastAsia="Arial" w:hAnsi="Arial" w:cs="Arial"/>
                      <w:color w:val="000000"/>
                      <w:spacing w:val="0"/>
                      <w:sz w:val="16"/>
                      <w:szCs w:val="16"/>
                    </w:rPr>
                    <w:t>12.8. A CONTRATADA não será responsável:</w:t>
                  </w:r>
                </w:p>
                <w:p>
                  <w:pPr>
                    <w:bidi w:val="0"/>
                    <w:spacing w:before="0" w:after="0"/>
                    <w:jc w:val="both"/>
                  </w:pPr>
                  <w:r>
                    <w:rPr>
                      <w:rFonts w:ascii="Arial" w:eastAsia="Arial" w:hAnsi="Arial" w:cs="Arial"/>
                      <w:color w:val="000000"/>
                      <w:spacing w:val="0"/>
                      <w:sz w:val="16"/>
                      <w:szCs w:val="16"/>
                    </w:rPr>
                    <w:t>12.8.1. Por qualquer perda ou dano resultante de caso fortuito ou força maior;</w:t>
                  </w:r>
                </w:p>
                <w:p>
                  <w:pPr>
                    <w:bidi w:val="0"/>
                    <w:spacing w:before="0" w:after="0"/>
                    <w:jc w:val="both"/>
                  </w:pPr>
                  <w:r>
                    <w:rPr>
                      <w:rFonts w:ascii="Arial" w:eastAsia="Arial" w:hAnsi="Arial" w:cs="Arial"/>
                      <w:color w:val="000000"/>
                      <w:spacing w:val="0"/>
                      <w:sz w:val="16"/>
                      <w:szCs w:val="16"/>
                    </w:rPr>
                    <w:t>12.8.2. Por quaisquer trabalhos, serviços ou responsabilidades não previstos neste edital e no Contrato a ser assinado com o Fundo Municipal de Saude.</w:t>
                  </w:r>
                </w:p>
                <w:p>
                  <w:pPr>
                    <w:bidi w:val="0"/>
                    <w:spacing w:before="0" w:after="0"/>
                    <w:jc w:val="both"/>
                  </w:pPr>
                  <w:r>
                    <w:rPr>
                      <w:rFonts w:ascii="Arial" w:eastAsia="Arial" w:hAnsi="Arial" w:cs="Arial"/>
                      <w:color w:val="000000"/>
                      <w:spacing w:val="0"/>
                      <w:sz w:val="16"/>
                      <w:szCs w:val="16"/>
                    </w:rPr>
                    <w:t>12.9. O Fundo Municipal de Saude não aceitará, sob nenhum pretexto, a transferência de responsabilidade da CONTRATADA para outras entidades, sejam fabricantes, representantes ou quaisquer outros.</w:t>
                  </w:r>
                </w:p>
                <w:p>
                  <w:pPr>
                    <w:bidi w:val="0"/>
                    <w:spacing w:before="0" w:after="0"/>
                    <w:jc w:val="both"/>
                  </w:pPr>
                </w:p>
                <w:p>
                  <w:pPr>
                    <w:bidi w:val="0"/>
                    <w:spacing w:before="0" w:after="0"/>
                    <w:jc w:val="both"/>
                  </w:pPr>
                  <w:r>
                    <w:rPr>
                      <w:rFonts w:ascii="Arial" w:eastAsia="Arial" w:hAnsi="Arial" w:cs="Arial"/>
                      <w:b/>
                      <w:bCs/>
                      <w:color w:val="000000"/>
                      <w:spacing w:val="0"/>
                      <w:sz w:val="16"/>
                      <w:szCs w:val="16"/>
                    </w:rPr>
                    <w:t>CLÁUSULA XIII – DAS DISPOSIÇÕES FINAIS</w:t>
                  </w:r>
                </w:p>
                <w:p>
                  <w:pPr>
                    <w:bidi w:val="0"/>
                    <w:spacing w:before="0" w:after="0"/>
                    <w:jc w:val="both"/>
                  </w:pPr>
                </w:p>
                <w:p>
                  <w:pPr>
                    <w:bidi w:val="0"/>
                    <w:spacing w:before="0" w:after="0"/>
                    <w:jc w:val="both"/>
                  </w:pPr>
                  <w:r>
                    <w:rPr>
                      <w:rFonts w:ascii="Arial" w:eastAsia="Arial" w:hAnsi="Arial" w:cs="Arial"/>
                      <w:color w:val="000000"/>
                      <w:spacing w:val="0"/>
                      <w:sz w:val="16"/>
                      <w:szCs w:val="16"/>
                    </w:rPr>
                    <w:t>13. Integram esta Ata, o Edital Nº. 145 / 2024, e as propostas das empresas classificadas no certame supra.</w:t>
                  </w:r>
                </w:p>
                <w:p>
                  <w:pPr>
                    <w:bidi w:val="0"/>
                    <w:spacing w:before="0" w:after="0"/>
                    <w:jc w:val="both"/>
                  </w:pPr>
                  <w:r>
                    <w:rPr>
                      <w:rFonts w:ascii="Arial" w:eastAsia="Arial" w:hAnsi="Arial" w:cs="Arial"/>
                      <w:color w:val="000000"/>
                      <w:spacing w:val="0"/>
                      <w:sz w:val="16"/>
                      <w:szCs w:val="16"/>
                    </w:rPr>
                    <w:t xml:space="preserve">13.1 Fica eleito o foro de Palhoça (SC), para dirimir quaisquer questões decorrentes da utilização da presente Ata. </w:t>
                  </w:r>
                </w:p>
                <w:p>
                  <w:pPr>
                    <w:bidi w:val="0"/>
                    <w:spacing w:before="0" w:after="0"/>
                    <w:jc w:val="both"/>
                  </w:pPr>
                  <w:r>
                    <w:rPr>
                      <w:rFonts w:ascii="Arial" w:eastAsia="Arial" w:hAnsi="Arial" w:cs="Arial"/>
                      <w:color w:val="000000"/>
                      <w:spacing w:val="0"/>
                      <w:sz w:val="16"/>
                      <w:szCs w:val="16"/>
                    </w:rPr>
                    <w:t>13.2 Os casos omissos serão resolvidos de acordo com a Lei nº14.133/2021 e alterações, e demais normas aplicáveis.</w:t>
                  </w:r>
                </w:p>
              </w:tc>
            </w:tr>
          </w:tbl>
          <w:p>
            <w:pPr>
              <w:spacing w:line="1" w:lineRule="auto"/>
            </w:pPr>
          </w:p>
        </w:tc>
      </w:tr>
      <w:tr>
        <w:tblPrEx>
          <w:tblW w:w="10733" w:type="dxa"/>
          <w:tblInd w:w="20" w:type="dxa"/>
          <w:tblLayout w:type="fixed"/>
          <w:tblLook w:val="01E0"/>
        </w:tblPrEx>
        <w:trPr>
          <w:trHeight w:hRule="exact" w:val="453"/>
        </w:trPr>
        <w:tc>
          <w:tcPr>
            <w:tcW w:w="10773" w:type="dxa"/>
            <w:noWrap w:val="0"/>
            <w:tcMar>
              <w:top w:w="0" w:type="dxa"/>
              <w:left w:w="0" w:type="dxa"/>
              <w:bottom w:w="0" w:type="dxa"/>
              <w:right w:w="0" w:type="dxa"/>
            </w:tcMar>
            <w:vAlign w:val="top"/>
          </w:tcPr>
          <w:p>
            <w:pPr>
              <w:spacing w:line="1" w:lineRule="auto"/>
            </w:pPr>
          </w:p>
        </w:tc>
      </w:tr>
      <w:tr>
        <w:tblPrEx>
          <w:tblW w:w="10733" w:type="dxa"/>
          <w:tblInd w:w="20" w:type="dxa"/>
          <w:tblLayout w:type="fixed"/>
          <w:tblLook w:val="01E0"/>
        </w:tblPrEx>
        <w:tc>
          <w:tcPr>
            <w:tcW w:w="10773" w:type="dxa"/>
            <w:noWrap w:val="0"/>
            <w:tcMar>
              <w:top w:w="0" w:type="dxa"/>
              <w:left w:w="0" w:type="dxa"/>
              <w:bottom w:w="0" w:type="dxa"/>
              <w:right w:w="0" w:type="dxa"/>
            </w:tcMar>
            <w:vAlign w:val="top"/>
          </w:tcPr>
          <w:p/>
          <w:tbl>
            <w:tblPr>
              <w:tblStyle w:val="TableNormal"/>
              <w:tblOverlap w:val="never"/>
              <w:tblW w:w="10773" w:type="dxa"/>
              <w:tblInd w:w="0" w:type="dxa"/>
              <w:tblLayout w:type="fixed"/>
              <w:tblCellMar>
                <w:top w:w="0" w:type="dxa"/>
                <w:left w:w="0" w:type="dxa"/>
                <w:bottom w:w="0" w:type="dxa"/>
                <w:right w:w="0" w:type="dxa"/>
              </w:tblCellMar>
              <w:tblLook w:val="01E0"/>
            </w:tblPr>
            <w:tblGrid>
              <w:gridCol w:w="10773"/>
            </w:tblGrid>
            <w:tr>
              <w:tblPrEx>
                <w:tblW w:w="10773" w:type="dxa"/>
                <w:tblInd w:w="0" w:type="dxa"/>
                <w:tblLayout w:type="fixed"/>
                <w:tblCellMar>
                  <w:top w:w="0" w:type="dxa"/>
                  <w:left w:w="0" w:type="dxa"/>
                  <w:bottom w:w="0" w:type="dxa"/>
                  <w:right w:w="0" w:type="dxa"/>
                </w:tblCellMar>
                <w:tblLook w:val="01E0"/>
              </w:tblPrEx>
              <w:tc>
                <w:tcPr>
                  <w:tcW w:w="10773" w:type="dxa"/>
                  <w:noWrap w:val="0"/>
                  <w:tcMar>
                    <w:top w:w="0" w:type="dxa"/>
                    <w:left w:w="0" w:type="dxa"/>
                    <w:bottom w:w="0" w:type="dxa"/>
                    <w:right w:w="0" w:type="dxa"/>
                  </w:tcMar>
                  <w:vAlign w:val="top"/>
                </w:tcPr>
                <w:p>
                  <w:pPr>
                    <w:bidi w:val="0"/>
                    <w:spacing w:before="0" w:after="0"/>
                  </w:pPr>
                  <w:r>
                    <w:rPr>
                      <w:rFonts w:ascii="Arial" w:eastAsia="Arial" w:hAnsi="Arial" w:cs="Arial"/>
                      <w:color w:val="000000"/>
                      <w:spacing w:val="0"/>
                      <w:sz w:val="16"/>
                      <w:szCs w:val="16"/>
                    </w:rPr>
                    <w:t>Palhoça, 12 de novembro de 2024</w:t>
                  </w:r>
                </w:p>
              </w:tc>
            </w:tr>
          </w:tbl>
          <w:p>
            <w:pPr>
              <w:spacing w:line="1" w:lineRule="auto"/>
            </w:pPr>
          </w:p>
        </w:tc>
      </w:tr>
      <w:tr>
        <w:tblPrEx>
          <w:tblW w:w="10733" w:type="dxa"/>
          <w:tblInd w:w="20" w:type="dxa"/>
          <w:tblLayout w:type="fixed"/>
          <w:tblLook w:val="01E0"/>
        </w:tblPrEx>
        <w:tc>
          <w:tcPr>
            <w:tcW w:w="10773" w:type="dxa"/>
            <w:noWrap w:val="0"/>
            <w:tcMar>
              <w:top w:w="0" w:type="dxa"/>
              <w:left w:w="0" w:type="dxa"/>
              <w:bottom w:w="0" w:type="dxa"/>
              <w:right w:w="0" w:type="dxa"/>
            </w:tcMar>
            <w:vAlign w:val="top"/>
          </w:tcPr>
          <w:p>
            <w:pPr>
              <w:spacing w:line="1" w:lineRule="auto"/>
            </w:pPr>
          </w:p>
        </w:tc>
      </w:tr>
      <w:tr>
        <w:tblPrEx>
          <w:tblW w:w="10733" w:type="dxa"/>
          <w:tblInd w:w="20" w:type="dxa"/>
          <w:tblLayout w:type="fixed"/>
          <w:tblLook w:val="01E0"/>
        </w:tblPrEx>
        <w:tc>
          <w:tcPr>
            <w:tcW w:w="10773" w:type="dxa"/>
            <w:noWrap w:val="0"/>
            <w:tcMar>
              <w:top w:w="0" w:type="dxa"/>
              <w:left w:w="0" w:type="dxa"/>
              <w:bottom w:w="0" w:type="dxa"/>
              <w:right w:w="0" w:type="dxa"/>
            </w:tcMar>
            <w:vAlign w:val="top"/>
          </w:tcPr>
          <w:p/>
          <w:tbl>
            <w:tblPr>
              <w:tblStyle w:val="TableNormal"/>
              <w:tblOverlap w:val="never"/>
              <w:tblW w:w="10733" w:type="dxa"/>
              <w:jc w:val="center"/>
              <w:tblInd w:w="20" w:type="dxa"/>
              <w:tblLayout w:type="fixed"/>
              <w:tblLook w:val="01E0"/>
            </w:tblPr>
            <w:tblGrid>
              <w:gridCol w:w="3673"/>
              <w:gridCol w:w="3388"/>
              <w:gridCol w:w="3672"/>
            </w:tblGrid>
            <w:tr>
              <w:tblPrEx>
                <w:tblW w:w="10733" w:type="dxa"/>
                <w:jc w:val="center"/>
                <w:tblInd w:w="20" w:type="dxa"/>
                <w:tblLayout w:type="fixed"/>
                <w:tblLook w:val="01E0"/>
              </w:tblPrEx>
              <w:trPr>
                <w:trHeight w:hRule="exact" w:val="850"/>
                <w:jc w:val="center"/>
              </w:trPr>
              <w:tc>
                <w:tcPr>
                  <w:tcW w:w="3686" w:type="dxa"/>
                  <w:tcBorders>
                    <w:bottom w:val="single" w:sz="6" w:space="0" w:color="000000"/>
                  </w:tcBorders>
                  <w:noWrap w:val="0"/>
                  <w:tcMar>
                    <w:top w:w="0" w:type="dxa"/>
                    <w:left w:w="0" w:type="dxa"/>
                    <w:bottom w:w="0" w:type="dxa"/>
                    <w:right w:w="0" w:type="dxa"/>
                  </w:tcMar>
                  <w:vAlign w:val="top"/>
                </w:tcPr>
                <w:p>
                  <w:pPr>
                    <w:spacing w:line="1" w:lineRule="auto"/>
                  </w:pPr>
                </w:p>
              </w:tc>
              <w:tc>
                <w:tcPr>
                  <w:tcW w:w="3401" w:type="dxa"/>
                  <w:noWrap w:val="0"/>
                  <w:tcMar>
                    <w:top w:w="0" w:type="dxa"/>
                    <w:left w:w="0" w:type="dxa"/>
                    <w:bottom w:w="0" w:type="dxa"/>
                    <w:right w:w="0" w:type="dxa"/>
                  </w:tcMar>
                  <w:vAlign w:val="top"/>
                </w:tcPr>
                <w:p>
                  <w:pPr>
                    <w:spacing w:line="1" w:lineRule="auto"/>
                  </w:pPr>
                </w:p>
              </w:tc>
              <w:tc>
                <w:tcPr>
                  <w:tcW w:w="3686" w:type="dxa"/>
                  <w:tcBorders>
                    <w:bottom w:val="single" w:sz="6" w:space="0" w:color="000000"/>
                  </w:tcBorders>
                  <w:noWrap w:val="0"/>
                  <w:tcMar>
                    <w:top w:w="0" w:type="dxa"/>
                    <w:left w:w="0" w:type="dxa"/>
                    <w:bottom w:w="0" w:type="dxa"/>
                    <w:right w:w="0" w:type="dxa"/>
                  </w:tcMar>
                  <w:vAlign w:val="top"/>
                </w:tcPr>
                <w:p>
                  <w:pPr>
                    <w:spacing w:line="1" w:lineRule="auto"/>
                  </w:pPr>
                </w:p>
              </w:tc>
            </w:tr>
            <w:tr>
              <w:tblPrEx>
                <w:tblW w:w="10733" w:type="dxa"/>
                <w:jc w:val="center"/>
                <w:tblInd w:w="20" w:type="dxa"/>
                <w:tblLayout w:type="fixed"/>
                <w:tblLook w:val="01E0"/>
              </w:tblPrEx>
              <w:trPr>
                <w:jc w:val="center"/>
              </w:trPr>
              <w:tc>
                <w:tcPr>
                  <w:tcW w:w="3686" w:type="dxa"/>
                  <w:noWrap w:val="0"/>
                  <w:tcMar>
                    <w:top w:w="0" w:type="dxa"/>
                    <w:left w:w="0" w:type="dxa"/>
                    <w:bottom w:w="0" w:type="dxa"/>
                    <w:right w:w="0" w:type="dxa"/>
                  </w:tcMar>
                  <w:vAlign w:val="top"/>
                </w:tcPr>
                <w:tbl>
                  <w:tblPr>
                    <w:tblStyle w:val="TableNormal"/>
                    <w:tblOverlap w:val="never"/>
                    <w:tblW w:w="3686" w:type="dxa"/>
                    <w:jc w:val="center"/>
                    <w:tblInd w:w="0" w:type="dxa"/>
                    <w:tblLayout w:type="fixed"/>
                    <w:tblCellMar>
                      <w:top w:w="0" w:type="dxa"/>
                      <w:left w:w="0" w:type="dxa"/>
                      <w:bottom w:w="0" w:type="dxa"/>
                      <w:right w:w="0" w:type="dxa"/>
                    </w:tblCellMar>
                    <w:tblLook w:val="01E0"/>
                  </w:tblPr>
                  <w:tblGrid>
                    <w:gridCol w:w="3686"/>
                  </w:tblGrid>
                  <w:tr>
                    <w:tblPrEx>
                      <w:tblW w:w="3686" w:type="dxa"/>
                      <w:jc w:val="center"/>
                      <w:tblInd w:w="0" w:type="dxa"/>
                      <w:tblLayout w:type="fixed"/>
                      <w:tblCellMar>
                        <w:top w:w="0" w:type="dxa"/>
                        <w:left w:w="0" w:type="dxa"/>
                        <w:bottom w:w="0" w:type="dxa"/>
                        <w:right w:w="0" w:type="dxa"/>
                      </w:tblCellMar>
                      <w:tblLook w:val="01E0"/>
                    </w:tblPrEx>
                    <w:trPr>
                      <w:jc w:val="center"/>
                    </w:trPr>
                    <w:tc>
                      <w:tcPr>
                        <w:tcW w:w="3686" w:type="dxa"/>
                        <w:noWrap w:val="0"/>
                        <w:tcMar>
                          <w:top w:w="0" w:type="dxa"/>
                          <w:left w:w="0" w:type="dxa"/>
                          <w:bottom w:w="0" w:type="dxa"/>
                          <w:right w:w="0" w:type="dxa"/>
                        </w:tcMar>
                        <w:vAlign w:val="top"/>
                      </w:tcPr>
                      <w:p>
                        <w:pPr>
                          <w:bidi w:val="0"/>
                          <w:spacing w:before="0" w:after="0"/>
                          <w:jc w:val="center"/>
                        </w:pPr>
                      </w:p>
                      <w:p>
                        <w:pPr>
                          <w:bidi w:val="0"/>
                          <w:spacing w:before="0" w:after="0"/>
                          <w:jc w:val="center"/>
                        </w:pPr>
                        <w:r>
                          <w:rPr>
                            <w:rFonts w:ascii="Arial" w:eastAsia="Arial" w:hAnsi="Arial" w:cs="Arial"/>
                            <w:color w:val="000000"/>
                            <w:spacing w:val="0"/>
                            <w:sz w:val="16"/>
                            <w:szCs w:val="16"/>
                          </w:rPr>
                          <w:t>Contratante</w:t>
                        </w:r>
                      </w:p>
                    </w:tc>
                  </w:tr>
                </w:tbl>
                <w:p>
                  <w:pPr>
                    <w:spacing w:line="1" w:lineRule="auto"/>
                  </w:pPr>
                </w:p>
              </w:tc>
              <w:tc>
                <w:tcPr>
                  <w:tcW w:w="3401" w:type="dxa"/>
                  <w:noWrap w:val="0"/>
                  <w:tcMar>
                    <w:top w:w="0" w:type="dxa"/>
                    <w:left w:w="0" w:type="dxa"/>
                    <w:bottom w:w="0" w:type="dxa"/>
                    <w:right w:w="0" w:type="dxa"/>
                  </w:tcMar>
                  <w:vAlign w:val="top"/>
                </w:tcPr>
                <w:p>
                  <w:pPr>
                    <w:spacing w:line="1" w:lineRule="auto"/>
                  </w:pPr>
                </w:p>
              </w:tc>
              <w:tc>
                <w:tcPr>
                  <w:tcW w:w="3686" w:type="dxa"/>
                  <w:noWrap w:val="0"/>
                  <w:tcMar>
                    <w:top w:w="0" w:type="dxa"/>
                    <w:left w:w="0" w:type="dxa"/>
                    <w:bottom w:w="0" w:type="dxa"/>
                    <w:right w:w="0" w:type="dxa"/>
                  </w:tcMar>
                  <w:vAlign w:val="top"/>
                </w:tcPr>
                <w:p/>
                <w:tbl>
                  <w:tblPr>
                    <w:tblStyle w:val="TableNormal"/>
                    <w:tblOverlap w:val="never"/>
                    <w:tblW w:w="3686" w:type="dxa"/>
                    <w:jc w:val="center"/>
                    <w:tblInd w:w="0" w:type="dxa"/>
                    <w:tblLayout w:type="fixed"/>
                    <w:tblCellMar>
                      <w:top w:w="0" w:type="dxa"/>
                      <w:left w:w="0" w:type="dxa"/>
                      <w:bottom w:w="0" w:type="dxa"/>
                      <w:right w:w="0" w:type="dxa"/>
                    </w:tblCellMar>
                    <w:tblLook w:val="01E0"/>
                  </w:tblPr>
                  <w:tblGrid>
                    <w:gridCol w:w="3686"/>
                  </w:tblGrid>
                  <w:tr>
                    <w:tblPrEx>
                      <w:tblW w:w="3686" w:type="dxa"/>
                      <w:jc w:val="center"/>
                      <w:tblInd w:w="0" w:type="dxa"/>
                      <w:tblLayout w:type="fixed"/>
                      <w:tblCellMar>
                        <w:top w:w="0" w:type="dxa"/>
                        <w:left w:w="0" w:type="dxa"/>
                        <w:bottom w:w="0" w:type="dxa"/>
                        <w:right w:w="0" w:type="dxa"/>
                      </w:tblCellMar>
                      <w:tblLook w:val="01E0"/>
                    </w:tblPrEx>
                    <w:trPr>
                      <w:jc w:val="center"/>
                    </w:trPr>
                    <w:tc>
                      <w:tcPr>
                        <w:tcW w:w="3686" w:type="dxa"/>
                        <w:noWrap w:val="0"/>
                        <w:tcMar>
                          <w:top w:w="0" w:type="dxa"/>
                          <w:left w:w="0" w:type="dxa"/>
                          <w:bottom w:w="0" w:type="dxa"/>
                          <w:right w:w="0" w:type="dxa"/>
                        </w:tcMar>
                        <w:vAlign w:val="top"/>
                      </w:tcPr>
                      <w:p>
                        <w:pPr>
                          <w:bidi w:val="0"/>
                          <w:spacing w:before="0" w:after="0"/>
                          <w:jc w:val="center"/>
                        </w:pPr>
                        <w:r>
                          <w:rPr>
                            <w:rFonts w:ascii="Arial" w:eastAsia="Arial" w:hAnsi="Arial" w:cs="Arial"/>
                            <w:color w:val="000000"/>
                            <w:spacing w:val="0"/>
                            <w:sz w:val="16"/>
                            <w:szCs w:val="16"/>
                          </w:rPr>
                          <w:t>CARLA MACHADO DE SOUZA ME</w:t>
                        </w:r>
                      </w:p>
                      <w:p>
                        <w:pPr>
                          <w:bidi w:val="0"/>
                          <w:spacing w:before="0" w:after="0"/>
                          <w:jc w:val="center"/>
                        </w:pPr>
                        <w:r>
                          <w:rPr>
                            <w:rFonts w:ascii="Arial" w:eastAsia="Arial" w:hAnsi="Arial" w:cs="Arial"/>
                            <w:color w:val="000000"/>
                            <w:spacing w:val="0"/>
                            <w:sz w:val="16"/>
                            <w:szCs w:val="16"/>
                          </w:rPr>
                          <w:t>Contratada</w:t>
                        </w:r>
                      </w:p>
                    </w:tc>
                  </w:tr>
                </w:tbl>
                <w:p>
                  <w:pPr>
                    <w:spacing w:line="1" w:lineRule="auto"/>
                  </w:pPr>
                </w:p>
              </w:tc>
            </w:tr>
          </w:tbl>
          <w:p>
            <w:pPr>
              <w:spacing w:line="1" w:lineRule="auto"/>
            </w:pPr>
          </w:p>
        </w:tc>
      </w:tr>
    </w:tbl>
    <w:p/>
    <w:sectPr>
      <w:headerReference w:type="default" r:id="rId4"/>
      <w:footerReference w:type="default" r:id="rId5"/>
      <w:pgSz w:w="11905" w:h="16837" w:orient="portrait"/>
      <w:pgMar w:top="396" w:right="566" w:bottom="113" w:left="566" w:header="396" w:footer="113"/>
      <w:cols w:space="708"/>
    </w:sectPr>
  </w:body>
</w:document>
</file>

<file path=word/fontTable.xml><?xml version="1.0" encoding="utf-8"?>
<w:fonts xmlns:r="http://schemas.openxmlformats.org/officeDocument/2006/relationships" xmlns:w="http://schemas.openxmlformats.org/wordprocessingml/2006/main"/>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988" w:type="dxa"/>
      <w:tblLayout w:type="fixed"/>
      <w:tblLook w:val="01E0"/>
    </w:tblPr>
    <w:tblGrid>
      <w:gridCol w:w="10988"/>
    </w:tblGrid>
    <w:tr>
      <w:tblPrEx>
        <w:tblW w:w="10988" w:type="dxa"/>
        <w:tblLayout w:type="fixed"/>
        <w:tblLook w:val="01E0"/>
      </w:tblPrEx>
      <w:trPr>
        <w:trHeight w:val="283"/>
      </w:trPr>
      <w:tc>
        <w:tcPr>
          <w:tcW w:w="10988" w:type="dxa"/>
        </w:tcPr>
        <w:p/>
        <w:tbl>
          <w:tblPr>
            <w:tblStyle w:val="TableNormal"/>
            <w:tblOverlap w:val="never"/>
            <w:tblW w:w="10733" w:type="dxa"/>
            <w:tblInd w:w="20" w:type="dxa"/>
            <w:tblBorders>
              <w:top w:val="single" w:sz="6" w:space="0" w:color="000000"/>
            </w:tblBorders>
            <w:tblLayout w:type="fixed"/>
            <w:tblLook w:val="01E0"/>
          </w:tblPr>
          <w:tblGrid>
            <w:gridCol w:w="1976"/>
            <w:gridCol w:w="6780"/>
            <w:gridCol w:w="1977"/>
          </w:tblGrid>
          <w:tr>
            <w:tblPrEx>
              <w:tblW w:w="10733" w:type="dxa"/>
              <w:tblInd w:w="20" w:type="dxa"/>
              <w:tblBorders>
                <w:top w:val="single" w:sz="6" w:space="0" w:color="000000"/>
              </w:tblBorders>
              <w:tblLayout w:type="fixed"/>
              <w:tblLook w:val="01E0"/>
            </w:tblPrEx>
            <w:tc>
              <w:tcPr>
                <w:tcW w:w="1984" w:type="dxa"/>
                <w:noWrap w:val="0"/>
                <w:tcMar>
                  <w:top w:w="0" w:type="dxa"/>
                  <w:left w:w="0" w:type="dxa"/>
                  <w:bottom w:w="0" w:type="dxa"/>
                  <w:right w:w="0" w:type="dxa"/>
                </w:tcMar>
                <w:vAlign w:val="top"/>
              </w:tcPr>
              <w:p>
                <w:pPr>
                  <w:bidi w:val="0"/>
                  <w:jc w:val="left"/>
                  <w:rPr>
                    <w:rFonts w:ascii="Arial" w:eastAsia="Arial" w:hAnsi="Arial" w:cs="Arial"/>
                    <w:color w:val="000000"/>
                    <w:spacing w:val="0"/>
                    <w:sz w:val="12"/>
                    <w:szCs w:val="12"/>
                  </w:rPr>
                </w:pPr>
                <w:r>
                  <w:rPr>
                    <w:rFonts w:ascii="Arial" w:eastAsia="Arial" w:hAnsi="Arial" w:cs="Arial"/>
                    <w:color w:val="000000"/>
                    <w:spacing w:val="0"/>
                    <w:sz w:val="12"/>
                    <w:szCs w:val="12"/>
                  </w:rPr>
                  <w:t>IPM Sistemas Ltda</w:t>
                </w:r>
              </w:p>
              <w:p>
                <w:pPr>
                  <w:bidi w:val="0"/>
                  <w:jc w:val="left"/>
                  <w:rPr>
                    <w:rFonts w:ascii="Arial" w:eastAsia="Arial" w:hAnsi="Arial" w:cs="Arial"/>
                    <w:color w:val="000000"/>
                    <w:spacing w:val="0"/>
                    <w:sz w:val="12"/>
                    <w:szCs w:val="12"/>
                  </w:rPr>
                </w:pPr>
                <w:r>
                  <w:rPr>
                    <w:rFonts w:ascii="Arial" w:eastAsia="Arial" w:hAnsi="Arial" w:cs="Arial"/>
                    <w:color w:val="000000"/>
                    <w:spacing w:val="0"/>
                    <w:sz w:val="12"/>
                    <w:szCs w:val="12"/>
                  </w:rPr>
                  <w:t>Atende.Net - WCO v:2015.04</w:t>
                </w:r>
              </w:p>
            </w:tc>
            <w:tc>
              <w:tcPr>
                <w:tcW w:w="6805" w:type="dxa"/>
                <w:noWrap w:val="0"/>
                <w:tcMar>
                  <w:top w:w="0" w:type="dxa"/>
                  <w:left w:w="0" w:type="dxa"/>
                  <w:bottom w:w="0" w:type="dxa"/>
                  <w:right w:w="0" w:type="dxa"/>
                </w:tcMar>
                <w:vAlign w:val="top"/>
              </w:tcPr>
              <w:p>
                <w:pPr>
                  <w:bidi w:val="0"/>
                  <w:jc w:val="center"/>
                  <w:rPr>
                    <w:rFonts w:ascii="Arial" w:eastAsia="Arial" w:hAnsi="Arial" w:cs="Arial"/>
                    <w:color w:val="000000"/>
                    <w:spacing w:val="0"/>
                    <w:sz w:val="12"/>
                    <w:szCs w:val="12"/>
                  </w:rPr>
                </w:pPr>
                <w:r>
                  <w:rPr>
                    <w:rFonts w:ascii="Arial" w:eastAsia="Arial" w:hAnsi="Arial" w:cs="Arial"/>
                    <w:color w:val="000000"/>
                    <w:spacing w:val="0"/>
                    <w:sz w:val="12"/>
                    <w:szCs w:val="12"/>
                  </w:rPr>
                  <w:t>Identificador: WCO2051203-98450-BWMUXSFTKTI-1 - Emitido por: GABRIELA WUNDERVALD KOERICH</w:t>
                </w:r>
              </w:p>
            </w:tc>
            <w:tc>
              <w:tcPr>
                <w:tcW w:w="1984" w:type="dxa"/>
                <w:noWrap w:val="0"/>
                <w:tcMar>
                  <w:top w:w="0" w:type="dxa"/>
                  <w:left w:w="0" w:type="dxa"/>
                  <w:bottom w:w="0" w:type="dxa"/>
                  <w:right w:w="0" w:type="dxa"/>
                </w:tcMar>
                <w:vAlign w:val="top"/>
              </w:tcPr>
              <w:tbl>
                <w:tblPr>
                  <w:tblStyle w:val="TableNormal"/>
                  <w:tblOverlap w:val="never"/>
                  <w:tblW w:w="1984" w:type="dxa"/>
                  <w:jc w:val="right"/>
                  <w:tblInd w:w="0" w:type="dxa"/>
                  <w:tblLayout w:type="fixed"/>
                  <w:tblCellMar>
                    <w:top w:w="0" w:type="dxa"/>
                    <w:left w:w="0" w:type="dxa"/>
                    <w:bottom w:w="0" w:type="dxa"/>
                    <w:right w:w="0" w:type="dxa"/>
                  </w:tblCellMar>
                  <w:tblLook w:val="01E0"/>
                </w:tblPr>
                <w:tblGrid>
                  <w:gridCol w:w="1984"/>
                </w:tblGrid>
                <w:tr>
                  <w:tblPrEx>
                    <w:tblW w:w="1984" w:type="dxa"/>
                    <w:jc w:val="right"/>
                    <w:tblInd w:w="0" w:type="dxa"/>
                    <w:tblLayout w:type="fixed"/>
                    <w:tblCellMar>
                      <w:top w:w="0" w:type="dxa"/>
                      <w:left w:w="0" w:type="dxa"/>
                      <w:bottom w:w="0" w:type="dxa"/>
                      <w:right w:w="0" w:type="dxa"/>
                    </w:tblCellMar>
                    <w:tblLook w:val="01E0"/>
                  </w:tblPrEx>
                  <w:trPr>
                    <w:jc w:val="right"/>
                  </w:trPr>
                  <w:tc>
                    <w:tcPr>
                      <w:tcW w:w="1984" w:type="dxa"/>
                      <w:noWrap w:val="0"/>
                      <w:tcMar>
                        <w:top w:w="0" w:type="dxa"/>
                        <w:left w:w="0" w:type="dxa"/>
                        <w:bottom w:w="0" w:type="dxa"/>
                        <w:right w:w="0" w:type="dxa"/>
                      </w:tcMar>
                      <w:vAlign w:val="top"/>
                    </w:tcPr>
                    <w:p>
                      <w:pPr>
                        <w:bidi w:val="0"/>
                        <w:spacing w:before="0" w:after="0"/>
                        <w:jc w:val="right"/>
                      </w:pPr>
                      <w:r>
                        <w:rPr>
                          <w:rFonts w:ascii="Arial" w:eastAsia="Arial" w:hAnsi="Arial" w:cs="Arial"/>
                          <w:color w:val="000000"/>
                          <w:spacing w:val="0"/>
                          <w:sz w:val="14"/>
                          <w:szCs w:val="14"/>
                        </w:rPr>
                        <w:t>12/11/2024 07:59:58 -03:00</w:t>
                      </w:r>
                    </w:p>
                  </w:tc>
                </w:tr>
              </w:tbl>
              <w:p>
                <w:pPr>
                  <w:spacing w:line="1" w:lineRule="auto"/>
                </w:pPr>
              </w:p>
            </w:tc>
          </w:tr>
        </w:tbl>
        <w:p>
          <w:pPr>
            <w:spacing w:line="1" w:lineRule="auto"/>
          </w:pPr>
        </w:p>
      </w:tc>
    </w:tr>
  </w:tbl>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988" w:type="dxa"/>
      <w:tblLayout w:type="fixed"/>
      <w:tblLook w:val="01E0"/>
    </w:tblPr>
    <w:tblGrid>
      <w:gridCol w:w="10988"/>
    </w:tblGrid>
    <w:tr>
      <w:tblPrEx>
        <w:tblW w:w="10988" w:type="dxa"/>
        <w:tblLayout w:type="fixed"/>
        <w:tblLook w:val="01E0"/>
      </w:tblPrEx>
      <w:trPr>
        <w:trHeight w:val="1417"/>
      </w:trPr>
      <w:tc>
        <w:tcPr>
          <w:tcW w:w="10988" w:type="dxa"/>
        </w:tcPr>
        <w:p/>
        <w:tbl>
          <w:tblPr>
            <w:tblStyle w:val="TableNormal"/>
            <w:tblOverlap w:val="never"/>
            <w:tblW w:w="10733" w:type="dxa"/>
            <w:tblInd w:w="20" w:type="dxa"/>
            <w:tblBorders>
              <w:bottom w:val="double" w:sz="6" w:space="0" w:color="000000"/>
            </w:tblBorders>
            <w:tblLayout w:type="fixed"/>
            <w:tblLook w:val="01E0"/>
          </w:tblPr>
          <w:tblGrid>
            <w:gridCol w:w="1693"/>
            <w:gridCol w:w="7346"/>
            <w:gridCol w:w="1694"/>
          </w:tblGrid>
          <w:tr>
            <w:tblPrEx>
              <w:tblW w:w="10733" w:type="dxa"/>
              <w:tblInd w:w="20" w:type="dxa"/>
              <w:tblBorders>
                <w:bottom w:val="double" w:sz="6" w:space="0" w:color="000000"/>
              </w:tblBorders>
              <w:tblLayout w:type="fixed"/>
              <w:tblLook w:val="01E0"/>
            </w:tblPrEx>
            <w:tc>
              <w:tcPr>
                <w:tcW w:w="1700" w:type="dxa"/>
                <w:noWrap w:val="0"/>
                <w:tcMar>
                  <w:top w:w="0" w:type="dxa"/>
                  <w:left w:w="0" w:type="dxa"/>
                  <w:bottom w:w="0" w:type="dxa"/>
                  <w:right w:w="0" w:type="dxa"/>
                </w:tcMar>
                <w:vAlign w:val="top"/>
              </w:tcPr>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049" type="#_x0000_t75" style="width:45pt;height:60pt">
                      <v:imagedata r:id="rId1" o:title=""/>
                    </v:shape>
                  </w:pict>
                </w:r>
              </w:p>
            </w:tc>
            <w:tc>
              <w:tcPr>
                <w:tcW w:w="7373" w:type="dxa"/>
                <w:noWrap w:val="0"/>
                <w:tcMar>
                  <w:top w:w="0" w:type="dxa"/>
                  <w:left w:w="0" w:type="dxa"/>
                  <w:bottom w:w="0" w:type="dxa"/>
                  <w:right w:w="0" w:type="dxa"/>
                </w:tcMar>
                <w:vAlign w:val="top"/>
              </w:tcPr>
              <w:p>
                <w:pPr>
                  <w:bidi w:val="0"/>
                  <w:jc w:val="center"/>
                  <w:rPr>
                    <w:rFonts w:ascii="Arial" w:eastAsia="Arial" w:hAnsi="Arial" w:cs="Arial"/>
                    <w:b/>
                    <w:bCs/>
                    <w:color w:val="000000"/>
                    <w:spacing w:val="0"/>
                    <w:sz w:val="22"/>
                    <w:szCs w:val="22"/>
                  </w:rPr>
                </w:pPr>
                <w:r>
                  <w:rPr>
                    <w:rFonts w:ascii="Arial" w:eastAsia="Arial" w:hAnsi="Arial" w:cs="Arial"/>
                    <w:b/>
                    <w:bCs/>
                    <w:color w:val="000000"/>
                    <w:spacing w:val="0"/>
                    <w:sz w:val="22"/>
                    <w:szCs w:val="22"/>
                  </w:rPr>
                  <w:t>FUNDO MUNICIPAL DE SAUDE</w:t>
                </w:r>
              </w:p>
              <w:p>
                <w:pPr>
                  <w:bidi w:val="0"/>
                  <w:jc w:val="center"/>
                  <w:rPr>
                    <w:rFonts w:ascii="Arial" w:eastAsia="Arial" w:hAnsi="Arial" w:cs="Arial"/>
                    <w:color w:val="000000"/>
                    <w:spacing w:val="0"/>
                    <w:sz w:val="20"/>
                    <w:szCs w:val="20"/>
                  </w:rPr>
                </w:pPr>
                <w:r>
                  <w:rPr>
                    <w:rFonts w:ascii="Arial" w:eastAsia="Arial" w:hAnsi="Arial" w:cs="Arial"/>
                    <w:color w:val="000000"/>
                    <w:spacing w:val="0"/>
                    <w:sz w:val="20"/>
                    <w:szCs w:val="20"/>
                  </w:rPr>
                  <w:t>Compras e Contratos</w:t>
                </w:r>
              </w:p>
              <w:p>
                <w:pPr>
                  <w:bidi w:val="0"/>
                  <w:jc w:val="center"/>
                  <w:rPr>
                    <w:rFonts w:ascii="Arial" w:eastAsia="Arial" w:hAnsi="Arial" w:cs="Arial"/>
                    <w:color w:val="000000"/>
                    <w:spacing w:val="0"/>
                    <w:sz w:val="20"/>
                    <w:szCs w:val="20"/>
                  </w:rPr>
                </w:pPr>
                <w:r>
                  <w:rPr>
                    <w:rFonts w:ascii="Arial" w:eastAsia="Arial" w:hAnsi="Arial" w:cs="Arial"/>
                    <w:color w:val="000000"/>
                    <w:spacing w:val="0"/>
                    <w:sz w:val="20"/>
                    <w:szCs w:val="20"/>
                  </w:rPr>
                  <w:t>Impressão Ata de Registro de Preços - Nova Lei - Fundo de Saúde</w:t>
                </w:r>
              </w:p>
              <w:tbl>
                <w:tblPr>
                  <w:tblStyle w:val="TableNormal"/>
                  <w:tblOverlap w:val="never"/>
                  <w:tblW w:w="7373" w:type="dxa"/>
                  <w:jc w:val="center"/>
                  <w:tblInd w:w="0" w:type="dxa"/>
                  <w:tblLayout w:type="fixed"/>
                  <w:tblCellMar>
                    <w:top w:w="0" w:type="dxa"/>
                    <w:left w:w="0" w:type="dxa"/>
                    <w:bottom w:w="0" w:type="dxa"/>
                    <w:right w:w="0" w:type="dxa"/>
                  </w:tblCellMar>
                  <w:tblLook w:val="01E0"/>
                </w:tblPr>
                <w:tblGrid>
                  <w:gridCol w:w="7373"/>
                </w:tblGrid>
                <w:tr>
                  <w:tblPrEx>
                    <w:tblW w:w="7373" w:type="dxa"/>
                    <w:jc w:val="center"/>
                    <w:tblInd w:w="0" w:type="dxa"/>
                    <w:tblLayout w:type="fixed"/>
                    <w:tblCellMar>
                      <w:top w:w="0" w:type="dxa"/>
                      <w:left w:w="0" w:type="dxa"/>
                      <w:bottom w:w="0" w:type="dxa"/>
                      <w:right w:w="0" w:type="dxa"/>
                    </w:tblCellMar>
                    <w:tblLook w:val="01E0"/>
                  </w:tblPrEx>
                  <w:trPr>
                    <w:jc w:val="center"/>
                  </w:trPr>
                  <w:tc>
                    <w:tcPr>
                      <w:tcW w:w="7373" w:type="dxa"/>
                      <w:noWrap w:val="0"/>
                      <w:tcMar>
                        <w:top w:w="0" w:type="dxa"/>
                        <w:left w:w="0" w:type="dxa"/>
                        <w:bottom w:w="0" w:type="dxa"/>
                        <w:right w:w="0" w:type="dxa"/>
                      </w:tcMar>
                      <w:vAlign w:val="top"/>
                    </w:tcPr>
                    <w:p>
                      <w:pPr>
                        <w:bidi w:val="0"/>
                        <w:spacing w:before="0" w:after="0"/>
                        <w:jc w:val="center"/>
                      </w:pPr>
                      <w:r>
                        <w:rPr>
                          <w:rFonts w:ascii="Arial" w:eastAsia="Arial" w:hAnsi="Arial" w:cs="Arial"/>
                          <w:color w:val="000000"/>
                          <w:spacing w:val="0"/>
                          <w:sz w:val="16"/>
                          <w:szCs w:val="16"/>
                        </w:rPr>
                        <w:t>Ano Minuta: 2024 Número Minuta: 174 Entidade: 13139 Ano: 2024 Seq. Ata Registro de Preço: 200 Código Cliente: 13139 Sequência Ata: 200 Código Único: 39740277 Ata Única: 0</w:t>
                      </w:r>
                    </w:p>
                  </w:tc>
                </w:tr>
              </w:tbl>
              <w:p>
                <w:pPr>
                  <w:spacing w:line="1" w:lineRule="auto"/>
                </w:pPr>
              </w:p>
            </w:tc>
            <w:tc>
              <w:tcPr>
                <w:tcW w:w="1700" w:type="dxa"/>
                <w:noWrap w:val="0"/>
                <w:tcMar>
                  <w:top w:w="0" w:type="dxa"/>
                  <w:left w:w="0" w:type="dxa"/>
                  <w:bottom w:w="0" w:type="dxa"/>
                  <w:right w:w="0" w:type="dxa"/>
                </w:tcMar>
                <w:vAlign w:val="top"/>
              </w:tcPr>
              <w:p/>
              <w:tbl>
                <w:tblPr>
                  <w:tblStyle w:val="TableNormal"/>
                  <w:tblOverlap w:val="never"/>
                  <w:tblW w:w="1660" w:type="dxa"/>
                  <w:jc w:val="right"/>
                  <w:tblInd w:w="20" w:type="dxa"/>
                  <w:tblLayout w:type="fixed"/>
                  <w:tblLook w:val="01E0"/>
                </w:tblPr>
                <w:tblGrid>
                  <w:gridCol w:w="557"/>
                  <w:gridCol w:w="412"/>
                  <w:gridCol w:w="278"/>
                  <w:gridCol w:w="413"/>
                </w:tblGrid>
                <w:tr>
                  <w:tblPrEx>
                    <w:tblW w:w="1660" w:type="dxa"/>
                    <w:jc w:val="right"/>
                    <w:tblInd w:w="20" w:type="dxa"/>
                    <w:tblLayout w:type="fixed"/>
                    <w:tblLook w:val="01E0"/>
                  </w:tblPrEx>
                  <w:trPr>
                    <w:jc w:val="right"/>
                  </w:trPr>
                  <w:tc>
                    <w:tcPr>
                      <w:tcW w:w="570" w:type="dxa"/>
                      <w:noWrap w:val="0"/>
                      <w:tcMar>
                        <w:top w:w="0" w:type="dxa"/>
                        <w:left w:w="0" w:type="dxa"/>
                        <w:bottom w:w="0" w:type="dxa"/>
                        <w:right w:w="0" w:type="dxa"/>
                      </w:tcMar>
                      <w:vAlign w:val="top"/>
                    </w:tcPr>
                    <w:p>
                      <w:pPr>
                        <w:bidi w:val="0"/>
                        <w:jc w:val="right"/>
                        <w:rPr>
                          <w:rFonts w:ascii="Arial" w:eastAsia="Arial" w:hAnsi="Arial" w:cs="Arial"/>
                          <w:color w:val="000000"/>
                          <w:spacing w:val="0"/>
                          <w:sz w:val="14"/>
                          <w:szCs w:val="14"/>
                        </w:rPr>
                      </w:pPr>
                      <w:r>
                        <w:rPr>
                          <w:rFonts w:ascii="Arial" w:eastAsia="Arial" w:hAnsi="Arial" w:cs="Arial"/>
                          <w:color w:val="000000"/>
                          <w:spacing w:val="0"/>
                          <w:sz w:val="14"/>
                          <w:szCs w:val="14"/>
                        </w:rPr>
                        <w:t>Pág</w:t>
                      </w:r>
                    </w:p>
                  </w:tc>
                  <w:tc>
                    <w:tcPr>
                      <w:tcW w:w="422" w:type="dxa"/>
                      <w:noWrap w:val="0"/>
                      <w:tcMar>
                        <w:top w:w="0" w:type="dxa"/>
                        <w:left w:w="0" w:type="dxa"/>
                        <w:bottom w:w="0" w:type="dxa"/>
                        <w:right w:w="0" w:type="dxa"/>
                      </w:tcMar>
                      <w:vAlign w:val="top"/>
                    </w:tcPr>
                    <w:p>
                      <w:pPr>
                        <w:bidi w:val="0"/>
                        <w:jc w:val="right"/>
                        <w:rPr>
                          <w:rFonts w:ascii="Arial" w:eastAsia="Arial" w:hAnsi="Arial" w:cs="Arial"/>
                          <w:color w:val="000000"/>
                          <w:spacing w:val="0"/>
                          <w:sz w:val="14"/>
                          <w:szCs w:val="14"/>
                        </w:rPr>
                      </w:pPr>
                      <w:r>
                        <w:rPr>
                          <w:rFonts w:ascii="Arial" w:eastAsia="Arial" w:hAnsi="Arial" w:cs="Arial"/>
                        </w:rPr>
                        <w:fldChar w:fldCharType="begin"/>
                      </w:r>
                      <w:r>
                        <w:rPr>
                          <w:rFonts w:ascii="Arial" w:eastAsia="Arial" w:hAnsi="Arial" w:cs="Arial"/>
                          <w:color w:val="000000"/>
                          <w:spacing w:val="0"/>
                          <w:sz w:val="14"/>
                          <w:szCs w:val="14"/>
                        </w:rPr>
                        <w:instrText>PAGE</w:instrText>
                      </w:r>
                      <w:r>
                        <w:rPr>
                          <w:rFonts w:ascii="Arial" w:eastAsia="Arial" w:hAnsi="Arial" w:cs="Arial"/>
                        </w:rPr>
                        <w:fldChar w:fldCharType="separate"/>
                      </w:r>
                      <w:r>
                        <w:rPr>
                          <w:rFonts w:ascii="Arial" w:eastAsia="Arial" w:hAnsi="Arial" w:cs="Arial"/>
                        </w:rPr>
                        <w:fldChar w:fldCharType="end"/>
                      </w:r>
                    </w:p>
                  </w:tc>
                  <w:tc>
                    <w:tcPr>
                      <w:tcW w:w="285" w:type="dxa"/>
                      <w:noWrap w:val="0"/>
                      <w:tcMar>
                        <w:top w:w="0" w:type="dxa"/>
                        <w:left w:w="0" w:type="dxa"/>
                        <w:bottom w:w="0" w:type="dxa"/>
                        <w:right w:w="0" w:type="dxa"/>
                      </w:tcMar>
                      <w:vAlign w:val="top"/>
                    </w:tcPr>
                    <w:p>
                      <w:pPr>
                        <w:bidi w:val="0"/>
                        <w:jc w:val="center"/>
                        <w:rPr>
                          <w:rFonts w:ascii="Arial" w:eastAsia="Arial" w:hAnsi="Arial" w:cs="Arial"/>
                          <w:color w:val="000000"/>
                          <w:spacing w:val="0"/>
                          <w:sz w:val="14"/>
                          <w:szCs w:val="14"/>
                        </w:rPr>
                      </w:pPr>
                      <w:r>
                        <w:rPr>
                          <w:rFonts w:ascii="Arial" w:eastAsia="Arial" w:hAnsi="Arial" w:cs="Arial"/>
                          <w:color w:val="000000"/>
                          <w:spacing w:val="0"/>
                          <w:sz w:val="14"/>
                          <w:szCs w:val="14"/>
                        </w:rPr>
                        <w:t>/</w:t>
                      </w:r>
                    </w:p>
                  </w:tc>
                  <w:tc>
                    <w:tcPr>
                      <w:tcW w:w="423" w:type="dxa"/>
                      <w:noWrap w:val="0"/>
                      <w:tcMar>
                        <w:top w:w="0" w:type="dxa"/>
                        <w:left w:w="0" w:type="dxa"/>
                        <w:bottom w:w="0" w:type="dxa"/>
                        <w:right w:w="0" w:type="dxa"/>
                      </w:tcMar>
                      <w:vAlign w:val="top"/>
                    </w:tcPr>
                    <w:p>
                      <w:pPr>
                        <w:bidi w:val="0"/>
                        <w:jc w:val="left"/>
                        <w:rPr>
                          <w:rFonts w:ascii="Arial" w:eastAsia="Arial" w:hAnsi="Arial" w:cs="Arial"/>
                          <w:color w:val="000000"/>
                          <w:spacing w:val="0"/>
                          <w:sz w:val="14"/>
                          <w:szCs w:val="14"/>
                        </w:rPr>
                      </w:pPr>
                      <w:r>
                        <w:rPr>
                          <w:rFonts w:ascii="Arial" w:eastAsia="Arial" w:hAnsi="Arial" w:cs="Arial"/>
                        </w:rPr>
                        <w:fldChar w:fldCharType="begin"/>
                      </w:r>
                      <w:r>
                        <w:rPr>
                          <w:rFonts w:ascii="Arial" w:eastAsia="Arial" w:hAnsi="Arial" w:cs="Arial"/>
                          <w:color w:val="000000"/>
                          <w:spacing w:val="0"/>
                          <w:sz w:val="14"/>
                          <w:szCs w:val="14"/>
                        </w:rPr>
                        <w:instrText>NUMPAGES</w:instrText>
                      </w:r>
                      <w:r>
                        <w:rPr>
                          <w:rFonts w:ascii="Arial" w:eastAsia="Arial" w:hAnsi="Arial" w:cs="Arial"/>
                        </w:rPr>
                        <w:fldChar w:fldCharType="separate"/>
                      </w:r>
                      <w:r>
                        <w:rPr>
                          <w:rFonts w:ascii="Arial" w:eastAsia="Arial" w:hAnsi="Arial" w:cs="Arial"/>
                        </w:rPr>
                        <w:fldChar w:fldCharType="end"/>
                      </w:r>
                    </w:p>
                  </w:tc>
                </w:tr>
              </w:tbl>
              <w:p>
                <w:pPr>
                  <w:spacing w:line="1" w:lineRule="auto"/>
                </w:pPr>
              </w:p>
            </w:tc>
          </w:tr>
        </w:tbl>
        <w:p>
          <w:pPr>
            <w:spacing w:line="1" w:lineRule="auto"/>
          </w:pPr>
        </w:p>
      </w:tc>
    </w:tr>
  </w:tbl>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noPunctuationKerning/>
  <w:characterSpacingControl w:val="doNotCompress"/>
  <w:compat>
    <w:doNotBreakWrappedTables/>
    <w:doNotSnapToGridInCell/>
    <w:doNotWrapTextWithPunct/>
    <w:doNotUseEastAsianBreakRules/>
    <w:growAutofit/>
    <w:doNotUseIndentAsNumberingTabStop/>
    <w:autofitToFirstFixedWidthCell/>
    <w:splitPgBreakAndParaMark/>
    <w:doNotVertAlignCellWithSp/>
    <w:doNotVertAlignInTxbx/>
  </w:compat>
  <w:rsids>
    <w:rsidRoot w:val="00000000"/>
  </w:rsid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paragraph" w:styleId="TOC4">
    <w:name w:val="toc 4"/>
    <w:autoRedefine/>
    <w:semiHidden/>
    <w:rsid w:val="009B3C8F"/>
    <w:pPr>
      <w:bidi w:val="0"/>
    </w:pPr>
  </w:style>
  <w:style w:type="character" w:styleId="Hyperlink">
    <w:name w:val="Hyperlink"/>
    <w:rPr>
      <w:color w:val="0000FF"/>
      <w:u w:val="singl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