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ATA DE REGISTRO DE PREÇOS Nº 21 / 2025</w:t>
                  </w:r>
                </w:p>
                <w:p>
                  <w:pPr>
                    <w:bidi w:val="0"/>
                    <w:spacing w:before="0" w:after="0"/>
                    <w:jc w:val="center"/>
                  </w:pPr>
                </w:p>
                <w:p>
                  <w:pPr>
                    <w:bidi w:val="0"/>
                    <w:spacing w:before="0" w:after="0"/>
                    <w:jc w:val="center"/>
                  </w:pPr>
                  <w:r>
                    <w:rPr>
                      <w:rFonts w:ascii="Arial" w:eastAsia="Arial" w:hAnsi="Arial" w:cs="Arial"/>
                      <w:b/>
                      <w:bCs/>
                      <w:color w:val="000000"/>
                      <w:spacing w:val="0"/>
                      <w:sz w:val="16"/>
                      <w:szCs w:val="16"/>
                    </w:rPr>
                    <w:t>Pregão Eletrônico Nº 3 / 2025</w:t>
                  </w:r>
                </w:p>
                <w:p>
                  <w:pPr>
                    <w:bidi w:val="0"/>
                    <w:spacing w:before="0" w:after="0"/>
                    <w:jc w:val="both"/>
                  </w:pP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Aos cinco dias do mês de fevereiro do ano de 2025 o </w:t>
                  </w:r>
                  <w:r>
                    <w:rPr>
                      <w:rFonts w:ascii="Arial" w:eastAsia="Arial" w:hAnsi="Arial" w:cs="Arial"/>
                      <w:b/>
                      <w:bCs/>
                      <w:color w:val="000000"/>
                      <w:spacing w:val="0"/>
                      <w:sz w:val="16"/>
                      <w:szCs w:val="16"/>
                    </w:rPr>
                    <w:t>MUNICÍPIO DE PALHOÇA</w:t>
                  </w:r>
                  <w:r>
                    <w:rPr>
                      <w:rFonts w:ascii="Arial" w:eastAsia="Arial" w:hAnsi="Arial" w:cs="Arial"/>
                      <w:color w:val="000000"/>
                      <w:spacing w:val="0"/>
                      <w:sz w:val="16"/>
                      <w:szCs w:val="16"/>
                    </w:rPr>
                    <w:t xml:space="preserve">, através do </w:t>
                  </w:r>
                  <w:r>
                    <w:rPr>
                      <w:rFonts w:ascii="Arial" w:eastAsia="Arial" w:hAnsi="Arial" w:cs="Arial"/>
                      <w:b/>
                      <w:bCs/>
                      <w:color w:val="000000"/>
                      <w:spacing w:val="0"/>
                      <w:sz w:val="16"/>
                      <w:szCs w:val="16"/>
                    </w:rPr>
                    <w:t>FUNDO MUNICIPAL DE SAUDE</w:t>
                  </w:r>
                  <w:r>
                    <w:rPr>
                      <w:rFonts w:ascii="Arial" w:eastAsia="Arial" w:hAnsi="Arial" w:cs="Arial"/>
                      <w:color w:val="000000"/>
                      <w:spacing w:val="0"/>
                      <w:sz w:val="16"/>
                      <w:szCs w:val="16"/>
                    </w:rPr>
                    <w:t>, pessoa jurídica de direito público, situado na HILZA TEREZINHA PAGANI, Nº 280, PASSA VINTE - Palhoça CEP: 88.130-101, inscrito no CNPJ Nº. 12.092.636/0001-90, abaixo assinado, nos termos da Lei Federal nº. 14.133/2021 e alterações e das demais normas legais aplicáveis, em face da classificação das propostas apresentadas no Pregão do SISTEMA DE REGISTRO DE PREÇOS Nº. 3 / 2025, RESOLVE registrar os valores oferecidos, conforme consta no Edital do(a) Pregão e seus anexos, que passa a fazer parte desta Ata, tendo sido, os referidos valores, oferecidos pelas empresas cujas propostas foram classificadas no certame. Presentes às empresas e seus representantes:</w:t>
                  </w:r>
                </w:p>
                <w:p>
                  <w:pPr>
                    <w:bidi w:val="0"/>
                    <w:spacing w:before="0" w:after="0"/>
                    <w:jc w:val="both"/>
                  </w:pP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 – DO OBJETO</w:t>
                  </w:r>
                </w:p>
                <w:p>
                  <w:pPr>
                    <w:bidi w:val="0"/>
                    <w:spacing w:before="0" w:after="0"/>
                    <w:jc w:val="both"/>
                  </w:pPr>
                </w:p>
                <w:p>
                  <w:pPr>
                    <w:bidi w:val="0"/>
                    <w:spacing w:before="0" w:after="0"/>
                    <w:jc w:val="both"/>
                  </w:pPr>
                  <w:r>
                    <w:rPr>
                      <w:rFonts w:ascii="Arial" w:eastAsia="Arial" w:hAnsi="Arial" w:cs="Arial"/>
                      <w:color w:val="000000"/>
                      <w:spacing w:val="0"/>
                      <w:sz w:val="16"/>
                      <w:szCs w:val="16"/>
                    </w:rPr>
                    <w:t>1. Aquisição de materiais de enfermagem consumo, teste de gravidez e pinça, para utilização nas Unidades de Saúde da Rede Municipal de Saúde de Palhoça. Pelo Sistema de Registro de Preços, com entrega de forma parcelada., através do Sistema de Registro de Preços, para uso do FUNDO MUNICIPAL DE SAUDE, de acordo com as especificações e quantitativos abaixo estimados:</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1" w:name="__bookmark_3"/>
          <w:bookmarkEnd w:id="1"/>
          <w:p/>
          <w:tbl>
            <w:tblPr>
              <w:tblStyle w:val="TableNormal"/>
              <w:tblOverlap w:val="never"/>
              <w:tblW w:w="10673" w:type="dxa"/>
              <w:tblInd w:w="20" w:type="dxa"/>
              <w:tblLayout w:type="fixed"/>
              <w:tblLook w:val="01E0"/>
            </w:tblPr>
            <w:tblGrid>
              <w:gridCol w:w="793"/>
              <w:gridCol w:w="3431"/>
              <w:gridCol w:w="1006"/>
              <w:gridCol w:w="900"/>
              <w:gridCol w:w="1371"/>
              <w:gridCol w:w="1586"/>
              <w:gridCol w:w="1586"/>
            </w:tblGrid>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2" w:name="_TocDELTA SHOP - DISTRIBUIDORA DE PRODUT"/>
                  <w:bookmarkEnd w:id="2"/>
                  <w:r>
                    <w:fldChar w:fldCharType="begin"/>
                  </w:r>
                  <w:r>
                    <w:instrText xml:space="preserve"> TC "DELTA SHOP - DISTRIBUIDORA DE PRODUTOS HOSPITALARES LTDA" \f C \l "1"</w:instrText>
                  </w:r>
                  <w:r>
                    <w:fldChar w:fldCharType="end"/>
                  </w:r>
                </w:p>
                <w:tbl>
                  <w:tblPr>
                    <w:tblStyle w:val="TableNormal"/>
                    <w:tblOverlap w:val="never"/>
                    <w:tblW w:w="10713" w:type="dxa"/>
                    <w:jc w:val="left"/>
                    <w:tblInd w:w="0" w:type="dxa"/>
                    <w:shd w:val="clear" w:color="auto" w:fill="E0E0E0"/>
                    <w:tblLayout w:type="fixed"/>
                    <w:tblCellMar>
                      <w:top w:w="0" w:type="dxa"/>
                      <w:left w:w="0" w:type="dxa"/>
                      <w:bottom w:w="0" w:type="dxa"/>
                      <w:right w:w="0" w:type="dxa"/>
                    </w:tblCellMar>
                    <w:tblLook w:val="01E0"/>
                  </w:tblPr>
                  <w:tblGrid>
                    <w:gridCol w:w="10713"/>
                  </w:tblGrid>
                  <w:tr>
                    <w:tblPrEx>
                      <w:tblW w:w="10713" w:type="dxa"/>
                      <w:jc w:val="left"/>
                      <w:tblInd w:w="0" w:type="dxa"/>
                      <w:shd w:val="clear" w:color="auto" w:fill="E0E0E0"/>
                      <w:tblLayout w:type="fixed"/>
                      <w:tblCellMar>
                        <w:top w:w="0" w:type="dxa"/>
                        <w:left w:w="0" w:type="dxa"/>
                        <w:bottom w:w="0" w:type="dxa"/>
                        <w:right w:w="0" w:type="dxa"/>
                      </w:tblCellMar>
                      <w:tblLook w:val="01E0"/>
                    </w:tblPrEx>
                    <w:trPr>
                      <w:jc w:val="left"/>
                    </w:trPr>
                    <w:tc>
                      <w:tcPr>
                        <w:tcW w:w="1071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DELTA SHOP - DISTRIBUIDORA DE PRODUTOS HOSPITALARES LTDA(19.316.524/0001-14)</w:t>
                        </w:r>
                      </w:p>
                    </w:tc>
                  </w:tr>
                </w:tbl>
                <w:p>
                  <w:pPr>
                    <w:spacing w:line="1" w:lineRule="auto"/>
                  </w:pPr>
                </w:p>
              </w:tc>
            </w:tr>
            <w:tr>
              <w:tblPrEx>
                <w:tblW w:w="10673" w:type="dxa"/>
                <w:tblInd w:w="20" w:type="dxa"/>
                <w:tblLayout w:type="fixed"/>
                <w:tblLook w:val="01E0"/>
              </w:tblPrEx>
              <w:trPr>
                <w:trHeight w:val="230"/>
              </w:trPr>
              <w:tc>
                <w:tcPr>
                  <w:tcW w:w="1071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713" w:type="dxa"/>
                    <w:jc w:val="left"/>
                    <w:tblInd w:w="0" w:type="dxa"/>
                    <w:tblLayout w:type="fixed"/>
                    <w:tblCellMar>
                      <w:top w:w="0" w:type="dxa"/>
                      <w:left w:w="0" w:type="dxa"/>
                      <w:bottom w:w="0" w:type="dxa"/>
                      <w:right w:w="0" w:type="dxa"/>
                    </w:tblCellMar>
                    <w:tblLook w:val="01E0"/>
                  </w:tblPr>
                  <w:tblGrid>
                    <w:gridCol w:w="10713"/>
                  </w:tblGrid>
                  <w:tr>
                    <w:tblPrEx>
                      <w:tblW w:w="10713" w:type="dxa"/>
                      <w:jc w:val="left"/>
                      <w:tblInd w:w="0" w:type="dxa"/>
                      <w:tblLayout w:type="fixed"/>
                      <w:tblCellMar>
                        <w:top w:w="0" w:type="dxa"/>
                        <w:left w:w="0" w:type="dxa"/>
                        <w:bottom w:w="0" w:type="dxa"/>
                        <w:right w:w="0" w:type="dxa"/>
                      </w:tblCellMar>
                      <w:tblLook w:val="01E0"/>
                    </w:tblPrEx>
                    <w:trPr>
                      <w:jc w:val="left"/>
                    </w:trPr>
                    <w:tc>
                      <w:tcPr>
                        <w:tcW w:w="1071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673" w:type="dxa"/>
                <w:tblInd w:w="20" w:type="dxa"/>
                <w:tblLayout w:type="fixed"/>
                <w:tblLook w:val="01E0"/>
              </w:tblPrEx>
              <w:tc>
                <w:tcPr>
                  <w:tcW w:w="79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44"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101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903"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76"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84"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673" w:type="dxa"/>
                <w:tblInd w:w="20" w:type="dxa"/>
                <w:tblLayout w:type="fixed"/>
                <w:tblLook w:val="01E0"/>
              </w:tblPrEx>
              <w:tc>
                <w:tcPr>
                  <w:tcW w:w="79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44"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010"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03"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76"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673" w:type="dxa"/>
                <w:tblInd w:w="20" w:type="dxa"/>
                <w:tblLayout w:type="fixed"/>
                <w:tblLook w:val="01E0"/>
              </w:tblPrEx>
              <w:tc>
                <w:tcPr>
                  <w:tcW w:w="79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w:t>
                  </w:r>
                </w:p>
              </w:tc>
              <w:tc>
                <w:tcPr>
                  <w:tcW w:w="344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Pinças Hartmann Jacaré, modelo reta, instrumental articulado não cortante, em aço inoxidável medindo 20 cm. Tratamento extra contra oxidação e acabamento de alta qualidade.</w:t>
                  </w:r>
                </w:p>
              </w:tc>
              <w:tc>
                <w:tcPr>
                  <w:tcW w:w="101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RICHARDS</w:t>
                  </w:r>
                </w:p>
              </w:tc>
              <w:tc>
                <w:tcPr>
                  <w:tcW w:w="90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w:t>
                  </w:r>
                </w:p>
              </w:tc>
              <w:tc>
                <w:tcPr>
                  <w:tcW w:w="137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30</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R$ 264,97</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R$ 7.949,10</w:t>
                  </w:r>
                </w:p>
              </w:tc>
            </w:tr>
            <w:tr>
              <w:tblPrEx>
                <w:tblW w:w="10673" w:type="dxa"/>
                <w:tblInd w:w="20" w:type="dxa"/>
                <w:tblLayout w:type="fixed"/>
                <w:tblLook w:val="01E0"/>
              </w:tblPrEx>
              <w:tc>
                <w:tcPr>
                  <w:tcW w:w="9121"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9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R$ 7.949,10</w:t>
                  </w:r>
                </w:p>
              </w:tc>
            </w:tr>
            <w:tr>
              <w:tblPrEx>
                <w:tblW w:w="10673" w:type="dxa"/>
                <w:tblInd w:w="20" w:type="dxa"/>
                <w:tblLayout w:type="fixed"/>
                <w:tblLook w:val="01E0"/>
              </w:tblPrEx>
              <w:tc>
                <w:tcPr>
                  <w:tcW w:w="912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9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R$ 7.949,10</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1.1. CONSUMO MÉDIO: O valor estimado para a citada aquisição é de R$ 7.949,10 (sete mil, novecentos e quarenta e nove reais e dez centavos).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 – DA VALIDADE, FORMALIZAÇÃO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2. A validade da Ata de Registro de Preços será de 1 (um) ano, contado a partir do primeiro dia útil subsequente à data de divulgação no PNCP, podendo ser prorrogada por igual período, mediante a anuência do fornecedor, desde que comprovado o preço vantajoso.</w:t>
                  </w:r>
                </w:p>
                <w:p>
                  <w:pPr>
                    <w:bidi w:val="0"/>
                    <w:spacing w:before="0" w:after="0"/>
                    <w:jc w:val="both"/>
                  </w:pPr>
                  <w:r>
                    <w:rPr>
                      <w:rFonts w:ascii="Arial" w:eastAsia="Arial" w:hAnsi="Arial" w:cs="Arial"/>
                      <w:color w:val="000000"/>
                      <w:spacing w:val="0"/>
                      <w:sz w:val="16"/>
                      <w:szCs w:val="16"/>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pPr>
                    <w:bidi w:val="0"/>
                    <w:spacing w:before="0" w:after="0"/>
                    <w:jc w:val="both"/>
                  </w:pPr>
                  <w:r>
                    <w:rPr>
                      <w:rFonts w:ascii="Arial" w:eastAsia="Arial" w:hAnsi="Arial" w:cs="Arial"/>
                      <w:color w:val="000000"/>
                      <w:spacing w:val="0"/>
                      <w:sz w:val="16"/>
                      <w:szCs w:val="16"/>
                    </w:rPr>
                    <w:t>2.1.1. Na formalização do contrato ou do instrumento substituto deverá haver a indicação da disponibilidade dos créditos orçamentários respectivos.</w:t>
                  </w:r>
                </w:p>
                <w:p>
                  <w:pPr>
                    <w:bidi w:val="0"/>
                    <w:spacing w:before="0" w:after="0"/>
                    <w:jc w:val="both"/>
                  </w:pPr>
                  <w:r>
                    <w:rPr>
                      <w:rFonts w:ascii="Arial" w:eastAsia="Arial" w:hAnsi="Arial" w:cs="Arial"/>
                      <w:color w:val="000000"/>
                      <w:spacing w:val="0"/>
                      <w:sz w:val="16"/>
                      <w:szCs w:val="16"/>
                    </w:rPr>
                    <w:t>2.2.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pPr>
                    <w:bidi w:val="0"/>
                    <w:spacing w:before="0" w:after="0"/>
                    <w:jc w:val="both"/>
                  </w:pPr>
                  <w:r>
                    <w:rPr>
                      <w:rFonts w:ascii="Arial" w:eastAsia="Arial" w:hAnsi="Arial" w:cs="Arial"/>
                      <w:color w:val="000000"/>
                      <w:spacing w:val="0"/>
                      <w:sz w:val="16"/>
                      <w:szCs w:val="16"/>
                    </w:rPr>
                    <w:t>2.2.1. O instrumento contratual de que trata o item 2 deverá ser assinado no prazo de validade da ata de registro de preços.</w:t>
                  </w:r>
                </w:p>
                <w:p>
                  <w:pPr>
                    <w:bidi w:val="0"/>
                    <w:spacing w:before="0" w:after="0"/>
                    <w:jc w:val="both"/>
                  </w:pPr>
                  <w:r>
                    <w:rPr>
                      <w:rFonts w:ascii="Arial" w:eastAsia="Arial" w:hAnsi="Arial" w:cs="Arial"/>
                      <w:color w:val="000000"/>
                      <w:spacing w:val="0"/>
                      <w:sz w:val="16"/>
                      <w:szCs w:val="16"/>
                    </w:rPr>
                    <w:t>2.3. Os contratos decorrentes do sistema de registro de preços poderão ser alterados, observado o art. 124 da Lei nº 14.133, de 2021.</w:t>
                  </w:r>
                </w:p>
                <w:p>
                  <w:pPr>
                    <w:bidi w:val="0"/>
                    <w:spacing w:before="0" w:after="0"/>
                    <w:jc w:val="both"/>
                  </w:pPr>
                  <w:r>
                    <w:rPr>
                      <w:rFonts w:ascii="Arial" w:eastAsia="Arial" w:hAnsi="Arial" w:cs="Arial"/>
                      <w:color w:val="000000"/>
                      <w:spacing w:val="0"/>
                      <w:sz w:val="16"/>
                      <w:szCs w:val="16"/>
                    </w:rPr>
                    <w:t>2.4. Após a homologação da licitação ou da contratação direta, deverão ser observadas as seguintes condições para formalização da ata de registro de preços:</w:t>
                  </w:r>
                </w:p>
                <w:p>
                  <w:pPr>
                    <w:bidi w:val="0"/>
                    <w:spacing w:before="0" w:after="0"/>
                    <w:jc w:val="both"/>
                  </w:pPr>
                  <w:r>
                    <w:rPr>
                      <w:rFonts w:ascii="Arial" w:eastAsia="Arial" w:hAnsi="Arial" w:cs="Arial"/>
                      <w:color w:val="000000"/>
                      <w:spacing w:val="0"/>
                      <w:sz w:val="16"/>
                      <w:szCs w:val="16"/>
                    </w:rPr>
                    <w:t>2.4.1.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pPr>
                    <w:bidi w:val="0"/>
                    <w:spacing w:before="0" w:after="0"/>
                    <w:jc w:val="both"/>
                  </w:pPr>
                  <w:r>
                    <w:rPr>
                      <w:rFonts w:ascii="Arial" w:eastAsia="Arial" w:hAnsi="Arial" w:cs="Arial"/>
                      <w:color w:val="000000"/>
                      <w:spacing w:val="0"/>
                      <w:sz w:val="16"/>
                      <w:szCs w:val="16"/>
                    </w:rPr>
                    <w:t>2.5. O preço registrado com indicação dos licitantes e fornecedores será divulgado no PNCP e ficará disponibilizado durante a vigência da ata de registro de preços.</w:t>
                  </w:r>
                </w:p>
                <w:p>
                  <w:pPr>
                    <w:bidi w:val="0"/>
                    <w:spacing w:before="0" w:after="0"/>
                    <w:jc w:val="both"/>
                  </w:pPr>
                  <w:r>
                    <w:rPr>
                      <w:rFonts w:ascii="Arial" w:eastAsia="Arial" w:hAnsi="Arial" w:cs="Arial"/>
                      <w:color w:val="000000"/>
                      <w:spacing w:val="0"/>
                      <w:sz w:val="16"/>
                      <w:szCs w:val="16"/>
                    </w:rPr>
                    <w:t>2.6.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pPr>
                    <w:bidi w:val="0"/>
                    <w:spacing w:before="0" w:after="0"/>
                    <w:jc w:val="both"/>
                  </w:pPr>
                  <w:r>
                    <w:rPr>
                      <w:rFonts w:ascii="Arial" w:eastAsia="Arial" w:hAnsi="Arial" w:cs="Arial"/>
                      <w:color w:val="000000"/>
                      <w:spacing w:val="0"/>
                      <w:sz w:val="16"/>
                      <w:szCs w:val="16"/>
                    </w:rPr>
                    <w:t>2.6.1. O prazo de convocação poderá ser prorrogado 1 (uma) vez, por igual período, mediante solicitação do licitante ou fornecedor convocado, desde que apresentada dentro do prazo, devidamente justificada, e que a justificativa seja aceita pela Administração.</w:t>
                  </w:r>
                </w:p>
                <w:p>
                  <w:pPr>
                    <w:bidi w:val="0"/>
                    <w:spacing w:before="0" w:after="0"/>
                    <w:jc w:val="both"/>
                  </w:pPr>
                  <w:r>
                    <w:rPr>
                      <w:rFonts w:ascii="Arial" w:eastAsia="Arial" w:hAnsi="Arial" w:cs="Arial"/>
                      <w:color w:val="000000"/>
                      <w:spacing w:val="0"/>
                      <w:sz w:val="16"/>
                      <w:szCs w:val="16"/>
                    </w:rPr>
                    <w:t>2.7. A ata de registro de preços será assinada por meio de assinatura digital e disponibilizada no Portal do Município.</w:t>
                  </w:r>
                </w:p>
                <w:p>
                  <w:pPr>
                    <w:bidi w:val="0"/>
                    <w:spacing w:before="0" w:after="0"/>
                    <w:jc w:val="both"/>
                  </w:pPr>
                  <w:r>
                    <w:rPr>
                      <w:rFonts w:ascii="Arial" w:eastAsia="Arial" w:hAnsi="Arial" w:cs="Arial"/>
                      <w:color w:val="000000"/>
                      <w:spacing w:val="0"/>
                      <w:sz w:val="16"/>
                      <w:szCs w:val="16"/>
                    </w:rPr>
                    <w:t>2.8. Quando o convocado não assinar a ata de registro de preços no prazo e nas condições estabelecidos no edital ou no aviso de contratação, fica facultado à Administração convocar os licitantes remanescentes, na ordem de classificação, para fazê-lo, observados o valor estimado e sua eventual atualização nos termos do edital ou do aviso de contratação direta, poderá:</w:t>
                  </w:r>
                </w:p>
                <w:p>
                  <w:pPr>
                    <w:bidi w:val="0"/>
                    <w:spacing w:before="0" w:after="0"/>
                    <w:jc w:val="both"/>
                  </w:pPr>
                  <w:r>
                    <w:rPr>
                      <w:rFonts w:ascii="Arial" w:eastAsia="Arial" w:hAnsi="Arial" w:cs="Arial"/>
                      <w:color w:val="000000"/>
                      <w:spacing w:val="0"/>
                      <w:sz w:val="16"/>
                      <w:szCs w:val="16"/>
                    </w:rPr>
                    <w:t>2.8.1. Convocar para negociação os demais licitantes ou fornecedores remanescentes cujos preços foram registrados, observada a ordem de classificação, com vistas à obtenção de preço melhor, mesmo que acima do preço do adjudicatário; ou</w:t>
                  </w:r>
                </w:p>
                <w:p>
                  <w:pPr>
                    <w:bidi w:val="0"/>
                    <w:spacing w:before="0" w:after="0"/>
                    <w:jc w:val="both"/>
                  </w:pPr>
                  <w:r>
                    <w:rPr>
                      <w:rFonts w:ascii="Arial" w:eastAsia="Arial" w:hAnsi="Arial" w:cs="Arial"/>
                      <w:color w:val="000000"/>
                      <w:spacing w:val="0"/>
                      <w:sz w:val="16"/>
                      <w:szCs w:val="16"/>
                    </w:rPr>
                    <w:t>2.8.2. Adjudicar e firmar o contrato nas condições ofertadas pelos licitantes ou fornecedores remanescentes, atendida a ordem classificatória, quando frustrada a negociação de melhor condição.</w:t>
                  </w:r>
                </w:p>
                <w:p>
                  <w:pPr>
                    <w:bidi w:val="0"/>
                    <w:spacing w:before="0" w:after="0"/>
                    <w:jc w:val="both"/>
                  </w:pPr>
                  <w:r>
                    <w:rPr>
                      <w:rFonts w:ascii="Arial" w:eastAsia="Arial" w:hAnsi="Arial" w:cs="Arial"/>
                      <w:color w:val="000000"/>
                      <w:spacing w:val="0"/>
                      <w:sz w:val="16"/>
                      <w:szCs w:val="16"/>
                    </w:rPr>
                    <w:t>2.9.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III – DA UTILIZAÇÃO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3. A presente Ata de Registro de Preços será usado pelo FUNDO MUNICIPAL DE SAUDE, que será o órgão gerenciador da presente Ata de Registro de Preços.</w:t>
                  </w:r>
                </w:p>
                <w:p>
                  <w:pPr>
                    <w:bidi w:val="0"/>
                    <w:spacing w:before="0" w:after="0"/>
                    <w:jc w:val="both"/>
                  </w:pPr>
                  <w:r>
                    <w:rPr>
                      <w:rFonts w:ascii="Arial" w:eastAsia="Arial" w:hAnsi="Arial" w:cs="Arial"/>
                      <w:color w:val="000000"/>
                      <w:spacing w:val="0"/>
                      <w:sz w:val="16"/>
                      <w:szCs w:val="16"/>
                    </w:rPr>
                    <w:t>3.1. O valor ofertado pelas empresas signatárias da presente Ata de Registro de Preços é o relacionado na Cláusula Primeira, de acordo com a respectiva classificação no Pregão Nº. 3 / 2025.</w:t>
                  </w:r>
                </w:p>
                <w:p>
                  <w:pPr>
                    <w:bidi w:val="0"/>
                    <w:spacing w:before="0" w:after="0"/>
                    <w:jc w:val="both"/>
                  </w:pPr>
                  <w:r>
                    <w:rPr>
                      <w:rFonts w:ascii="Arial" w:eastAsia="Arial" w:hAnsi="Arial" w:cs="Arial"/>
                      <w:color w:val="000000"/>
                      <w:spacing w:val="0"/>
                      <w:sz w:val="16"/>
                      <w:szCs w:val="16"/>
                    </w:rPr>
                    <w:t xml:space="preserve"> 3.2. Em cada fornecimento de produtos/prestação de serviço(s) decorrente desta Ata, serão observadas as cláusulas e condições constantes do Edital de Pregão Nº. 3 / 2025 e seus Anexos, que a precederam e integram o presente instrumento de compromisso.</w:t>
                  </w:r>
                </w:p>
                <w:p>
                  <w:pPr>
                    <w:bidi w:val="0"/>
                    <w:spacing w:before="0" w:after="0"/>
                    <w:jc w:val="both"/>
                  </w:pPr>
                  <w:r>
                    <w:rPr>
                      <w:rFonts w:ascii="Arial" w:eastAsia="Arial" w:hAnsi="Arial" w:cs="Arial"/>
                      <w:color w:val="000000"/>
                      <w:spacing w:val="0"/>
                      <w:sz w:val="16"/>
                      <w:szCs w:val="16"/>
                    </w:rPr>
                    <w:t>3.3. Não será admitida a adesão à ata de registro de preços decorrente desta licitação ou desta contratação direta.</w:t>
                  </w:r>
                </w:p>
                <w:p>
                  <w:pPr>
                    <w:bidi w:val="0"/>
                    <w:spacing w:before="0" w:after="0"/>
                    <w:jc w:val="both"/>
                  </w:pPr>
                  <w:r>
                    <w:rPr>
                      <w:rFonts w:ascii="Arial" w:eastAsia="Arial" w:hAnsi="Arial" w:cs="Arial"/>
                      <w:color w:val="000000"/>
                      <w:spacing w:val="0"/>
                      <w:sz w:val="16"/>
                      <w:szCs w:val="16"/>
                    </w:rPr>
                    <w:t>3.4. É vedado efetuar acréscimos nos quantitativos fixados na ata de registro de preços.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IV – DO PAGAMENTO</w:t>
                  </w:r>
                </w:p>
                <w:p>
                  <w:pPr>
                    <w:bidi w:val="0"/>
                    <w:spacing w:before="0" w:after="0"/>
                    <w:jc w:val="both"/>
                  </w:pPr>
                </w:p>
                <w:p>
                  <w:pPr>
                    <w:bidi w:val="0"/>
                    <w:spacing w:before="0" w:after="0"/>
                    <w:jc w:val="both"/>
                  </w:pPr>
                  <w:r>
                    <w:rPr>
                      <w:rFonts w:ascii="Arial" w:eastAsia="Arial" w:hAnsi="Arial" w:cs="Arial"/>
                      <w:color w:val="000000"/>
                      <w:spacing w:val="0"/>
                      <w:sz w:val="16"/>
                      <w:szCs w:val="16"/>
                    </w:rPr>
                    <w:t>4. Do Recurso Financeiro - As despesas decorrentes da presente ata serão efetuadas à conta do seguinte recurso financeiro:</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3" w:name="__bookmark_4"/>
          <w:bookmarkEnd w:id="3"/>
          <w:p/>
          <w:tbl>
            <w:tblPr>
              <w:tblStyle w:val="TableNormal"/>
              <w:tblOverlap w:val="never"/>
              <w:tblW w:w="10679" w:type="dxa"/>
              <w:tblInd w:w="20" w:type="dxa"/>
              <w:tblLayout w:type="fixed"/>
              <w:tblLook w:val="01E0"/>
            </w:tblPr>
            <w:tblGrid>
              <w:gridCol w:w="961"/>
              <w:gridCol w:w="961"/>
              <w:gridCol w:w="960"/>
              <w:gridCol w:w="960"/>
              <w:gridCol w:w="4275"/>
              <w:gridCol w:w="2562"/>
            </w:tblGrid>
            <w:tr>
              <w:tblPrEx>
                <w:tblW w:w="10679" w:type="dxa"/>
                <w:tblInd w:w="20" w:type="dxa"/>
                <w:tblLayout w:type="fixed"/>
                <w:tblLook w:val="01E0"/>
              </w:tblPrEx>
              <w:trPr>
                <w:trHeight w:val="184"/>
                <w:tblHeader w:val="0"/>
              </w:trPr>
              <w:tc>
                <w:tcPr>
                  <w:tcW w:w="10719"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679" w:type="dxa"/>
                <w:tblInd w:w="20" w:type="dxa"/>
                <w:tblLayout w:type="fixed"/>
                <w:tblLook w:val="01E0"/>
              </w:tblPrEx>
              <w:trPr>
                <w:tblHeader w:val="0"/>
              </w:trPr>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64"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91"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72" w:type="dxa"/>
                  <w:tcBorders>
                    <w:top w:val="single" w:sz="6" w:space="0" w:color="000000"/>
                    <w:left w:val="single" w:sz="6" w:space="0" w:color="000000"/>
                    <w:bottom w:val="single" w:sz="6" w:space="0" w:color="000000"/>
                    <w:right w:val="single" w:sz="6" w:space="0" w:color="000000"/>
                  </w:tcBorders>
                  <w:shd w:val="clear" w:color="auto" w:fill="E2E2E2"/>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r>
              <w:tblPrEx>
                <w:tblW w:w="10679" w:type="dxa"/>
                <w:tblInd w:w="20" w:type="dxa"/>
                <w:tblLayout w:type="fixed"/>
                <w:tblLook w:val="01E0"/>
              </w:tblPrEx>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171</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14</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1023</w:t>
                  </w:r>
                </w:p>
              </w:tc>
              <w:tc>
                <w:tcPr>
                  <w:tcW w:w="42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3449051910000000000</w:t>
                  </w:r>
                </w:p>
              </w:tc>
              <w:tc>
                <w:tcPr>
                  <w:tcW w:w="257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175470000201</w:t>
                  </w:r>
                </w:p>
              </w:tc>
            </w:tr>
            <w:tr>
              <w:tblPrEx>
                <w:tblW w:w="10679" w:type="dxa"/>
                <w:tblInd w:w="20" w:type="dxa"/>
                <w:tblLayout w:type="fixed"/>
                <w:tblLook w:val="01E0"/>
              </w:tblPrEx>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736</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14</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6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1023</w:t>
                  </w:r>
                </w:p>
              </w:tc>
              <w:tc>
                <w:tcPr>
                  <w:tcW w:w="42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3449051910000000000</w:t>
                  </w:r>
                </w:p>
              </w:tc>
              <w:tc>
                <w:tcPr>
                  <w:tcW w:w="257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250070000142</w:t>
                  </w:r>
                </w:p>
              </w:tc>
            </w:tr>
          </w:tbl>
          <w:p>
            <w:pPr>
              <w:spacing w:line="1" w:lineRule="auto"/>
            </w:pPr>
          </w:p>
        </w:tc>
      </w:tr>
      <w:tr>
        <w:tblPrEx>
          <w:tblW w:w="10733" w:type="dxa"/>
          <w:tblInd w:w="20" w:type="dxa"/>
          <w:tblLayout w:type="fixed"/>
          <w:tblLook w:val="01E0"/>
        </w:tblPrEx>
        <w:trPr>
          <w:trHeight w:hRule="exact" w:val="11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jc w:val="left"/>
              <w:tblInd w:w="0" w:type="dxa"/>
              <w:tblLayout w:type="fixed"/>
              <w:tblCellMar>
                <w:top w:w="0" w:type="dxa"/>
                <w:left w:w="0" w:type="dxa"/>
                <w:bottom w:w="0" w:type="dxa"/>
                <w:right w:w="0" w:type="dxa"/>
              </w:tblCellMar>
              <w:tblLook w:val="01E0"/>
            </w:tblPr>
            <w:tblGrid>
              <w:gridCol w:w="10773"/>
            </w:tblGrid>
            <w:tr>
              <w:tblPrEx>
                <w:tblW w:w="10773" w:type="dxa"/>
                <w:jc w:val="left"/>
                <w:tblInd w:w="0" w:type="dxa"/>
                <w:tblLayout w:type="fixed"/>
                <w:tblCellMar>
                  <w:top w:w="0" w:type="dxa"/>
                  <w:left w:w="0" w:type="dxa"/>
                  <w:bottom w:w="0" w:type="dxa"/>
                  <w:right w:w="0" w:type="dxa"/>
                </w:tblCellMar>
                <w:tblLook w:val="01E0"/>
              </w:tblPrEx>
              <w:trPr>
                <w:jc w:val="left"/>
              </w:trPr>
              <w:tc>
                <w:tcPr>
                  <w:tcW w:w="1077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CLÁUSULA V – DAS CONDIÇÕES DE FORNECIMENTO, LOCAL E PRAZO DE ENTREGA</w:t>
                  </w:r>
                </w:p>
                <w:p>
                  <w:pPr>
                    <w:bidi w:val="0"/>
                    <w:spacing w:before="0" w:after="0"/>
                    <w:jc w:val="both"/>
                  </w:pPr>
                </w:p>
                <w:p>
                  <w:pPr>
                    <w:bidi w:val="0"/>
                    <w:spacing w:before="0" w:after="0"/>
                    <w:jc w:val="both"/>
                  </w:pPr>
                  <w:r>
                    <w:rPr>
                      <w:rFonts w:ascii="Arial" w:eastAsia="Arial" w:hAnsi="Arial" w:cs="Arial"/>
                      <w:color w:val="000000"/>
                      <w:spacing w:val="0"/>
                      <w:sz w:val="16"/>
                      <w:szCs w:val="16"/>
                    </w:rPr>
                    <w:t>5. O local e o prazo para entrega do produto/prestação do serviço será o estabelecido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 – DAS PENALIDADES</w:t>
                  </w:r>
                </w:p>
                <w:p>
                  <w:pPr>
                    <w:bidi w:val="0"/>
                    <w:spacing w:before="0" w:after="0"/>
                    <w:jc w:val="both"/>
                  </w:pPr>
                </w:p>
                <w:p>
                  <w:pPr>
                    <w:bidi w:val="0"/>
                    <w:spacing w:before="0" w:after="0"/>
                    <w:jc w:val="both"/>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nos artigos 155 a 162 da Lei Federal nº. 14.133/2021 e alterações.</w:t>
                  </w:r>
                </w:p>
                <w:p>
                  <w:pPr>
                    <w:bidi w:val="0"/>
                    <w:spacing w:before="0" w:after="0"/>
                    <w:jc w:val="both"/>
                  </w:pPr>
                  <w:r>
                    <w:rPr>
                      <w:rFonts w:ascii="Arial" w:eastAsia="Arial" w:hAnsi="Arial" w:cs="Arial"/>
                      <w:color w:val="000000"/>
                      <w:spacing w:val="0"/>
                      <w:sz w:val="16"/>
                      <w:szCs w:val="16"/>
                    </w:rPr>
                    <w:t>6.1 As sanções aplicáveis à presente Ata são as estabelecidas no Termo de Referência.</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 – DA ATUALIZAÇÃO, ALTERAÇÃO OU REAJUSTAMENTO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7. As atas com vigência menores de 12 meses (365 dias), não poderão sofrer reajustes, sendo os preços irreajustáveis.</w:t>
                  </w:r>
                </w:p>
                <w:p>
                  <w:pPr>
                    <w:bidi w:val="0"/>
                    <w:spacing w:before="0" w:after="0"/>
                    <w:jc w:val="both"/>
                  </w:pPr>
                  <w:r>
                    <w:rPr>
                      <w:rFonts w:ascii="Arial" w:eastAsia="Arial" w:hAnsi="Arial" w:cs="Arial"/>
                      <w:color w:val="000000"/>
                      <w:spacing w:val="0"/>
                      <w:sz w:val="16"/>
                      <w:szCs w:val="16"/>
                    </w:rPr>
                    <w:t>7.1. As Atas de Registro de Preços poderão ser reajustadas no momento de sua prorrogação, conforme previsto no Edital.</w:t>
                  </w:r>
                </w:p>
                <w:p>
                  <w:pPr>
                    <w:bidi w:val="0"/>
                    <w:spacing w:before="0" w:after="0"/>
                    <w:jc w:val="both"/>
                  </w:pPr>
                  <w:r>
                    <w:rPr>
                      <w:rFonts w:ascii="Arial" w:eastAsia="Arial" w:hAnsi="Arial" w:cs="Arial"/>
                      <w:color w:val="000000"/>
                      <w:spacing w:val="0"/>
                      <w:sz w:val="16"/>
                      <w:szCs w:val="16"/>
                    </w:rPr>
                    <w:t>7.2. No caso de prorrogação do prazo de vigência da ata, as quantidades registradas serão renovadas.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VIII – DA NEGOCIAÇÃO DOS PREÇOS REGISTRADOS</w:t>
                  </w:r>
                </w:p>
                <w:p>
                  <w:pPr>
                    <w:bidi w:val="0"/>
                    <w:spacing w:before="0" w:after="0"/>
                    <w:jc w:val="both"/>
                  </w:pPr>
                </w:p>
                <w:p>
                  <w:pPr>
                    <w:bidi w:val="0"/>
                    <w:spacing w:before="0" w:after="0"/>
                    <w:jc w:val="both"/>
                  </w:pPr>
                  <w:r>
                    <w:rPr>
                      <w:rFonts w:ascii="Arial" w:eastAsia="Arial" w:hAnsi="Arial" w:cs="Arial"/>
                      <w:color w:val="000000"/>
                      <w:spacing w:val="0"/>
                      <w:sz w:val="16"/>
                      <w:szCs w:val="16"/>
                    </w:rPr>
                    <w:t>8. Na hipótese de o preço registrado tornar-se superior ao preço praticado no mercado por motivo superveniente, o órgão ou entidade gerenciadora convocará o fornecedor para negociar a redução do preço registrado.</w:t>
                  </w:r>
                </w:p>
                <w:p>
                  <w:pPr>
                    <w:bidi w:val="0"/>
                    <w:spacing w:before="0" w:after="0"/>
                    <w:jc w:val="both"/>
                  </w:pPr>
                  <w:r>
                    <w:rPr>
                      <w:rFonts w:ascii="Arial" w:eastAsia="Arial" w:hAnsi="Arial" w:cs="Arial"/>
                      <w:color w:val="000000"/>
                      <w:spacing w:val="0"/>
                      <w:sz w:val="16"/>
                      <w:szCs w:val="16"/>
                    </w:rPr>
                    <w:t>8.1. Caso não aceite reduzir seu preço aos valores praticados pelo mercado, o fornecedor será liberado do compromisso assumido quanto ao item registrado, sem aplicação de penalidades administrativas.</w:t>
                  </w:r>
                </w:p>
                <w:p>
                  <w:pPr>
                    <w:bidi w:val="0"/>
                    <w:spacing w:before="0" w:after="0"/>
                    <w:jc w:val="both"/>
                  </w:pPr>
                  <w:r>
                    <w:rPr>
                      <w:rFonts w:ascii="Arial" w:eastAsia="Arial" w:hAnsi="Arial" w:cs="Arial"/>
                      <w:color w:val="000000"/>
                      <w:spacing w:val="0"/>
                      <w:sz w:val="16"/>
                      <w:szCs w:val="16"/>
                    </w:rPr>
                    <w:t xml:space="preserve">8.1.1. Na hipótese prevista no item anterior, o gerenciador convocará os fornecedores, na ordem de classificação, para verificar se aceitam reduzir seus preços aos valores de mercado e não convocará os licitantes ou fornecedores que tiveram seu registro cancelado. </w:t>
                  </w:r>
                </w:p>
                <w:p>
                  <w:pPr>
                    <w:bidi w:val="0"/>
                    <w:spacing w:before="0" w:after="0"/>
                    <w:jc w:val="both"/>
                  </w:pPr>
                  <w:r>
                    <w:rPr>
                      <w:rFonts w:ascii="Arial" w:eastAsia="Arial" w:hAnsi="Arial" w:cs="Arial"/>
                      <w:color w:val="000000"/>
                      <w:spacing w:val="0"/>
                      <w:sz w:val="16"/>
                      <w:szCs w:val="16"/>
                    </w:rPr>
                    <w:t>8.1.2. Se não obtiver êxito nas negociações, o órgão ou entidade gerenciadora procederá ao cancelamento da ata de registro de preços, adotando as medidas cabíveis para obtenção de contratação mais vantajosa.</w:t>
                  </w:r>
                </w:p>
                <w:p>
                  <w:pPr>
                    <w:bidi w:val="0"/>
                    <w:spacing w:before="0" w:after="0"/>
                    <w:jc w:val="both"/>
                  </w:pPr>
                  <w:r>
                    <w:rPr>
                      <w:rFonts w:ascii="Arial" w:eastAsia="Arial" w:hAnsi="Arial" w:cs="Arial"/>
                      <w:color w:val="000000"/>
                      <w:spacing w:val="0"/>
                      <w:sz w:val="16"/>
                      <w:szCs w:val="16"/>
                    </w:rPr>
                    <w:t>8.1.3.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pPr>
                    <w:bidi w:val="0"/>
                    <w:spacing w:before="0" w:after="0"/>
                    <w:jc w:val="both"/>
                  </w:pPr>
                  <w:r>
                    <w:rPr>
                      <w:rFonts w:ascii="Arial" w:eastAsia="Arial" w:hAnsi="Arial" w:cs="Arial"/>
                      <w:color w:val="000000"/>
                      <w:spacing w:val="0"/>
                      <w:sz w:val="16"/>
                      <w:szCs w:val="16"/>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pPr>
                    <w:bidi w:val="0"/>
                    <w:spacing w:before="0" w:after="0"/>
                    <w:jc w:val="both"/>
                  </w:pPr>
                  <w:r>
                    <w:rPr>
                      <w:rFonts w:ascii="Arial" w:eastAsia="Arial" w:hAnsi="Arial" w:cs="Arial"/>
                      <w:color w:val="000000"/>
                      <w:spacing w:val="0"/>
                      <w:sz w:val="16"/>
                      <w:szCs w:val="16"/>
                    </w:rPr>
                    <w:t>8.2.1. Neste caso, o fornecedor encaminhará, juntamente com o pedido de alteração, a documentação comprobatória ou a planilha de custos que demonstre a inviabilidade do preço registrado em relação às condições inicialmente pactuadas.</w:t>
                  </w:r>
                </w:p>
                <w:p>
                  <w:pPr>
                    <w:bidi w:val="0"/>
                    <w:spacing w:before="0" w:after="0"/>
                    <w:jc w:val="both"/>
                  </w:pPr>
                  <w:r>
                    <w:rPr>
                      <w:rFonts w:ascii="Arial" w:eastAsia="Arial" w:hAnsi="Arial" w:cs="Arial"/>
                      <w:color w:val="000000"/>
                      <w:spacing w:val="0"/>
                      <w:sz w:val="16"/>
                      <w:szCs w:val="16"/>
                    </w:rPr>
                    <w:t>8.2.2. Na hipótese de não comprovação da existência de fato superveniente que inviabilize o preço registrado, o pedido será indeferido pelo órgão ou entidade gerenciadora e o fornecedor deverá cumprir as obrigações estabelecidas na ata;</w:t>
                  </w:r>
                </w:p>
                <w:p>
                  <w:pPr>
                    <w:bidi w:val="0"/>
                    <w:spacing w:before="0" w:after="0"/>
                    <w:jc w:val="both"/>
                  </w:pPr>
                  <w:r>
                    <w:rPr>
                      <w:rFonts w:ascii="Arial" w:eastAsia="Arial" w:hAnsi="Arial" w:cs="Arial"/>
                      <w:color w:val="000000"/>
                      <w:spacing w:val="0"/>
                      <w:sz w:val="16"/>
                      <w:szCs w:val="16"/>
                    </w:rPr>
                    <w:t>8.2.3. Na hipótese de cancelamento do registro do fornecedor, nos termos do item anterior, o gerenciador convocará os fornecedores na ordem de classificação, para verificar se aceitam manter seus preços registrados;</w:t>
                  </w:r>
                </w:p>
                <w:p>
                  <w:pPr>
                    <w:bidi w:val="0"/>
                    <w:spacing w:before="0" w:after="0"/>
                    <w:jc w:val="both"/>
                  </w:pPr>
                  <w:r>
                    <w:rPr>
                      <w:rFonts w:ascii="Arial" w:eastAsia="Arial" w:hAnsi="Arial" w:cs="Arial"/>
                      <w:color w:val="000000"/>
                      <w:spacing w:val="0"/>
                      <w:sz w:val="16"/>
                      <w:szCs w:val="16"/>
                    </w:rPr>
                    <w:t>8.2.4. Se não obtiver êxito nas negociações, o órgão ou entidade gerenciadora procederá ao cancelamento da ata de registro de preços e adotará as medidas cabíveis para a obtenção da contratação mais vantajosa.</w:t>
                  </w:r>
                </w:p>
                <w:p>
                  <w:pPr>
                    <w:bidi w:val="0"/>
                    <w:spacing w:before="0" w:after="0"/>
                    <w:jc w:val="both"/>
                  </w:pPr>
                  <w:r>
                    <w:rPr>
                      <w:rFonts w:ascii="Arial" w:eastAsia="Arial" w:hAnsi="Arial" w:cs="Arial"/>
                      <w:color w:val="000000"/>
                      <w:spacing w:val="0"/>
                      <w:sz w:val="16"/>
                      <w:szCs w:val="16"/>
                    </w:rPr>
                    <w:t>8.2.5. Na hipótese de comprovação da majoração do preço de mercado que inviabilize 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IX – DO CANCELAMENTO DA ATA DE REGISTRO DE PREÇOS</w:t>
                  </w:r>
                </w:p>
                <w:p>
                  <w:pPr>
                    <w:bidi w:val="0"/>
                    <w:spacing w:before="0" w:after="0"/>
                    <w:jc w:val="both"/>
                  </w:pPr>
                </w:p>
                <w:p>
                  <w:pPr>
                    <w:bidi w:val="0"/>
                    <w:spacing w:before="0" w:after="0"/>
                    <w:jc w:val="both"/>
                  </w:pPr>
                  <w:r>
                    <w:rPr>
                      <w:rFonts w:ascii="Arial" w:eastAsia="Arial" w:hAnsi="Arial" w:cs="Arial"/>
                      <w:color w:val="000000"/>
                      <w:spacing w:val="0"/>
                      <w:sz w:val="16"/>
                      <w:szCs w:val="16"/>
                    </w:rPr>
                    <w:t>9. O registro do fornecedor será cancelado pelo gerenciador, quando o fornecedor:</w:t>
                  </w:r>
                </w:p>
                <w:p>
                  <w:pPr>
                    <w:bidi w:val="0"/>
                    <w:spacing w:before="0" w:after="0"/>
                    <w:jc w:val="both"/>
                  </w:pPr>
                  <w:r>
                    <w:rPr>
                      <w:rFonts w:ascii="Arial" w:eastAsia="Arial" w:hAnsi="Arial" w:cs="Arial"/>
                      <w:color w:val="000000"/>
                      <w:spacing w:val="0"/>
                      <w:sz w:val="16"/>
                      <w:szCs w:val="16"/>
                    </w:rPr>
                    <w:t>9.1.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9.1.1. Descumprir as condições da ata de registro de preços, sem motivo justificado;</w:t>
                  </w:r>
                </w:p>
                <w:p>
                  <w:pPr>
                    <w:bidi w:val="0"/>
                    <w:spacing w:before="0" w:after="0"/>
                    <w:jc w:val="both"/>
                  </w:pPr>
                  <w:r>
                    <w:rPr>
                      <w:rFonts w:ascii="Arial" w:eastAsia="Arial" w:hAnsi="Arial" w:cs="Arial"/>
                      <w:color w:val="000000"/>
                      <w:spacing w:val="0"/>
                      <w:sz w:val="16"/>
                      <w:szCs w:val="16"/>
                    </w:rPr>
                    <w:t>9.1.2. Não retirar a nota de empenho, ou instrumento equivalente, no prazo estabelecido pela Administração sem justificativa razoável;</w:t>
                  </w:r>
                </w:p>
                <w:p>
                  <w:pPr>
                    <w:bidi w:val="0"/>
                    <w:spacing w:before="0" w:after="0"/>
                    <w:jc w:val="both"/>
                  </w:pPr>
                  <w:r>
                    <w:rPr>
                      <w:rFonts w:ascii="Arial" w:eastAsia="Arial" w:hAnsi="Arial" w:cs="Arial"/>
                      <w:color w:val="000000"/>
                      <w:spacing w:val="0"/>
                      <w:sz w:val="16"/>
                      <w:szCs w:val="16"/>
                    </w:rPr>
                    <w:t>9.1.3. Não aceitar manter seu preço registrado, na hipótese prevista no artigo 27, § 2º, do Decreto nº 11.462, de 2023; ou</w:t>
                  </w:r>
                </w:p>
                <w:p>
                  <w:pPr>
                    <w:bidi w:val="0"/>
                    <w:spacing w:before="0" w:after="0"/>
                    <w:jc w:val="both"/>
                  </w:pPr>
                  <w:r>
                    <w:rPr>
                      <w:rFonts w:ascii="Arial" w:eastAsia="Arial" w:hAnsi="Arial" w:cs="Arial"/>
                      <w:color w:val="000000"/>
                      <w:spacing w:val="0"/>
                      <w:sz w:val="16"/>
                      <w:szCs w:val="16"/>
                    </w:rPr>
                    <w:t>9.1.4. Sofrer sanção prevista nos incisos III ou IV do caput do art. 156 da Lei nº 14.133, de 2021.</w:t>
                  </w:r>
                </w:p>
                <w:p>
                  <w:pPr>
                    <w:bidi w:val="0"/>
                    <w:spacing w:before="0" w:after="0"/>
                    <w:jc w:val="both"/>
                  </w:pPr>
                  <w:r>
                    <w:rPr>
                      <w:rFonts w:ascii="Arial" w:eastAsia="Arial" w:hAnsi="Arial" w:cs="Arial"/>
                      <w:color w:val="000000"/>
                      <w:spacing w:val="0"/>
                      <w:sz w:val="16"/>
                      <w:szCs w:val="16"/>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bidi w:val="0"/>
                    <w:spacing w:before="0" w:after="0"/>
                    <w:jc w:val="both"/>
                  </w:pPr>
                  <w:r>
                    <w:rPr>
                      <w:rFonts w:ascii="Arial" w:eastAsia="Arial" w:hAnsi="Arial" w:cs="Arial"/>
                      <w:color w:val="000000"/>
                      <w:spacing w:val="0"/>
                      <w:sz w:val="16"/>
                      <w:szCs w:val="16"/>
                    </w:rPr>
                    <w:t>9.2. O cancelamento de registros nas hipóteses previstas no item 9.1 será formalizado por despacho do órgão ou da entidade gerenciadora, garantidos os princípios do contraditório e da ampla defesa.</w:t>
                  </w:r>
                </w:p>
                <w:p>
                  <w:pPr>
                    <w:bidi w:val="0"/>
                    <w:spacing w:before="0" w:after="0"/>
                    <w:jc w:val="both"/>
                  </w:pPr>
                  <w:r>
                    <w:rPr>
                      <w:rFonts w:ascii="Arial" w:eastAsia="Arial" w:hAnsi="Arial" w:cs="Arial"/>
                      <w:color w:val="000000"/>
                      <w:spacing w:val="0"/>
                      <w:sz w:val="16"/>
                      <w:szCs w:val="16"/>
                    </w:rPr>
                    <w:t>9.3. Na hipótese de cancelamento do registro do fornecedor, o órgão ou a entidade gerenciadora poderá convocar os licitantes remanescentes, observada a ordem de classificação.</w:t>
                  </w:r>
                </w:p>
                <w:p>
                  <w:pPr>
                    <w:bidi w:val="0"/>
                    <w:spacing w:before="0" w:after="0"/>
                    <w:jc w:val="both"/>
                  </w:pPr>
                  <w:r>
                    <w:rPr>
                      <w:rFonts w:ascii="Arial" w:eastAsia="Arial" w:hAnsi="Arial" w:cs="Arial"/>
                      <w:color w:val="000000"/>
                      <w:spacing w:val="0"/>
                      <w:sz w:val="16"/>
                      <w:szCs w:val="16"/>
                    </w:rPr>
                    <w:t>9.4. O cancelamento dos preços registrados poderá ser realizado pelo gerenciador, em determinada ata de registro de preços, total ou parcialmente, nas seguintes hipóteses, desde que devidamente comprovadas e justificadas:</w:t>
                  </w:r>
                </w:p>
                <w:p>
                  <w:pPr>
                    <w:bidi w:val="0"/>
                    <w:spacing w:before="0" w:after="0"/>
                    <w:jc w:val="both"/>
                  </w:pPr>
                  <w:r>
                    <w:rPr>
                      <w:rFonts w:ascii="Arial" w:eastAsia="Arial" w:hAnsi="Arial" w:cs="Arial"/>
                      <w:color w:val="000000"/>
                      <w:spacing w:val="0"/>
                      <w:sz w:val="16"/>
                      <w:szCs w:val="16"/>
                    </w:rPr>
                    <w:t>9.4.1. Por razão de interesse público;</w:t>
                  </w:r>
                </w:p>
                <w:p>
                  <w:pPr>
                    <w:bidi w:val="0"/>
                    <w:spacing w:before="0" w:after="0"/>
                    <w:jc w:val="both"/>
                  </w:pPr>
                  <w:r>
                    <w:rPr>
                      <w:rFonts w:ascii="Arial" w:eastAsia="Arial" w:hAnsi="Arial" w:cs="Arial"/>
                      <w:color w:val="000000"/>
                      <w:spacing w:val="0"/>
                      <w:sz w:val="16"/>
                      <w:szCs w:val="16"/>
                    </w:rPr>
                    <w:t>9.4.2. A pedido do fornecedor, decorrente de caso fortuito ou força maior; ou</w:t>
                  </w:r>
                </w:p>
                <w:p>
                  <w:pPr>
                    <w:bidi w:val="0"/>
                    <w:spacing w:before="0" w:after="0"/>
                    <w:jc w:val="both"/>
                  </w:pPr>
                  <w:r>
                    <w:rPr>
                      <w:rFonts w:ascii="Arial" w:eastAsia="Arial" w:hAnsi="Arial" w:cs="Arial"/>
                      <w:color w:val="000000"/>
                      <w:spacing w:val="0"/>
                      <w:sz w:val="16"/>
                      <w:szCs w:val="16"/>
                    </w:rPr>
                    <w:t>9.4.3. Se não houver êxito nas negociações, nas hipóteses em que o preço de mercado tornar-se superior ou inferior ao preço registrado.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 – DA AUTORIZAÇÃO PARA CONTRATAÇÃO E EMISSÃO DAS NOTAS DE EMPENHO</w:t>
                  </w:r>
                </w:p>
                <w:p>
                  <w:pPr>
                    <w:bidi w:val="0"/>
                    <w:spacing w:before="0" w:after="0"/>
                    <w:jc w:val="both"/>
                  </w:pPr>
                </w:p>
                <w:p>
                  <w:pPr>
                    <w:bidi w:val="0"/>
                    <w:spacing w:before="0" w:after="0"/>
                    <w:jc w:val="both"/>
                  </w:pPr>
                  <w:r>
                    <w:rPr>
                      <w:rFonts w:ascii="Arial" w:eastAsia="Arial" w:hAnsi="Arial" w:cs="Arial"/>
                      <w:color w:val="000000"/>
                      <w:spacing w:val="0"/>
                      <w:sz w:val="16"/>
                      <w:szCs w:val="16"/>
                    </w:rPr>
                    <w:t xml:space="preserve">10. O fornecimento do objeto da presente Ata de Registro de Preços será autorizado, caso a caso, pelo (a) FUNDO MUNICIPAL DE SAUDE, que é o órgão gerenciador da mesma e também pela unidade financeira competente para os pagamentos. </w:t>
                  </w:r>
                </w:p>
                <w:p>
                  <w:pPr>
                    <w:bidi w:val="0"/>
                    <w:spacing w:before="0" w:after="0"/>
                    <w:jc w:val="both"/>
                  </w:pPr>
                  <w:r>
                    <w:rPr>
                      <w:rFonts w:ascii="Arial" w:eastAsia="Arial" w:hAnsi="Arial" w:cs="Arial"/>
                      <w:color w:val="000000"/>
                      <w:spacing w:val="0"/>
                      <w:sz w:val="16"/>
                      <w:szCs w:val="16"/>
                    </w:rPr>
                    <w:t>10.1 A emissão dos pedidos, sua retificação ou cancelamento, autorizados pelo órgão requisitante total ou parcial, serão igualmente, quando da solicitação.</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 – DAS OBRIGAÇÕES DA CONTRATANTE</w:t>
                  </w:r>
                </w:p>
                <w:p>
                  <w:pPr>
                    <w:bidi w:val="0"/>
                    <w:spacing w:before="0" w:after="0"/>
                    <w:jc w:val="both"/>
                  </w:pPr>
                </w:p>
                <w:p>
                  <w:pPr>
                    <w:bidi w:val="0"/>
                    <w:spacing w:before="0" w:after="0"/>
                    <w:jc w:val="both"/>
                  </w:pPr>
                  <w:r>
                    <w:rPr>
                      <w:rFonts w:ascii="Arial" w:eastAsia="Arial" w:hAnsi="Arial" w:cs="Arial"/>
                      <w:color w:val="000000"/>
                      <w:spacing w:val="0"/>
                      <w:sz w:val="16"/>
                      <w:szCs w:val="16"/>
                    </w:rPr>
                    <w:t>11. O Fundo Municipal de Saude, depois de empenhada e encaminhada a Ordem de Compra, compromete-se a:</w:t>
                  </w:r>
                </w:p>
                <w:p>
                  <w:pPr>
                    <w:bidi w:val="0"/>
                    <w:spacing w:before="0" w:after="0"/>
                    <w:jc w:val="both"/>
                  </w:pPr>
                  <w:r>
                    <w:rPr>
                      <w:rFonts w:ascii="Arial" w:eastAsia="Arial" w:hAnsi="Arial" w:cs="Arial"/>
                      <w:color w:val="000000"/>
                      <w:spacing w:val="0"/>
                      <w:sz w:val="16"/>
                      <w:szCs w:val="16"/>
                    </w:rPr>
                    <w:t>11.1. Proporcionar todas as facilidades indispensáveis à boa execução das obrigações contratuais;</w:t>
                  </w:r>
                </w:p>
                <w:p>
                  <w:pPr>
                    <w:bidi w:val="0"/>
                    <w:spacing w:before="0" w:after="0"/>
                    <w:jc w:val="both"/>
                  </w:pPr>
                  <w:r>
                    <w:rPr>
                      <w:rFonts w:ascii="Arial" w:eastAsia="Arial" w:hAnsi="Arial" w:cs="Arial"/>
                      <w:color w:val="000000"/>
                      <w:spacing w:val="0"/>
                      <w:sz w:val="16"/>
                      <w:szCs w:val="16"/>
                    </w:rPr>
                    <w:t>11.2. Promover os pagamentos dentro do prazo estipulado para tal;</w:t>
                  </w:r>
                </w:p>
                <w:p>
                  <w:pPr>
                    <w:bidi w:val="0"/>
                    <w:spacing w:before="0" w:after="0"/>
                    <w:jc w:val="both"/>
                  </w:pPr>
                  <w:r>
                    <w:rPr>
                      <w:rFonts w:ascii="Arial" w:eastAsia="Arial" w:hAnsi="Arial" w:cs="Arial"/>
                      <w:color w:val="000000"/>
                      <w:spacing w:val="0"/>
                      <w:sz w:val="16"/>
                      <w:szCs w:val="16"/>
                    </w:rPr>
                    <w:t>11.3. Fornecer atestados de capacidade técnica quando solicitado, desde que atendidas às obrigações contratuais;</w:t>
                  </w:r>
                </w:p>
                <w:p>
                  <w:pPr>
                    <w:bidi w:val="0"/>
                    <w:spacing w:before="0" w:after="0"/>
                    <w:jc w:val="both"/>
                  </w:pPr>
                  <w:r>
                    <w:rPr>
                      <w:rFonts w:ascii="Arial" w:eastAsia="Arial" w:hAnsi="Arial" w:cs="Arial"/>
                      <w:color w:val="000000"/>
                      <w:spacing w:val="0"/>
                      <w:sz w:val="16"/>
                      <w:szCs w:val="16"/>
                    </w:rPr>
                    <w:t>11.3.1. Rejeitar, em todo ou em parte, os produtos entregues em desacordo com as obrigações assumidas pela empresa;</w:t>
                  </w:r>
                </w:p>
                <w:p>
                  <w:pPr>
                    <w:bidi w:val="0"/>
                    <w:spacing w:before="0" w:after="0"/>
                    <w:jc w:val="both"/>
                  </w:pPr>
                  <w:r>
                    <w:rPr>
                      <w:rFonts w:ascii="Arial" w:eastAsia="Arial" w:hAnsi="Arial" w:cs="Arial"/>
                      <w:color w:val="000000"/>
                      <w:spacing w:val="0"/>
                      <w:sz w:val="16"/>
                      <w:szCs w:val="16"/>
                    </w:rPr>
                    <w:t>11.3.2. Comunicar as empresas, por escrito, eventuais anormalidades de qualquer espécie, prestando os esclarecimentos necessários, determinando prazo para correção das falhas.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 – DAS OBRIGAÇÕES DA CONTRATADA</w:t>
                  </w:r>
                </w:p>
                <w:p>
                  <w:pPr>
                    <w:bidi w:val="0"/>
                    <w:spacing w:before="0" w:after="0"/>
                    <w:jc w:val="both"/>
                  </w:pPr>
                </w:p>
                <w:p>
                  <w:pPr>
                    <w:bidi w:val="0"/>
                    <w:spacing w:before="0" w:after="0"/>
                    <w:jc w:val="both"/>
                  </w:pPr>
                  <w:r>
                    <w:rPr>
                      <w:rFonts w:ascii="Arial" w:eastAsia="Arial" w:hAnsi="Arial" w:cs="Arial"/>
                      <w:color w:val="000000"/>
                      <w:spacing w:val="0"/>
                      <w:sz w:val="16"/>
                      <w:szCs w:val="16"/>
                    </w:rPr>
                    <w:t>12. Entregar o objeto licitado em prazo não superior ao máximo estipulado neste Edital. Caso a entrega não seja feito dentro do prazo, a CONTRATADA ficará sujeita à multa estabelecida neste edital.</w:t>
                  </w:r>
                </w:p>
                <w:p>
                  <w:pPr>
                    <w:bidi w:val="0"/>
                    <w:spacing w:before="0" w:after="0"/>
                    <w:jc w:val="both"/>
                  </w:pPr>
                  <w:r>
                    <w:rPr>
                      <w:rFonts w:ascii="Arial" w:eastAsia="Arial" w:hAnsi="Arial" w:cs="Arial"/>
                      <w:color w:val="000000"/>
                      <w:spacing w:val="0"/>
                      <w:sz w:val="16"/>
                      <w:szCs w:val="16"/>
                    </w:rPr>
                    <w:t>12.1. Responder, em relação aos seus empregados, por todas as despesas decorrentes do fornecimento do produto, tais como: salários, seguros de acidente, taxas, impostos e contribuições, indenizações, vales-refeições, vales transporte e outras que porventura venham a ser criadas e exigidas pelo Governo;</w:t>
                  </w:r>
                </w:p>
                <w:p>
                  <w:pPr>
                    <w:bidi w:val="0"/>
                    <w:spacing w:before="0" w:after="0"/>
                    <w:jc w:val="both"/>
                  </w:pPr>
                  <w:r>
                    <w:rPr>
                      <w:rFonts w:ascii="Arial" w:eastAsia="Arial" w:hAnsi="Arial" w:cs="Arial"/>
                      <w:color w:val="000000"/>
                      <w:spacing w:val="0"/>
                      <w:sz w:val="16"/>
                      <w:szCs w:val="16"/>
                    </w:rPr>
                    <w:t>12.2. Promover o fornecimento, responsabilizando-se pela qualidade do produto.</w:t>
                  </w:r>
                </w:p>
                <w:p>
                  <w:pPr>
                    <w:bidi w:val="0"/>
                    <w:spacing w:before="0" w:after="0"/>
                    <w:jc w:val="both"/>
                  </w:pPr>
                  <w:r>
                    <w:rPr>
                      <w:rFonts w:ascii="Arial" w:eastAsia="Arial" w:hAnsi="Arial" w:cs="Arial"/>
                      <w:color w:val="000000"/>
                      <w:spacing w:val="0"/>
                      <w:sz w:val="16"/>
                      <w:szCs w:val="16"/>
                    </w:rPr>
                    <w:t>12.3. Substituir, de imediato, às suas expensas, o objeto do contrato que não se adequar às especificações constantes deste contrato.</w:t>
                  </w:r>
                </w:p>
                <w:p>
                  <w:pPr>
                    <w:bidi w:val="0"/>
                    <w:spacing w:before="0" w:after="0"/>
                    <w:jc w:val="both"/>
                  </w:pPr>
                  <w:r>
                    <w:rPr>
                      <w:rFonts w:ascii="Arial" w:eastAsia="Arial" w:hAnsi="Arial" w:cs="Arial"/>
                      <w:color w:val="000000"/>
                      <w:spacing w:val="0"/>
                      <w:sz w:val="16"/>
                      <w:szCs w:val="16"/>
                    </w:rPr>
                    <w:t>12.4. Assumir a responsabilidade por todos os encargos previdenciários e obrigações sociais previstos na legislação social e trabalhista em vigor, obrigando-se a saldá-la na época própria, vez que os seus empregados não manterão nenhum vínculo empregatício com o Fundo Municipal de Saude.</w:t>
                  </w:r>
                </w:p>
                <w:p>
                  <w:pPr>
                    <w:bidi w:val="0"/>
                    <w:spacing w:before="0" w:after="0"/>
                    <w:jc w:val="both"/>
                  </w:pPr>
                  <w:r>
                    <w:rPr>
                      <w:rFonts w:ascii="Arial" w:eastAsia="Arial" w:hAnsi="Arial" w:cs="Arial"/>
                      <w:color w:val="000000"/>
                      <w:spacing w:val="0"/>
                      <w:sz w:val="16"/>
                      <w:szCs w:val="16"/>
                    </w:rPr>
                    <w:t>12.5. Manter, durante toda a vigência do contrato, em compatibilidade com as obrigações por ela assumidas, todas as condições de habilitação e qualificação exigidas na licitação, devendo comunicar, imediatamente, qualquer alteração que possa comprometer a manutenção da ata.</w:t>
                  </w:r>
                </w:p>
                <w:p>
                  <w:pPr>
                    <w:bidi w:val="0"/>
                    <w:spacing w:before="0" w:after="0"/>
                    <w:jc w:val="both"/>
                  </w:pPr>
                  <w:r>
                    <w:rPr>
                      <w:rFonts w:ascii="Arial" w:eastAsia="Arial" w:hAnsi="Arial" w:cs="Arial"/>
                      <w:color w:val="000000"/>
                      <w:spacing w:val="0"/>
                      <w:sz w:val="16"/>
                      <w:szCs w:val="16"/>
                    </w:rPr>
                    <w:t>12.6. 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Fundo Municipal de Saude.</w:t>
                  </w:r>
                </w:p>
                <w:p>
                  <w:pPr>
                    <w:bidi w:val="0"/>
                    <w:spacing w:before="0" w:after="0"/>
                    <w:jc w:val="both"/>
                  </w:pPr>
                  <w:r>
                    <w:rPr>
                      <w:rFonts w:ascii="Arial" w:eastAsia="Arial" w:hAnsi="Arial" w:cs="Arial"/>
                      <w:color w:val="000000"/>
                      <w:spacing w:val="0"/>
                      <w:sz w:val="16"/>
                      <w:szCs w:val="16"/>
                    </w:rPr>
                    <w:t>12.7. Responder, integralmente, por perdas e danos que vier a causar ao Fundo Municipal de Saude ou a terceiros em razão de ação ou omissão, dolosa ou culposa, sua ou dos seus prepostos, independentemente de outras cominações contratuais ou legais a que estiver sujeita.</w:t>
                  </w:r>
                </w:p>
                <w:p>
                  <w:pPr>
                    <w:bidi w:val="0"/>
                    <w:spacing w:before="0" w:after="0"/>
                    <w:jc w:val="both"/>
                  </w:pPr>
                  <w:r>
                    <w:rPr>
                      <w:rFonts w:ascii="Arial" w:eastAsia="Arial" w:hAnsi="Arial" w:cs="Arial"/>
                      <w:color w:val="000000"/>
                      <w:spacing w:val="0"/>
                      <w:sz w:val="16"/>
                      <w:szCs w:val="16"/>
                    </w:rPr>
                    <w:t>12.8. A CONTRATADA não será responsável:</w:t>
                  </w:r>
                </w:p>
                <w:p>
                  <w:pPr>
                    <w:bidi w:val="0"/>
                    <w:spacing w:before="0" w:after="0"/>
                    <w:jc w:val="both"/>
                  </w:pPr>
                  <w:r>
                    <w:rPr>
                      <w:rFonts w:ascii="Arial" w:eastAsia="Arial" w:hAnsi="Arial" w:cs="Arial"/>
                      <w:color w:val="000000"/>
                      <w:spacing w:val="0"/>
                      <w:sz w:val="16"/>
                      <w:szCs w:val="16"/>
                    </w:rPr>
                    <w:t>12.8.1. Por qualquer perda ou dano resultante de caso fortuito ou força maior;</w:t>
                  </w:r>
                </w:p>
                <w:p>
                  <w:pPr>
                    <w:bidi w:val="0"/>
                    <w:spacing w:before="0" w:after="0"/>
                    <w:jc w:val="both"/>
                  </w:pPr>
                  <w:r>
                    <w:rPr>
                      <w:rFonts w:ascii="Arial" w:eastAsia="Arial" w:hAnsi="Arial" w:cs="Arial"/>
                      <w:color w:val="000000"/>
                      <w:spacing w:val="0"/>
                      <w:sz w:val="16"/>
                      <w:szCs w:val="16"/>
                    </w:rPr>
                    <w:t>12.8.2. Por quaisquer trabalhos, serviços ou responsabilidades não previstos neste edital e no Contrato a ser assinado com o Fundo Municipal de Saude.</w:t>
                  </w:r>
                </w:p>
                <w:p>
                  <w:pPr>
                    <w:bidi w:val="0"/>
                    <w:spacing w:before="0" w:after="0"/>
                    <w:jc w:val="both"/>
                  </w:pPr>
                  <w:r>
                    <w:rPr>
                      <w:rFonts w:ascii="Arial" w:eastAsia="Arial" w:hAnsi="Arial" w:cs="Arial"/>
                      <w:color w:val="000000"/>
                      <w:spacing w:val="0"/>
                      <w:sz w:val="16"/>
                      <w:szCs w:val="16"/>
                    </w:rPr>
                    <w:t>12.9. O Fundo Municipal de Saude não aceitará, sob nenhum pretexto, a transferência de responsabilidade da CONTRATADA para outras entidades, sejam fabricantes, representantes ou quaisquer outros.</w:t>
                  </w:r>
                </w:p>
                <w:p>
                  <w:pPr>
                    <w:bidi w:val="0"/>
                    <w:spacing w:before="0" w:after="0"/>
                    <w:jc w:val="both"/>
                  </w:pPr>
                </w:p>
                <w:p>
                  <w:pPr>
                    <w:bidi w:val="0"/>
                    <w:spacing w:before="0" w:after="0"/>
                    <w:jc w:val="both"/>
                  </w:pPr>
                  <w:r>
                    <w:rPr>
                      <w:rFonts w:ascii="Arial" w:eastAsia="Arial" w:hAnsi="Arial" w:cs="Arial"/>
                      <w:b/>
                      <w:bCs/>
                      <w:color w:val="000000"/>
                      <w:spacing w:val="0"/>
                      <w:sz w:val="16"/>
                      <w:szCs w:val="16"/>
                    </w:rPr>
                    <w:t>CLÁUSULA XIII – DAS DISPOSIÇÕES FINAIS</w:t>
                  </w:r>
                </w:p>
                <w:p>
                  <w:pPr>
                    <w:bidi w:val="0"/>
                    <w:spacing w:before="0" w:after="0"/>
                    <w:jc w:val="both"/>
                  </w:pPr>
                </w:p>
                <w:p>
                  <w:pPr>
                    <w:bidi w:val="0"/>
                    <w:spacing w:before="0" w:after="0"/>
                    <w:jc w:val="both"/>
                  </w:pPr>
                  <w:r>
                    <w:rPr>
                      <w:rFonts w:ascii="Arial" w:eastAsia="Arial" w:hAnsi="Arial" w:cs="Arial"/>
                      <w:color w:val="000000"/>
                      <w:spacing w:val="0"/>
                      <w:sz w:val="16"/>
                      <w:szCs w:val="16"/>
                    </w:rPr>
                    <w:t>13. Integram esta Ata, o Edital Nº. 3 / 2025, e as propostas das empresas classificadas no certame supra.</w:t>
                  </w:r>
                </w:p>
                <w:p>
                  <w:pPr>
                    <w:bidi w:val="0"/>
                    <w:spacing w:before="0" w:after="0"/>
                    <w:jc w:val="both"/>
                  </w:pPr>
                  <w:r>
                    <w:rPr>
                      <w:rFonts w:ascii="Arial" w:eastAsia="Arial" w:hAnsi="Arial" w:cs="Arial"/>
                      <w:color w:val="000000"/>
                      <w:spacing w:val="0"/>
                      <w:sz w:val="16"/>
                      <w:szCs w:val="16"/>
                    </w:rPr>
                    <w:t xml:space="preserve">13.1 Fica eleito o foro de Palhoça (SC), para dirimir quaisquer questões decorrentes da utilização da presente Ata. </w:t>
                  </w:r>
                </w:p>
                <w:p>
                  <w:pPr>
                    <w:bidi w:val="0"/>
                    <w:spacing w:before="0" w:after="0"/>
                    <w:jc w:val="both"/>
                  </w:pPr>
                  <w:r>
                    <w:rPr>
                      <w:rFonts w:ascii="Arial" w:eastAsia="Arial" w:hAnsi="Arial" w:cs="Arial"/>
                      <w:color w:val="000000"/>
                      <w:spacing w:val="0"/>
                      <w:sz w:val="16"/>
                      <w:szCs w:val="16"/>
                    </w:rPr>
                    <w:t>13.2 Os casos omissos serão resolvidos de acordo com a Lei nº14.133/2021 e alterações, e demais normas aplicáveis.</w:t>
                  </w:r>
                </w:p>
              </w:tc>
            </w:tr>
          </w:tbl>
          <w:p>
            <w:pPr>
              <w:spacing w:line="1" w:lineRule="auto"/>
            </w:pPr>
          </w:p>
        </w:tc>
      </w:tr>
      <w:tr>
        <w:tblPrEx>
          <w:tblW w:w="10733" w:type="dxa"/>
          <w:tblInd w:w="20" w:type="dxa"/>
          <w:tblLayout w:type="fixed"/>
          <w:tblLook w:val="01E0"/>
        </w:tblPrEx>
        <w:trPr>
          <w:trHeight w:hRule="exact" w:val="453"/>
        </w:trPr>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73" w:type="dxa"/>
              <w:tblInd w:w="0" w:type="dxa"/>
              <w:tblLayout w:type="fixed"/>
              <w:tblCellMar>
                <w:top w:w="0" w:type="dxa"/>
                <w:left w:w="0" w:type="dxa"/>
                <w:bottom w:w="0" w:type="dxa"/>
                <w:right w:w="0" w:type="dxa"/>
              </w:tblCellMar>
              <w:tblLook w:val="01E0"/>
            </w:tblPr>
            <w:tblGrid>
              <w:gridCol w:w="10773"/>
            </w:tblGrid>
            <w:tr>
              <w:tblPrEx>
                <w:tblW w:w="10773" w:type="dxa"/>
                <w:tblInd w:w="0" w:type="dxa"/>
                <w:tblLayout w:type="fixed"/>
                <w:tblCellMar>
                  <w:top w:w="0" w:type="dxa"/>
                  <w:left w:w="0" w:type="dxa"/>
                  <w:bottom w:w="0" w:type="dxa"/>
                  <w:right w:w="0" w:type="dxa"/>
                </w:tblCellMar>
                <w:tblLook w:val="01E0"/>
              </w:tblPrEx>
              <w:tc>
                <w:tcPr>
                  <w:tcW w:w="10773"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Palhoça, 5 de fevereiro de 2025</w:t>
                  </w:r>
                </w:p>
              </w:tc>
            </w:tr>
          </w:tbl>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pPr>
              <w:spacing w:line="1" w:lineRule="auto"/>
            </w:pPr>
          </w:p>
        </w:tc>
      </w:tr>
      <w:tr>
        <w:tblPrEx>
          <w:tblW w:w="10733" w:type="dxa"/>
          <w:tblInd w:w="20" w:type="dxa"/>
          <w:tblLayout w:type="fixed"/>
          <w:tblLook w:val="01E0"/>
        </w:tblPrEx>
        <w:tc>
          <w:tcPr>
            <w:tcW w:w="10773" w:type="dxa"/>
            <w:noWrap w:val="0"/>
            <w:tcMar>
              <w:top w:w="0" w:type="dxa"/>
              <w:left w:w="0" w:type="dxa"/>
              <w:bottom w:w="0" w:type="dxa"/>
              <w:right w:w="0" w:type="dxa"/>
            </w:tcMar>
            <w:vAlign w:val="top"/>
          </w:tcPr>
          <w:p/>
          <w:tbl>
            <w:tblPr>
              <w:tblStyle w:val="TableNormal"/>
              <w:tblOverlap w:val="never"/>
              <w:tblW w:w="10733" w:type="dxa"/>
              <w:jc w:val="center"/>
              <w:tblInd w:w="20" w:type="dxa"/>
              <w:tblLayout w:type="fixed"/>
              <w:tblLook w:val="01E0"/>
            </w:tblPr>
            <w:tblGrid>
              <w:gridCol w:w="3673"/>
              <w:gridCol w:w="3388"/>
              <w:gridCol w:w="3672"/>
            </w:tblGrid>
            <w:tr>
              <w:tblPrEx>
                <w:tblW w:w="10733" w:type="dxa"/>
                <w:jc w:val="center"/>
                <w:tblInd w:w="20" w:type="dxa"/>
                <w:tblLayout w:type="fixed"/>
                <w:tblLook w:val="01E0"/>
              </w:tblPrEx>
              <w:trPr>
                <w:trHeight w:hRule="exact" w:val="850"/>
                <w:jc w:val="center"/>
              </w:trPr>
              <w:tc>
                <w:tcPr>
                  <w:tcW w:w="3686" w:type="dxa"/>
                  <w:tcBorders>
                    <w:bottom w:val="single" w:sz="6" w:space="0" w:color="000000"/>
                  </w:tcBorders>
                  <w:noWrap w:val="0"/>
                  <w:tcMar>
                    <w:top w:w="0" w:type="dxa"/>
                    <w:left w:w="0" w:type="dxa"/>
                    <w:bottom w:w="0" w:type="dxa"/>
                    <w:right w:w="0" w:type="dxa"/>
                  </w:tcMar>
                  <w:vAlign w:val="top"/>
                </w:tcPr>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tcBorders>
                    <w:bottom w:val="single" w:sz="6" w:space="0" w:color="000000"/>
                  </w:tcBorders>
                  <w:noWrap w:val="0"/>
                  <w:tcMar>
                    <w:top w:w="0" w:type="dxa"/>
                    <w:left w:w="0" w:type="dxa"/>
                    <w:bottom w:w="0" w:type="dxa"/>
                    <w:right w:w="0" w:type="dxa"/>
                  </w:tcMar>
                  <w:vAlign w:val="top"/>
                </w:tcPr>
                <w:p>
                  <w:pPr>
                    <w:spacing w:line="1" w:lineRule="auto"/>
                  </w:pPr>
                </w:p>
              </w:tc>
            </w:tr>
            <w:tr>
              <w:tblPrEx>
                <w:tblW w:w="10733" w:type="dxa"/>
                <w:jc w:val="center"/>
                <w:tblInd w:w="20" w:type="dxa"/>
                <w:tblLayout w:type="fixed"/>
                <w:tblLook w:val="01E0"/>
              </w:tblPrEx>
              <w:trPr>
                <w:jc w:val="center"/>
              </w:trPr>
              <w:tc>
                <w:tcPr>
                  <w:tcW w:w="3686" w:type="dxa"/>
                  <w:noWrap w:val="0"/>
                  <w:tcMar>
                    <w:top w:w="0" w:type="dxa"/>
                    <w:left w:w="0" w:type="dxa"/>
                    <w:bottom w:w="0" w:type="dxa"/>
                    <w:right w:w="0" w:type="dxa"/>
                  </w:tcMar>
                  <w:vAlign w:val="top"/>
                </w:tcPr>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p>
                      <w:p>
                        <w:pPr>
                          <w:bidi w:val="0"/>
                          <w:spacing w:before="0" w:after="0"/>
                          <w:jc w:val="center"/>
                        </w:pPr>
                        <w:r>
                          <w:rPr>
                            <w:rFonts w:ascii="Arial" w:eastAsia="Arial" w:hAnsi="Arial" w:cs="Arial"/>
                            <w:color w:val="000000"/>
                            <w:spacing w:val="0"/>
                            <w:sz w:val="16"/>
                            <w:szCs w:val="16"/>
                          </w:rPr>
                          <w:t>Contratante</w:t>
                        </w:r>
                      </w:p>
                    </w:tc>
                  </w:tr>
                </w:tbl>
                <w:p>
                  <w:pPr>
                    <w:spacing w:line="1" w:lineRule="auto"/>
                  </w:pPr>
                </w:p>
              </w:tc>
              <w:tc>
                <w:tcPr>
                  <w:tcW w:w="3401" w:type="dxa"/>
                  <w:noWrap w:val="0"/>
                  <w:tcMar>
                    <w:top w:w="0" w:type="dxa"/>
                    <w:left w:w="0" w:type="dxa"/>
                    <w:bottom w:w="0" w:type="dxa"/>
                    <w:right w:w="0" w:type="dxa"/>
                  </w:tcMar>
                  <w:vAlign w:val="top"/>
                </w:tcPr>
                <w:p>
                  <w:pPr>
                    <w:spacing w:line="1" w:lineRule="auto"/>
                  </w:pPr>
                </w:p>
              </w:tc>
              <w:tc>
                <w:tcPr>
                  <w:tcW w:w="3686" w:type="dxa"/>
                  <w:noWrap w:val="0"/>
                  <w:tcMar>
                    <w:top w:w="0" w:type="dxa"/>
                    <w:left w:w="0" w:type="dxa"/>
                    <w:bottom w:w="0" w:type="dxa"/>
                    <w:right w:w="0" w:type="dxa"/>
                  </w:tcMar>
                  <w:vAlign w:val="top"/>
                </w:tcPr>
                <w:p/>
                <w:tbl>
                  <w:tblPr>
                    <w:tblStyle w:val="TableNormal"/>
                    <w:tblOverlap w:val="never"/>
                    <w:tblW w:w="3686" w:type="dxa"/>
                    <w:jc w:val="center"/>
                    <w:tblInd w:w="0" w:type="dxa"/>
                    <w:tblLayout w:type="fixed"/>
                    <w:tblCellMar>
                      <w:top w:w="0" w:type="dxa"/>
                      <w:left w:w="0" w:type="dxa"/>
                      <w:bottom w:w="0" w:type="dxa"/>
                      <w:right w:w="0" w:type="dxa"/>
                    </w:tblCellMar>
                    <w:tblLook w:val="01E0"/>
                  </w:tblPr>
                  <w:tblGrid>
                    <w:gridCol w:w="3686"/>
                  </w:tblGrid>
                  <w:tr>
                    <w:tblPrEx>
                      <w:tblW w:w="3686" w:type="dxa"/>
                      <w:jc w:val="center"/>
                      <w:tblInd w:w="0" w:type="dxa"/>
                      <w:tblLayout w:type="fixed"/>
                      <w:tblCellMar>
                        <w:top w:w="0" w:type="dxa"/>
                        <w:left w:w="0" w:type="dxa"/>
                        <w:bottom w:w="0" w:type="dxa"/>
                        <w:right w:w="0" w:type="dxa"/>
                      </w:tblCellMar>
                      <w:tblLook w:val="01E0"/>
                    </w:tblPrEx>
                    <w:trPr>
                      <w:jc w:val="center"/>
                    </w:trPr>
                    <w:tc>
                      <w:tcPr>
                        <w:tcW w:w="3686"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DELTA SHOP - DISTRIBUIDORA DE PRODUTOS HOSPITALARES LTDA</w:t>
                        </w:r>
                      </w:p>
                      <w:p>
                        <w:pPr>
                          <w:bidi w:val="0"/>
                          <w:spacing w:before="0" w:after="0"/>
                          <w:jc w:val="center"/>
                        </w:pPr>
                        <w:r>
                          <w:rPr>
                            <w:rFonts w:ascii="Arial" w:eastAsia="Arial" w:hAnsi="Arial" w:cs="Arial"/>
                            <w:color w:val="000000"/>
                            <w:spacing w:val="0"/>
                            <w:sz w:val="16"/>
                            <w:szCs w:val="16"/>
                          </w:rPr>
                          <w:t>Contratada</w:t>
                        </w:r>
                      </w:p>
                    </w:tc>
                  </w:tr>
                </w:tbl>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WCO2051203-98450-FRZJFYGVVHB-9 - Emitido por: GABRIELA WUNDERVALD KOERICH</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05/02/2025 15:12:42 -03:00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5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FUNDO MUNICIPAL DE SAUDE</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 - Fundo de Saúde</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Ano Minuta: 2024 Número Minuta: 236 Entidade: 13139 Ano: 2025 Seq. Ata Registro de Preço: 21 Código Cliente: 13139 Sequência Ata: 21 Código Único: 399927441 Ata Única: 0</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