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037" w:rsidRPr="006404D5" w:rsidRDefault="008E1037" w:rsidP="00902FAA">
      <w:pPr>
        <w:pBdr>
          <w:top w:val="single" w:sz="4" w:space="1" w:color="auto"/>
          <w:left w:val="single" w:sz="4" w:space="4" w:color="auto"/>
          <w:bottom w:val="single" w:sz="4" w:space="1" w:color="auto"/>
          <w:right w:val="single" w:sz="4" w:space="4" w:color="auto"/>
        </w:pBdr>
        <w:shd w:val="clear" w:color="auto" w:fill="D9D9D9"/>
        <w:spacing w:before="120" w:after="120"/>
        <w:ind w:left="142" w:right="140"/>
        <w:jc w:val="center"/>
        <w:rPr>
          <w:rFonts w:ascii="Times New Roman" w:hAnsi="Times New Roman" w:cs="Times New Roman"/>
          <w:b/>
          <w:bCs/>
          <w:iCs/>
          <w:color w:val="000000"/>
          <w:sz w:val="24"/>
        </w:rPr>
      </w:pPr>
      <w:r w:rsidRPr="006404D5">
        <w:rPr>
          <w:rFonts w:ascii="Times New Roman" w:hAnsi="Times New Roman" w:cs="Times New Roman"/>
          <w:b/>
          <w:bCs/>
          <w:iCs/>
          <w:color w:val="000000"/>
          <w:sz w:val="24"/>
        </w:rPr>
        <w:t>EDITAL – PREGÃO</w:t>
      </w:r>
    </w:p>
    <w:p w:rsidR="008E1037" w:rsidRPr="006404D5" w:rsidRDefault="008E1037" w:rsidP="00902FAA">
      <w:pPr>
        <w:pBdr>
          <w:top w:val="single" w:sz="4" w:space="1" w:color="auto"/>
          <w:left w:val="single" w:sz="4" w:space="4" w:color="auto"/>
          <w:bottom w:val="single" w:sz="4" w:space="1" w:color="auto"/>
          <w:right w:val="single" w:sz="4" w:space="4" w:color="auto"/>
        </w:pBdr>
        <w:shd w:val="clear" w:color="auto" w:fill="D9D9D9"/>
        <w:spacing w:before="120" w:after="120"/>
        <w:ind w:left="142" w:right="140"/>
        <w:jc w:val="center"/>
        <w:rPr>
          <w:rFonts w:ascii="Times New Roman" w:hAnsi="Times New Roman" w:cs="Times New Roman"/>
          <w:b/>
          <w:bCs/>
          <w:iCs/>
          <w:color w:val="000000"/>
          <w:sz w:val="24"/>
        </w:rPr>
      </w:pPr>
      <w:r w:rsidRPr="006404D5">
        <w:rPr>
          <w:rFonts w:ascii="Times New Roman" w:hAnsi="Times New Roman" w:cs="Times New Roman"/>
          <w:b/>
          <w:bCs/>
          <w:iCs/>
          <w:sz w:val="24"/>
        </w:rPr>
        <w:t>LEI Nº 14.133, DE 1º DE ABRIL DE 2021</w:t>
      </w:r>
      <w:r w:rsidRPr="006404D5">
        <w:rPr>
          <w:rFonts w:ascii="Times New Roman" w:hAnsi="Times New Roman" w:cs="Times New Roman"/>
          <w:b/>
          <w:bCs/>
          <w:iCs/>
          <w:color w:val="000000"/>
          <w:sz w:val="24"/>
        </w:rPr>
        <w:t xml:space="preserve"> </w:t>
      </w:r>
    </w:p>
    <w:p w:rsidR="008E1037" w:rsidRPr="006404D5" w:rsidRDefault="008E1037" w:rsidP="008E1037">
      <w:pPr>
        <w:spacing w:before="120" w:after="120"/>
        <w:jc w:val="center"/>
        <w:rPr>
          <w:rFonts w:ascii="Times New Roman" w:hAnsi="Times New Roman" w:cs="Times New Roman"/>
          <w:b/>
          <w:bCs/>
          <w:iCs/>
          <w:color w:val="000000"/>
          <w:sz w:val="24"/>
        </w:rPr>
      </w:pPr>
    </w:p>
    <w:p w:rsidR="008E1037" w:rsidRPr="006404D5" w:rsidRDefault="008E1037" w:rsidP="008E1037">
      <w:pPr>
        <w:spacing w:before="120" w:after="120"/>
        <w:jc w:val="center"/>
        <w:rPr>
          <w:rFonts w:ascii="Times New Roman" w:hAnsi="Times New Roman" w:cs="Times New Roman"/>
          <w:iCs/>
          <w:color w:val="FF0000"/>
          <w:sz w:val="24"/>
        </w:rPr>
      </w:pPr>
      <w:r w:rsidRPr="006404D5">
        <w:rPr>
          <w:rFonts w:ascii="Times New Roman" w:hAnsi="Times New Roman" w:cs="Times New Roman"/>
          <w:b/>
          <w:iCs/>
          <w:sz w:val="24"/>
        </w:rPr>
        <w:t>PREGÃO ELETRÔNICO Nº</w:t>
      </w:r>
      <w:r w:rsidRPr="006404D5">
        <w:rPr>
          <w:rFonts w:ascii="Times New Roman" w:hAnsi="Times New Roman" w:cs="Times New Roman"/>
          <w:iCs/>
          <w:color w:val="FF0000"/>
          <w:sz w:val="24"/>
        </w:rPr>
        <w:t xml:space="preserve"> </w:t>
      </w:r>
      <w:r w:rsidR="00DB7B86">
        <w:rPr>
          <w:rFonts w:ascii="Times New Roman" w:hAnsi="Times New Roman" w:cs="Times New Roman"/>
          <w:b/>
          <w:bCs/>
          <w:iCs/>
          <w:color w:val="FF0000"/>
          <w:sz w:val="24"/>
        </w:rPr>
        <w:t>05</w:t>
      </w:r>
      <w:r w:rsidR="00D96341">
        <w:rPr>
          <w:rFonts w:ascii="Times New Roman" w:hAnsi="Times New Roman" w:cs="Times New Roman"/>
          <w:b/>
          <w:bCs/>
          <w:iCs/>
          <w:color w:val="FF0000"/>
          <w:sz w:val="24"/>
        </w:rPr>
        <w:t>.1</w:t>
      </w:r>
      <w:r w:rsidR="009C5F72">
        <w:rPr>
          <w:rFonts w:ascii="Times New Roman" w:hAnsi="Times New Roman" w:cs="Times New Roman"/>
          <w:b/>
          <w:bCs/>
          <w:iCs/>
          <w:color w:val="FF0000"/>
          <w:sz w:val="24"/>
        </w:rPr>
        <w:t>/2024</w:t>
      </w:r>
    </w:p>
    <w:p w:rsidR="008E1037" w:rsidRPr="006404D5" w:rsidRDefault="008E1037" w:rsidP="008E1037">
      <w:pPr>
        <w:spacing w:before="120" w:after="120"/>
        <w:jc w:val="center"/>
        <w:rPr>
          <w:rFonts w:ascii="Times New Roman" w:hAnsi="Times New Roman" w:cs="Times New Roman"/>
          <w:iCs/>
          <w:color w:val="FF0000"/>
          <w:sz w:val="24"/>
        </w:rPr>
      </w:pPr>
      <w:r w:rsidRPr="006404D5">
        <w:rPr>
          <w:rFonts w:ascii="Times New Roman" w:hAnsi="Times New Roman" w:cs="Times New Roman"/>
          <w:iCs/>
          <w:color w:val="000000"/>
          <w:sz w:val="24"/>
        </w:rPr>
        <w:t>Processo Administrativo nº</w:t>
      </w:r>
      <w:r w:rsidR="009C5F72">
        <w:rPr>
          <w:rFonts w:ascii="Times New Roman" w:hAnsi="Times New Roman" w:cs="Times New Roman"/>
          <w:iCs/>
          <w:color w:val="FF0000"/>
          <w:sz w:val="24"/>
        </w:rPr>
        <w:t xml:space="preserve"> </w:t>
      </w:r>
      <w:r w:rsidR="00DB7B86">
        <w:rPr>
          <w:rFonts w:ascii="Times New Roman" w:hAnsi="Times New Roman" w:cs="Times New Roman"/>
          <w:iCs/>
          <w:color w:val="FF0000"/>
          <w:sz w:val="24"/>
        </w:rPr>
        <w:t>1142</w:t>
      </w:r>
      <w:r w:rsidR="009C5F72">
        <w:rPr>
          <w:rFonts w:ascii="Times New Roman" w:hAnsi="Times New Roman" w:cs="Times New Roman"/>
          <w:iCs/>
          <w:color w:val="FF0000"/>
          <w:sz w:val="24"/>
        </w:rPr>
        <w:t>/2024</w:t>
      </w:r>
    </w:p>
    <w:p w:rsidR="008E1037" w:rsidRPr="006404D5" w:rsidRDefault="008E1037" w:rsidP="008E1037">
      <w:pPr>
        <w:spacing w:before="120" w:after="120"/>
        <w:jc w:val="center"/>
        <w:rPr>
          <w:rFonts w:ascii="Times New Roman" w:hAnsi="Times New Roman" w:cs="Times New Roman"/>
          <w:iCs/>
          <w:color w:val="FF0000"/>
          <w:sz w:val="24"/>
        </w:rPr>
      </w:pPr>
    </w:p>
    <w:p w:rsidR="008E1037" w:rsidRPr="006404D5" w:rsidRDefault="008E1037" w:rsidP="008E1037">
      <w:pPr>
        <w:spacing w:before="120" w:after="120"/>
        <w:jc w:val="both"/>
        <w:rPr>
          <w:rFonts w:ascii="Times New Roman" w:hAnsi="Times New Roman" w:cs="Times New Roman"/>
          <w:color w:val="000000"/>
          <w:sz w:val="24"/>
        </w:rPr>
      </w:pPr>
      <w:r w:rsidRPr="006404D5">
        <w:rPr>
          <w:rFonts w:ascii="Times New Roman" w:hAnsi="Times New Roman" w:cs="Times New Roman"/>
          <w:color w:val="000000"/>
          <w:sz w:val="24"/>
        </w:rPr>
        <w:t xml:space="preserve">Torna-se público que </w:t>
      </w:r>
      <w:r w:rsidR="009C5F72">
        <w:rPr>
          <w:rFonts w:ascii="Times New Roman" w:hAnsi="Times New Roman" w:cs="Times New Roman"/>
          <w:color w:val="000000"/>
          <w:sz w:val="24"/>
        </w:rPr>
        <w:t>a Prefeitura Municipal de Murici – AL</w:t>
      </w:r>
      <w:r w:rsidRPr="006404D5">
        <w:rPr>
          <w:rFonts w:ascii="Times New Roman" w:hAnsi="Times New Roman" w:cs="Times New Roman"/>
          <w:color w:val="000000"/>
          <w:sz w:val="24"/>
        </w:rPr>
        <w:t xml:space="preserve">, por meio </w:t>
      </w:r>
      <w:r w:rsidR="009C5F72">
        <w:rPr>
          <w:rFonts w:ascii="Times New Roman" w:hAnsi="Times New Roman" w:cs="Times New Roman"/>
          <w:color w:val="000000"/>
          <w:sz w:val="24"/>
        </w:rPr>
        <w:t>da Comissão Permanente de Licitação</w:t>
      </w:r>
      <w:r w:rsidRPr="006404D5">
        <w:rPr>
          <w:rFonts w:ascii="Times New Roman" w:hAnsi="Times New Roman" w:cs="Times New Roman"/>
          <w:color w:val="000000"/>
          <w:sz w:val="24"/>
        </w:rPr>
        <w:t xml:space="preserve">, realizará licitação, </w:t>
      </w:r>
      <w:r w:rsidRPr="009C5F72">
        <w:rPr>
          <w:rFonts w:ascii="Times New Roman" w:hAnsi="Times New Roman" w:cs="Times New Roman"/>
          <w:color w:val="000000"/>
          <w:sz w:val="24"/>
        </w:rPr>
        <w:t>para registro de preços,</w:t>
      </w:r>
      <w:r w:rsidRPr="006404D5">
        <w:rPr>
          <w:rFonts w:ascii="Times New Roman" w:hAnsi="Times New Roman" w:cs="Times New Roman"/>
          <w:color w:val="000000"/>
          <w:sz w:val="24"/>
        </w:rPr>
        <w:t xml:space="preserve"> na modalidade PREGÃO, na forma ELETRÔNICA, nos termos da Lei nº 14.133, de 2021, e demais legislação aplicável e, ainda, de acordo com as condições estabelecidas neste Edital.</w:t>
      </w:r>
    </w:p>
    <w:p w:rsidR="008E1037" w:rsidRPr="006404D5" w:rsidRDefault="008E1037" w:rsidP="008E1037">
      <w:pPr>
        <w:spacing w:before="120" w:after="120"/>
        <w:jc w:val="both"/>
        <w:rPr>
          <w:rFonts w:ascii="Times New Roman" w:hAnsi="Times New Roman" w:cs="Times New Roman"/>
          <w:sz w:val="24"/>
        </w:rPr>
      </w:pPr>
      <w:r w:rsidRPr="006404D5">
        <w:rPr>
          <w:rFonts w:ascii="Times New Roman" w:hAnsi="Times New Roman" w:cs="Times New Roman"/>
          <w:color w:val="000000"/>
          <w:sz w:val="24"/>
        </w:rPr>
        <w:t xml:space="preserve">Valor total da contratação: </w:t>
      </w:r>
      <w:r w:rsidR="009C5F72">
        <w:rPr>
          <w:rFonts w:ascii="Times New Roman" w:hAnsi="Times New Roman" w:cs="Times New Roman"/>
          <w:color w:val="FF0000"/>
          <w:sz w:val="24"/>
        </w:rPr>
        <w:t xml:space="preserve">R$ </w:t>
      </w:r>
      <w:r w:rsidR="00DB7B86">
        <w:rPr>
          <w:rFonts w:ascii="Times New Roman" w:hAnsi="Times New Roman" w:cs="Times New Roman"/>
          <w:color w:val="FF0000"/>
          <w:sz w:val="24"/>
        </w:rPr>
        <w:t>235.231,65 (duzentos e trinta e cinco mil duzentos trinta e um reais e sessenta e cinco centavos).</w:t>
      </w:r>
    </w:p>
    <w:p w:rsidR="008E1037" w:rsidRPr="006404D5" w:rsidRDefault="008E1037" w:rsidP="008E1037">
      <w:pPr>
        <w:spacing w:before="120" w:after="120"/>
        <w:jc w:val="both"/>
        <w:rPr>
          <w:rFonts w:ascii="Times New Roman" w:hAnsi="Times New Roman" w:cs="Times New Roman"/>
          <w:sz w:val="24"/>
        </w:rPr>
      </w:pPr>
      <w:r w:rsidRPr="006404D5">
        <w:rPr>
          <w:rFonts w:ascii="Times New Roman" w:hAnsi="Times New Roman" w:cs="Times New Roman"/>
          <w:color w:val="000000"/>
          <w:sz w:val="24"/>
        </w:rPr>
        <w:t xml:space="preserve">Data da sessão pública: </w:t>
      </w:r>
      <w:r w:rsidR="00D9651B">
        <w:rPr>
          <w:rFonts w:ascii="Times New Roman" w:hAnsi="Times New Roman" w:cs="Times New Roman"/>
          <w:color w:val="FF0000"/>
          <w:sz w:val="24"/>
        </w:rPr>
        <w:t>0</w:t>
      </w:r>
      <w:r w:rsidR="00D96341">
        <w:rPr>
          <w:rFonts w:ascii="Times New Roman" w:hAnsi="Times New Roman" w:cs="Times New Roman"/>
          <w:color w:val="FF0000"/>
          <w:sz w:val="24"/>
        </w:rPr>
        <w:t>4</w:t>
      </w:r>
      <w:r w:rsidR="00DB7B86">
        <w:rPr>
          <w:rFonts w:ascii="Times New Roman" w:hAnsi="Times New Roman" w:cs="Times New Roman"/>
          <w:color w:val="FF0000"/>
          <w:sz w:val="24"/>
        </w:rPr>
        <w:t xml:space="preserve"> de </w:t>
      </w:r>
      <w:r w:rsidR="00D96341">
        <w:rPr>
          <w:rFonts w:ascii="Times New Roman" w:hAnsi="Times New Roman" w:cs="Times New Roman"/>
          <w:color w:val="FF0000"/>
          <w:sz w:val="24"/>
        </w:rPr>
        <w:t>junho</w:t>
      </w:r>
      <w:r w:rsidR="009C5F72">
        <w:rPr>
          <w:rFonts w:ascii="Times New Roman" w:hAnsi="Times New Roman" w:cs="Times New Roman"/>
          <w:color w:val="FF0000"/>
          <w:sz w:val="24"/>
        </w:rPr>
        <w:t xml:space="preserve"> de 2024.</w:t>
      </w:r>
    </w:p>
    <w:p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Horário: </w:t>
      </w:r>
      <w:r w:rsidR="00DB7B86">
        <w:rPr>
          <w:rFonts w:ascii="Times New Roman" w:hAnsi="Times New Roman" w:cs="Times New Roman"/>
          <w:color w:val="FF0000"/>
          <w:sz w:val="24"/>
        </w:rPr>
        <w:t>10</w:t>
      </w:r>
      <w:r w:rsidR="009C5F72">
        <w:rPr>
          <w:rFonts w:ascii="Times New Roman" w:hAnsi="Times New Roman" w:cs="Times New Roman"/>
          <w:color w:val="FF0000"/>
          <w:sz w:val="24"/>
        </w:rPr>
        <w:t xml:space="preserve">:00 (nove horas) </w:t>
      </w:r>
      <w:r w:rsidRPr="006404D5">
        <w:rPr>
          <w:rFonts w:ascii="Times New Roman" w:hAnsi="Times New Roman" w:cs="Times New Roman"/>
          <w:color w:val="FF0000"/>
          <w:sz w:val="24"/>
        </w:rPr>
        <w:t xml:space="preserve"> </w:t>
      </w:r>
      <w:r w:rsidRPr="006404D5">
        <w:rPr>
          <w:rFonts w:ascii="Times New Roman" w:hAnsi="Times New Roman" w:cs="Times New Roman"/>
          <w:sz w:val="24"/>
        </w:rPr>
        <w:t>(horário de Brasília)</w:t>
      </w:r>
    </w:p>
    <w:p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sz w:val="24"/>
        </w:rPr>
        <w:t xml:space="preserve">Critério de Julgamento: </w:t>
      </w:r>
      <w:r w:rsidR="009C5F72">
        <w:rPr>
          <w:rFonts w:ascii="Times New Roman" w:hAnsi="Times New Roman" w:cs="Times New Roman"/>
          <w:bCs/>
          <w:color w:val="FF0000"/>
          <w:sz w:val="24"/>
        </w:rPr>
        <w:t>menor preço</w:t>
      </w:r>
    </w:p>
    <w:p w:rsidR="008E1037" w:rsidRPr="006404D5" w:rsidRDefault="008E1037" w:rsidP="008E1037">
      <w:pPr>
        <w:spacing w:before="120" w:after="120"/>
        <w:rPr>
          <w:rFonts w:ascii="Times New Roman" w:hAnsi="Times New Roman" w:cs="Times New Roman"/>
          <w:color w:val="FF0000"/>
          <w:sz w:val="24"/>
        </w:rPr>
      </w:pPr>
      <w:r w:rsidRPr="006404D5">
        <w:rPr>
          <w:rFonts w:ascii="Times New Roman" w:hAnsi="Times New Roman" w:cs="Times New Roman"/>
          <w:color w:val="000000"/>
          <w:sz w:val="24"/>
        </w:rPr>
        <w:t xml:space="preserve">Modo de disputa: </w:t>
      </w:r>
      <w:r w:rsidR="009C5F72">
        <w:rPr>
          <w:rFonts w:ascii="Times New Roman" w:hAnsi="Times New Roman" w:cs="Times New Roman"/>
          <w:color w:val="FF0000"/>
          <w:sz w:val="24"/>
        </w:rPr>
        <w:t>aberto e fechado</w:t>
      </w:r>
    </w:p>
    <w:p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Preferências ME/EPP/Equiparadas: </w:t>
      </w:r>
      <w:r w:rsidR="009C5F72">
        <w:rPr>
          <w:rFonts w:ascii="Times New Roman" w:hAnsi="Times New Roman" w:cs="Times New Roman"/>
          <w:color w:val="FF0000"/>
          <w:sz w:val="24"/>
        </w:rPr>
        <w:t>não</w:t>
      </w:r>
    </w:p>
    <w:p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Local: </w:t>
      </w:r>
      <w:r w:rsidR="009C5F72">
        <w:rPr>
          <w:rFonts w:ascii="Times New Roman" w:hAnsi="Times New Roman" w:cs="Times New Roman"/>
          <w:sz w:val="24"/>
        </w:rPr>
        <w:t>BNC - Bolsa Nacional de Compras (https://bnc.org.br/)</w:t>
      </w:r>
    </w:p>
    <w:p w:rsidR="008E1037" w:rsidRPr="006404D5" w:rsidRDefault="008E1037" w:rsidP="008E1037">
      <w:pPr>
        <w:numPr>
          <w:ilvl w:val="0"/>
          <w:numId w:val="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 OBJETO</w:t>
      </w:r>
    </w:p>
    <w:p w:rsidR="008E1037" w:rsidRPr="006404D5" w:rsidRDefault="008E1037" w:rsidP="008E1037">
      <w:pPr>
        <w:numPr>
          <w:ilvl w:val="0"/>
          <w:numId w:val="2"/>
        </w:numPr>
        <w:tabs>
          <w:tab w:val="left" w:pos="851"/>
        </w:tabs>
        <w:spacing w:before="120" w:after="120"/>
        <w:ind w:left="0" w:firstLine="0"/>
        <w:jc w:val="both"/>
        <w:rPr>
          <w:rFonts w:ascii="Times New Roman" w:hAnsi="Times New Roman" w:cs="Times New Roman"/>
          <w:sz w:val="24"/>
        </w:rPr>
      </w:pPr>
      <w:r w:rsidRPr="006404D5">
        <w:rPr>
          <w:rFonts w:ascii="Times New Roman" w:hAnsi="Times New Roman" w:cs="Times New Roman"/>
          <w:bCs/>
          <w:iCs/>
          <w:sz w:val="24"/>
        </w:rPr>
        <w:t xml:space="preserve">O objeto da presente licitação é a </w:t>
      </w:r>
      <w:r w:rsidR="00DB7B86" w:rsidRPr="00B62B0A">
        <w:rPr>
          <w:rFonts w:ascii="Times New Roman" w:hAnsi="Times New Roman" w:cs="Times New Roman"/>
          <w:bCs/>
          <w:iCs/>
          <w:color w:val="FF0000"/>
          <w:sz w:val="24"/>
        </w:rPr>
        <w:t>eventual e futura aquisição de materiais de limpeza para atender as necessidades da limpeza urbana de Murici/AL</w:t>
      </w:r>
      <w:r w:rsidRPr="006404D5">
        <w:rPr>
          <w:rFonts w:ascii="Times New Roman" w:hAnsi="Times New Roman" w:cs="Times New Roman"/>
          <w:bCs/>
          <w:iCs/>
          <w:sz w:val="24"/>
        </w:rPr>
        <w:t>,</w:t>
      </w:r>
      <w:r w:rsidRPr="006404D5">
        <w:rPr>
          <w:rFonts w:ascii="Times New Roman" w:hAnsi="Times New Roman" w:cs="Times New Roman"/>
          <w:bCs/>
          <w:iCs/>
          <w:color w:val="FF0000"/>
          <w:sz w:val="24"/>
        </w:rPr>
        <w:t xml:space="preserve"> </w:t>
      </w:r>
      <w:r w:rsidRPr="006404D5">
        <w:rPr>
          <w:rFonts w:ascii="Times New Roman" w:hAnsi="Times New Roman" w:cs="Times New Roman"/>
          <w:bCs/>
          <w:iCs/>
          <w:sz w:val="24"/>
        </w:rPr>
        <w:t>conforme condições, quantidades e exigências estabelecidas neste Edital e seus anexos.</w:t>
      </w:r>
    </w:p>
    <w:p w:rsidR="008E1037" w:rsidRPr="006404D5" w:rsidRDefault="008E1037" w:rsidP="008E1037">
      <w:pPr>
        <w:numPr>
          <w:ilvl w:val="0"/>
          <w:numId w:val="6"/>
        </w:numPr>
        <w:tabs>
          <w:tab w:val="left" w:pos="851"/>
        </w:tabs>
        <w:spacing w:before="120" w:after="120"/>
        <w:ind w:left="0" w:firstLine="0"/>
        <w:jc w:val="both"/>
        <w:rPr>
          <w:rFonts w:ascii="Times New Roman" w:hAnsi="Times New Roman" w:cs="Times New Roman"/>
          <w:color w:val="FF0000"/>
          <w:sz w:val="24"/>
        </w:rPr>
      </w:pPr>
      <w:r w:rsidRPr="006404D5">
        <w:rPr>
          <w:rFonts w:ascii="Times New Roman" w:hAnsi="Times New Roman" w:cs="Times New Roman"/>
          <w:bCs/>
          <w:iCs/>
          <w:color w:val="FF0000"/>
          <w:sz w:val="24"/>
        </w:rPr>
        <w:t>A licitação será realizada conforme tabela constante no Termo de Referência, devendo o li</w:t>
      </w:r>
      <w:r w:rsidR="00167F9F">
        <w:rPr>
          <w:rFonts w:ascii="Times New Roman" w:hAnsi="Times New Roman" w:cs="Times New Roman"/>
          <w:bCs/>
          <w:iCs/>
          <w:color w:val="FF0000"/>
          <w:sz w:val="24"/>
        </w:rPr>
        <w:t>citante oferecer proposta para cada</w:t>
      </w:r>
      <w:r w:rsidRPr="006404D5">
        <w:rPr>
          <w:rFonts w:ascii="Times New Roman" w:hAnsi="Times New Roman" w:cs="Times New Roman"/>
          <w:bCs/>
          <w:iCs/>
          <w:color w:val="FF0000"/>
          <w:sz w:val="24"/>
        </w:rPr>
        <w:t xml:space="preserve"> </w:t>
      </w:r>
      <w:r w:rsidR="00167F9F">
        <w:rPr>
          <w:rFonts w:ascii="Times New Roman" w:hAnsi="Times New Roman" w:cs="Times New Roman"/>
          <w:bCs/>
          <w:iCs/>
          <w:color w:val="FF0000"/>
          <w:sz w:val="24"/>
        </w:rPr>
        <w:t>item</w:t>
      </w:r>
      <w:r w:rsidRPr="006404D5">
        <w:rPr>
          <w:rFonts w:ascii="Times New Roman" w:hAnsi="Times New Roman" w:cs="Times New Roman"/>
          <w:bCs/>
          <w:iCs/>
          <w:color w:val="FF0000"/>
          <w:sz w:val="24"/>
        </w:rPr>
        <w:t xml:space="preserve"> que o compõem.</w:t>
      </w:r>
    </w:p>
    <w:p w:rsidR="008E1037" w:rsidRPr="002D52B0" w:rsidRDefault="008E1037" w:rsidP="008E1037">
      <w:pPr>
        <w:numPr>
          <w:ilvl w:val="0"/>
          <w:numId w:val="3"/>
        </w:numPr>
        <w:tabs>
          <w:tab w:val="left" w:pos="851"/>
        </w:tabs>
        <w:spacing w:before="120" w:after="120"/>
        <w:ind w:left="0" w:firstLine="0"/>
        <w:jc w:val="both"/>
        <w:rPr>
          <w:rFonts w:ascii="Times New Roman" w:hAnsi="Times New Roman" w:cs="Times New Roman"/>
          <w:b/>
          <w:sz w:val="24"/>
        </w:rPr>
      </w:pPr>
      <w:r w:rsidRPr="002D52B0">
        <w:rPr>
          <w:rFonts w:ascii="Times New Roman" w:hAnsi="Times New Roman" w:cs="Times New Roman"/>
          <w:b/>
          <w:sz w:val="24"/>
        </w:rPr>
        <w:t>DO REGISTRO DE PREÇOS</w:t>
      </w:r>
    </w:p>
    <w:p w:rsidR="008E1037" w:rsidRPr="002D52B0" w:rsidRDefault="008E1037" w:rsidP="008E1037">
      <w:pPr>
        <w:numPr>
          <w:ilvl w:val="1"/>
          <w:numId w:val="14"/>
        </w:numPr>
        <w:tabs>
          <w:tab w:val="left" w:pos="851"/>
        </w:tabs>
        <w:spacing w:before="120" w:after="120"/>
        <w:ind w:left="0" w:firstLine="0"/>
        <w:jc w:val="both"/>
        <w:rPr>
          <w:rFonts w:ascii="Times New Roman" w:hAnsi="Times New Roman" w:cs="Times New Roman"/>
          <w:b/>
          <w:sz w:val="24"/>
        </w:rPr>
      </w:pPr>
      <w:r w:rsidRPr="002D52B0">
        <w:rPr>
          <w:rFonts w:ascii="Times New Roman" w:hAnsi="Times New Roman" w:cs="Times New Roman"/>
          <w:sz w:val="24"/>
        </w:rPr>
        <w:t>As regras referentes aos órgãos gerenciador e participantes, bem como a eventuais adesões são as que constam da minuta de Ata de Registro de Preços.</w:t>
      </w:r>
    </w:p>
    <w:p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PARTICIPAÇÃO NA LICITAÇÃO</w:t>
      </w:r>
    </w:p>
    <w:p w:rsidR="008E1037" w:rsidRPr="006404D5" w:rsidRDefault="008E1037" w:rsidP="008E1037">
      <w:pPr>
        <w:pStyle w:val="PargrafodaLista"/>
        <w:numPr>
          <w:ilvl w:val="0"/>
          <w:numId w:val="7"/>
        </w:numPr>
        <w:tabs>
          <w:tab w:val="left" w:pos="851"/>
        </w:tabs>
        <w:spacing w:before="120" w:after="120"/>
        <w:contextualSpacing w:val="0"/>
        <w:jc w:val="both"/>
        <w:rPr>
          <w:rFonts w:ascii="Times New Roman" w:hAnsi="Times New Roman" w:cs="Times New Roman"/>
          <w:vanish/>
          <w:sz w:val="24"/>
        </w:rPr>
      </w:pPr>
    </w:p>
    <w:p w:rsidR="008E1037" w:rsidRPr="006404D5" w:rsidRDefault="008E1037" w:rsidP="008E1037">
      <w:pPr>
        <w:pStyle w:val="PargrafodaLista"/>
        <w:numPr>
          <w:ilvl w:val="0"/>
          <w:numId w:val="7"/>
        </w:numPr>
        <w:tabs>
          <w:tab w:val="left" w:pos="851"/>
        </w:tabs>
        <w:spacing w:before="120" w:after="120"/>
        <w:contextualSpacing w:val="0"/>
        <w:jc w:val="both"/>
        <w:rPr>
          <w:rFonts w:ascii="Times New Roman" w:hAnsi="Times New Roman" w:cs="Times New Roman"/>
          <w:vanish/>
          <w:sz w:val="24"/>
        </w:rPr>
      </w:pPr>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Poderão participar deste Pregão os interessados que estiverem previamente credenciados no Sistema de Cadastramento Unificado de Fornecedores - SICAF e no </w:t>
      </w:r>
      <w:r w:rsidR="009C5F72">
        <w:rPr>
          <w:rFonts w:ascii="Times New Roman" w:hAnsi="Times New Roman" w:cs="Times New Roman"/>
          <w:sz w:val="24"/>
        </w:rPr>
        <w:t>BNC - Bolsa Nacional de Compras(https://bnc.org.br/)</w:t>
      </w:r>
      <w:r w:rsidRPr="006404D5">
        <w:rPr>
          <w:rFonts w:ascii="Times New Roman" w:hAnsi="Times New Roman" w:cs="Times New Roman"/>
          <w:sz w:val="24"/>
        </w:rPr>
        <w:t>.</w:t>
      </w:r>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Os interessados deverão atender às condições exigidas no cadastramento no SICAF até o terceiro dia útil anterior à data prevista para recebimento das propostas.</w:t>
      </w:r>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6404D5">
        <w:rPr>
          <w:rFonts w:ascii="Times New Roman" w:hAnsi="Times New Roman" w:cs="Times New Roman"/>
          <w:sz w:val="24"/>
        </w:rPr>
        <w:lastRenderedPageBreak/>
        <w:t>licitação por eventuais danos decorrentes de uso indevido das credenciais de acesso, ainda que por terceiros.</w:t>
      </w:r>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 não observância do disposto no item anterior poderá ensejar desclassificação no momento da habilitação.</w:t>
      </w:r>
    </w:p>
    <w:p w:rsidR="008E1037" w:rsidRPr="002D52B0" w:rsidRDefault="008E1037" w:rsidP="008E1037">
      <w:pPr>
        <w:numPr>
          <w:ilvl w:val="1"/>
          <w:numId w:val="7"/>
        </w:numPr>
        <w:tabs>
          <w:tab w:val="left" w:pos="851"/>
        </w:tabs>
        <w:spacing w:before="120" w:after="120"/>
        <w:ind w:left="0" w:firstLine="0"/>
        <w:jc w:val="both"/>
        <w:rPr>
          <w:rFonts w:ascii="Times New Roman" w:hAnsi="Times New Roman" w:cs="Times New Roman"/>
          <w:bCs/>
          <w:sz w:val="24"/>
          <w:highlight w:val="yellow"/>
        </w:rPr>
      </w:pPr>
      <w:r w:rsidRPr="002D52B0">
        <w:rPr>
          <w:rFonts w:ascii="Times New Roman" w:hAnsi="Times New Roman" w:cs="Times New Roman"/>
          <w:color w:val="FF0000"/>
          <w:sz w:val="24"/>
          <w:highlight w:val="yellow"/>
        </w:rPr>
        <w:t>Para os itens (...), (...), (...), a participação é exclusiva a microempresas e empresas de pequeno porte, nos termos do art. 48 da Lei Complementar nº 123, de 14 de dezembro de 2006.</w:t>
      </w:r>
      <w:bookmarkStart w:id="0" w:name="_Ref117015508"/>
    </w:p>
    <w:p w:rsidR="008E1037" w:rsidRPr="002D52B0" w:rsidRDefault="008E1037" w:rsidP="008E1037">
      <w:pPr>
        <w:numPr>
          <w:ilvl w:val="2"/>
          <w:numId w:val="7"/>
        </w:numPr>
        <w:tabs>
          <w:tab w:val="left" w:pos="851"/>
        </w:tabs>
        <w:spacing w:before="120" w:after="120"/>
        <w:ind w:left="0" w:firstLine="0"/>
        <w:jc w:val="both"/>
        <w:rPr>
          <w:rFonts w:ascii="Times New Roman" w:hAnsi="Times New Roman" w:cs="Times New Roman"/>
          <w:bCs/>
          <w:sz w:val="24"/>
          <w:highlight w:val="yellow"/>
        </w:rPr>
      </w:pPr>
      <w:r w:rsidRPr="002D52B0">
        <w:rPr>
          <w:rFonts w:ascii="Times New Roman" w:hAnsi="Times New Roman" w:cs="Times New Roman"/>
          <w:color w:val="FF0000"/>
          <w:sz w:val="24"/>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Será concedido tratamento favorecido para as microempresas e empresas de pequeno porte, </w:t>
      </w:r>
      <w:r w:rsidRPr="006404D5">
        <w:rPr>
          <w:rFonts w:ascii="Times New Roman" w:hAnsi="Times New Roman" w:cs="Times New Roman"/>
          <w:color w:val="FF0000"/>
          <w:sz w:val="24"/>
        </w:rPr>
        <w:t>para as sociedades cooperativas mencionadas no art. 16 da Lei nº 14.133, de 2021</w:t>
      </w:r>
      <w:r w:rsidRPr="006404D5">
        <w:rPr>
          <w:rFonts w:ascii="Times New Roman" w:hAnsi="Times New Roman" w:cs="Times New Roman"/>
          <w:sz w:val="24"/>
        </w:rPr>
        <w:t>, e para o microempreendedor individual - MEI, nos limites previstos da Lei Complementar nº 123, de 2006.</w:t>
      </w:r>
      <w:bookmarkStart w:id="1" w:name="_Ref117000692"/>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Não poderão disputar esta licitação:</w:t>
      </w:r>
      <w:bookmarkStart w:id="2" w:name="_Ref113883338"/>
      <w:bookmarkEnd w:id="1"/>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aquele que não atenda às condições deste Edital e seu(s) anexo(s);</w:t>
      </w:r>
      <w:bookmarkStart w:id="3" w:name="_Ref114659912"/>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6404D5">
        <w:rPr>
          <w:rFonts w:ascii="Times New Roman" w:hAnsi="Times New Roman" w:cs="Times New Roman"/>
          <w:sz w:val="24"/>
        </w:rPr>
        <w:t xml:space="preserve"> </w:t>
      </w:r>
      <w:bookmarkStart w:id="6" w:name="_Ref113883003"/>
      <w:bookmarkEnd w:id="5"/>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pessoa física ou jurídica que se encontre, ao tempo da licitação, impossibilitada de participar da licitação em decorrência de sanção que lhe foi imposta;</w:t>
      </w:r>
      <w:bookmarkEnd w:id="6"/>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empresas controladoras, controladas ou coligadas, nos termos da Lei nº 6.404, de 15 de dezembro de 1976, concorrendo entre si;</w:t>
      </w:r>
      <w:bookmarkEnd w:id="7"/>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_Ref113962336"/>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agente público do órgão ou entidade licitante;</w:t>
      </w:r>
      <w:bookmarkEnd w:id="8"/>
    </w:p>
    <w:p w:rsidR="008E1037" w:rsidRPr="002D52B0"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2D52B0">
        <w:rPr>
          <w:rFonts w:ascii="Times New Roman" w:hAnsi="Times New Roman" w:cs="Times New Roman"/>
          <w:sz w:val="24"/>
        </w:rPr>
        <w:t>pessoas jurídicas reunidas em consórcio;</w:t>
      </w:r>
    </w:p>
    <w:p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art14§2"/>
      <w:bookmarkEnd w:id="9"/>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bookmarkStart w:id="10" w:name="art14§3"/>
      <w:bookmarkEnd w:id="10"/>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Equiparam-se aos autores do projeto as empresas integrantes do mesmo grupo econômico.</w:t>
      </w:r>
      <w:bookmarkStart w:id="11" w:name="art14§4"/>
      <w:bookmarkEnd w:id="11"/>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A vedação de que trata o item </w:t>
      </w:r>
      <w:r w:rsidR="009C5F72">
        <w:fldChar w:fldCharType="begin"/>
      </w:r>
      <w:r w:rsidR="009C5F72">
        <w:instrText xml:space="preserve"> REF _Ref113962336 \r \h  \* MERGEFORMAT </w:instrText>
      </w:r>
      <w:r w:rsidR="009C5F72">
        <w:fldChar w:fldCharType="separate"/>
      </w:r>
      <w:r w:rsidRPr="006404D5">
        <w:rPr>
          <w:rFonts w:ascii="Times New Roman" w:hAnsi="Times New Roman" w:cs="Times New Roman"/>
          <w:sz w:val="24"/>
        </w:rPr>
        <w:t>3.7.8</w:t>
      </w:r>
      <w:r w:rsidR="009C5F72">
        <w:fldChar w:fldCharType="end"/>
      </w:r>
      <w:r w:rsidRPr="006404D5">
        <w:rPr>
          <w:rFonts w:ascii="Times New Roman" w:hAnsi="Times New Roman" w:cs="Times New Roman"/>
          <w:sz w:val="24"/>
        </w:rPr>
        <w:t xml:space="preserve"> estende-se a terceiro que auxilie a condução da contratação na qualidade de integrante de equipe de apoio, profissional especializado ou funcionário ou representante de empresa que preste assessoria técnica.</w:t>
      </w:r>
    </w:p>
    <w:p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APRESENTAÇÃO DA PROPOSTA E DOS DOCUMENTOS DE HABILITAÇÃO</w:t>
      </w:r>
    </w:p>
    <w:p w:rsidR="008E1037" w:rsidRPr="006404D5" w:rsidRDefault="008E1037" w:rsidP="008E1037">
      <w:pPr>
        <w:pStyle w:val="PargrafodaLista"/>
        <w:numPr>
          <w:ilvl w:val="0"/>
          <w:numId w:val="8"/>
        </w:numPr>
        <w:tabs>
          <w:tab w:val="left" w:pos="851"/>
        </w:tabs>
        <w:spacing w:before="120" w:after="120"/>
        <w:contextualSpacing w:val="0"/>
        <w:jc w:val="both"/>
        <w:rPr>
          <w:rFonts w:ascii="Times New Roman" w:hAnsi="Times New Roman" w:cs="Times New Roman"/>
          <w:bCs/>
          <w:vanish/>
          <w:color w:val="FF0000"/>
          <w:sz w:val="24"/>
        </w:rPr>
      </w:pPr>
    </w:p>
    <w:p w:rsidR="008E1037" w:rsidRPr="006404D5" w:rsidRDefault="008E1037" w:rsidP="008E1037">
      <w:pPr>
        <w:pStyle w:val="PargrafodaLista"/>
        <w:numPr>
          <w:ilvl w:val="0"/>
          <w:numId w:val="8"/>
        </w:numPr>
        <w:tabs>
          <w:tab w:val="left" w:pos="851"/>
        </w:tabs>
        <w:spacing w:before="120" w:after="120"/>
        <w:contextualSpacing w:val="0"/>
        <w:jc w:val="both"/>
        <w:rPr>
          <w:rFonts w:ascii="Times New Roman" w:hAnsi="Times New Roman" w:cs="Times New Roman"/>
          <w:bCs/>
          <w:vanish/>
          <w:color w:val="FF0000"/>
          <w:sz w:val="24"/>
        </w:rPr>
      </w:pPr>
    </w:p>
    <w:p w:rsidR="008E1037" w:rsidRPr="006404D5" w:rsidRDefault="008E1037" w:rsidP="008E1037">
      <w:pPr>
        <w:numPr>
          <w:ilvl w:val="1"/>
          <w:numId w:val="8"/>
        </w:numPr>
        <w:tabs>
          <w:tab w:val="left" w:pos="851"/>
        </w:tabs>
        <w:spacing w:before="120" w:after="120"/>
        <w:ind w:left="0" w:firstLine="0"/>
        <w:jc w:val="both"/>
        <w:rPr>
          <w:rFonts w:ascii="Times New Roman" w:hAnsi="Times New Roman" w:cs="Times New Roman"/>
          <w:bCs/>
          <w:color w:val="FF0000"/>
          <w:sz w:val="24"/>
        </w:rPr>
      </w:pPr>
      <w:r w:rsidRPr="006404D5">
        <w:rPr>
          <w:rFonts w:ascii="Times New Roman" w:hAnsi="Times New Roman" w:cs="Times New Roman"/>
          <w:bCs/>
          <w:color w:val="FF0000"/>
          <w:sz w:val="24"/>
        </w:rPr>
        <w:t>Na presente licitação, a fase de habilitação sucederá as fases de apresentação de propostas e lances e de julgamento.</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a fase de habilitação anteceda as fases de apresentação de propostas e lances, os licitantes encaminharão, n</w:t>
      </w:r>
      <w:r w:rsidR="00826001" w:rsidRPr="006404D5">
        <w:rPr>
          <w:rFonts w:ascii="Times New Roman" w:hAnsi="Times New Roman" w:cs="Times New Roman"/>
          <w:bCs/>
          <w:sz w:val="24"/>
        </w:rPr>
        <w:t>a forma e no prazo estabelecido</w:t>
      </w:r>
      <w:r w:rsidRPr="006404D5">
        <w:rPr>
          <w:rFonts w:ascii="Times New Roman" w:hAnsi="Times New Roman" w:cs="Times New Roman"/>
          <w:bCs/>
          <w:sz w:val="24"/>
        </w:rPr>
        <w:t xml:space="preserve"> no item anterior, simultaneamente os documentos de habilitação e a proposta com o preço ou o percentual de desconto, observado o disposto nos itens</w:t>
      </w:r>
      <w:r w:rsidRPr="006404D5">
        <w:rPr>
          <w:rFonts w:ascii="Times New Roman" w:hAnsi="Times New Roman" w:cs="Times New Roman"/>
          <w:bCs/>
          <w:color w:val="FF0000"/>
          <w:sz w:val="24"/>
        </w:rPr>
        <w:t xml:space="preserve"> </w:t>
      </w:r>
      <w:r w:rsidRPr="006404D5">
        <w:rPr>
          <w:rFonts w:ascii="Times New Roman" w:hAnsi="Times New Roman" w:cs="Times New Roman"/>
          <w:bCs/>
          <w:sz w:val="24"/>
        </w:rPr>
        <w:t>7.1.1 e 7.12.1 deste Edital.</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cadastramento da proposta inicial, o licitante declarará, em campo próprio do sistema, que:</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emprega menor de 18 anos em trabalho noturno, perigoso ou insalubre e não emprega menor de 16 anos, salvo menor, a partir de 14 anos, na condição de aprendiz, nos termos do art. 7°, XXXIII, da Constituição;</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possui, em sua cadeia produtiva, empregados executando trabalho degradante ou forçado, observando o disposto nos incisos III e IV do art. 1º e no inciso III do art. 5º da Constituição Federal;</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cumpre as exigências de reserva de cargos para pessoa com deficiência e para reabilitado da Previdência Social, previstas em lei e em outras normas específicas.</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organizado em cooperativa deverá declarar, ainda, em campo próprio do sistema eletrônico, que cumpre os requisitos estabelecidos no art. 16 da Lei nº 14.133, de 2021.</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fornecedor enquadrado como microempresa, empresa de pequeno porte ou sociedade cooperativa deverá declarar, ainda, em campo próprio do sistema eletrônico, que cumpre os requisitos estabelecidos no art. 3° da Lei Complementar nº 123, de 2006, estando apto a usufruir do tratamento favorecido estabelecido em seus arts. 42 a 49, observado o disposto nos §§ 1º ao 3º do art. 4º, da Lei n.º 14.133, de 2021:</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item exclusivo para participação de microempresas e empresas de pequeno porte, a assinalação do campo “não” impedirá o prosseguimento no certame, para aquele item;</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falsidade da declaração de que trata os itens 3.4 ou 3.6 sujeitará o licitante às sanções previstas na Lei nº 14.133, de 2021, e neste Edital.</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haverá ordem de classificação na etapa de apresentação da proposta e dos documentos de habilitação pelo licitante, o que ocorrerá somente após os procedimentos de abertura da sessão pública e da fase de envio de lances.</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Serão disponibilizados para acesso público os documentos que compõem a proposta dos licitantes convocados para apresentação de propostas, após a fase de envio de lances.</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Desde que disponibilizada a funcionalidade no sistema, o licitante poderá parametrizar o seu valor final mínimo ou o seu percentual de desconto máximo quando do cadastramento da proposta e obedecerá às seguintes regras:</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aplicação do intervalo mínimo de diferença de valores ou de percentuais entre os lances, que incidirá tanto em relação aos lances intermediários quanto em relação ao lance que cobrir a melhor oferta; e</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lances serão de envio automático pelo sistema, respeitado o valor final mínimo estabelecido e o intervalo de que trata o subitem acima.</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valor final mínimo ou o percentual de desconto final máximo parametrizado no sistema poderá ser alterado pelo fornecedor durante a fase de disputa, sendo vedado:</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valor superior a lance já registrado pelo fornecedor no sistema, quando adotado o critério de julgamento por menor preço; e</w:t>
      </w:r>
    </w:p>
    <w:p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 percentual de desconto inferior a lance já registrado pelo fornecedor no sistema, quando adotado o critério de julgamento por maior desconto.</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deverá comunicar imediatamente ao provedor do sistema qualquer acontecimento que possa comprometer o sigilo ou a segurança, para imediato bloqueio de acesso.</w:t>
      </w:r>
    </w:p>
    <w:p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 PREENCHIMENTO DA PROPOSTA</w:t>
      </w:r>
    </w:p>
    <w:p w:rsidR="008E1037" w:rsidRPr="006404D5" w:rsidRDefault="008E1037" w:rsidP="008E1037">
      <w:pPr>
        <w:pStyle w:val="PargrafodaLista"/>
        <w:numPr>
          <w:ilvl w:val="0"/>
          <w:numId w:val="10"/>
        </w:numPr>
        <w:tabs>
          <w:tab w:val="left" w:pos="851"/>
        </w:tabs>
        <w:spacing w:before="120" w:after="120"/>
        <w:contextualSpacing w:val="0"/>
        <w:jc w:val="both"/>
        <w:rPr>
          <w:rFonts w:ascii="Times New Roman" w:hAnsi="Times New Roman" w:cs="Times New Roman"/>
          <w:bCs/>
          <w:vanish/>
          <w:sz w:val="24"/>
        </w:rPr>
      </w:pPr>
    </w:p>
    <w:p w:rsidR="008E1037" w:rsidRPr="006404D5" w:rsidRDefault="008E1037" w:rsidP="008E1037">
      <w:pPr>
        <w:pStyle w:val="PargrafodaLista"/>
        <w:numPr>
          <w:ilvl w:val="0"/>
          <w:numId w:val="10"/>
        </w:numPr>
        <w:tabs>
          <w:tab w:val="left" w:pos="851"/>
        </w:tabs>
        <w:spacing w:before="120" w:after="120"/>
        <w:contextualSpacing w:val="0"/>
        <w:jc w:val="both"/>
        <w:rPr>
          <w:rFonts w:ascii="Times New Roman" w:hAnsi="Times New Roman" w:cs="Times New Roman"/>
          <w:bCs/>
          <w:vanish/>
          <w:sz w:val="24"/>
        </w:rPr>
      </w:pPr>
    </w:p>
    <w:p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 licitante deverá enviar sua proposta mediante o preenchimento, no sistema eletrônico, dos seguintes campos:</w:t>
      </w:r>
    </w:p>
    <w:p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color w:val="FF0000"/>
          <w:sz w:val="24"/>
        </w:rPr>
      </w:pPr>
      <w:r w:rsidRPr="006404D5">
        <w:rPr>
          <w:rFonts w:ascii="Times New Roman" w:hAnsi="Times New Roman" w:cs="Times New Roman"/>
          <w:bCs/>
          <w:color w:val="FF0000"/>
          <w:sz w:val="24"/>
        </w:rPr>
        <w:t>(...valor/desconto...) (...mensal/ unitário/outra opção conforme o caso...) e (...anual/total...) do item;</w:t>
      </w:r>
    </w:p>
    <w:p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lastRenderedPageBreak/>
        <w:t>Marca;</w:t>
      </w:r>
    </w:p>
    <w:p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color w:val="FF0000"/>
          <w:sz w:val="24"/>
        </w:rPr>
        <w:t xml:space="preserve">Fabricante; </w:t>
      </w:r>
    </w:p>
    <w:p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color w:val="FF0000"/>
          <w:sz w:val="24"/>
        </w:rPr>
      </w:pPr>
      <w:r w:rsidRPr="006404D5">
        <w:rPr>
          <w:rFonts w:ascii="Times New Roman" w:hAnsi="Times New Roman" w:cs="Times New Roman"/>
          <w:sz w:val="24"/>
        </w:rPr>
        <w:t>Todas as especificações do objeto contidas na proposta vinculam o licitante.</w:t>
      </w:r>
    </w:p>
    <w:p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rsidR="008E1037" w:rsidRPr="006404D5" w:rsidRDefault="008E1037" w:rsidP="008E1037">
      <w:pPr>
        <w:pStyle w:val="PargrafodaLista"/>
        <w:numPr>
          <w:ilvl w:val="1"/>
          <w:numId w:val="15"/>
        </w:numPr>
        <w:tabs>
          <w:tab w:val="left" w:pos="851"/>
        </w:tabs>
        <w:spacing w:before="120" w:after="120"/>
        <w:contextualSpacing w:val="0"/>
        <w:jc w:val="both"/>
        <w:rPr>
          <w:rFonts w:ascii="Times New Roman" w:hAnsi="Times New Roman" w:cs="Times New Roman"/>
          <w:vanish/>
          <w:color w:val="FF0000"/>
          <w:sz w:val="24"/>
          <w:highlight w:val="cyan"/>
        </w:rPr>
      </w:pPr>
    </w:p>
    <w:p w:rsidR="008E1037" w:rsidRPr="006404D5" w:rsidRDefault="008E1037" w:rsidP="008E1037">
      <w:pPr>
        <w:pStyle w:val="PargrafodaLista"/>
        <w:numPr>
          <w:ilvl w:val="1"/>
          <w:numId w:val="15"/>
        </w:numPr>
        <w:tabs>
          <w:tab w:val="left" w:pos="851"/>
        </w:tabs>
        <w:spacing w:before="120" w:after="120"/>
        <w:contextualSpacing w:val="0"/>
        <w:jc w:val="both"/>
        <w:rPr>
          <w:rFonts w:ascii="Times New Roman" w:hAnsi="Times New Roman" w:cs="Times New Roman"/>
          <w:vanish/>
          <w:color w:val="FF0000"/>
          <w:sz w:val="24"/>
          <w:highlight w:val="cyan"/>
        </w:rPr>
      </w:pPr>
    </w:p>
    <w:p w:rsidR="008E1037" w:rsidRPr="006404D5" w:rsidRDefault="008E1037" w:rsidP="008E1037">
      <w:pPr>
        <w:numPr>
          <w:ilvl w:val="2"/>
          <w:numId w:val="15"/>
        </w:numPr>
        <w:tabs>
          <w:tab w:val="left" w:pos="851"/>
        </w:tabs>
        <w:spacing w:before="120" w:after="120"/>
        <w:ind w:left="0" w:firstLine="0"/>
        <w:jc w:val="both"/>
        <w:rPr>
          <w:rFonts w:ascii="Times New Roman" w:hAnsi="Times New Roman" w:cs="Times New Roman"/>
          <w:color w:val="FF0000"/>
          <w:sz w:val="24"/>
          <w:highlight w:val="cyan"/>
        </w:rPr>
      </w:pPr>
      <w:r w:rsidRPr="006404D5">
        <w:rPr>
          <w:rFonts w:ascii="Times New Roman" w:hAnsi="Times New Roman" w:cs="Times New Roman"/>
          <w:color w:val="FF0000"/>
          <w:sz w:val="24"/>
          <w:highlight w:val="cyan"/>
        </w:rPr>
        <w:t xml:space="preserve"> O licitante não poderá oferecer proposta em quantitativo inferior ao máximo previsto para a contratação.</w:t>
      </w:r>
    </w:p>
    <w:p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Nos valores propostos estarão inclusos todos os custos operacionais, encargos previdenciários, trabalhistas, tributários, comerciais e quaisquer outros que incidam direta ou indiretamente na execução do objeto.</w:t>
      </w:r>
    </w:p>
    <w:p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Os preços ofertados, tanto na proposta inicial, quanto na etapa de lances, serão de exclusiva responsabilidade do licitante, não lhe assistindo o direito de pleitear qualquer alteração, sob alegação de erro, omissão ou qualquer outro pretexto.</w:t>
      </w:r>
    </w:p>
    <w:p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Se o regime tributário da empresa implicar o recolhimento de tributos em percentuais variáveis, a cotação adequada será a que corresponde à média dos efetivos recolhimentos da empresa nos últimos 12 (doze) meses. </w:t>
      </w:r>
    </w:p>
    <w:p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Independentemente do percentual de tributo inserido na planilha, no pagamento serão retidos na fonte os percentuais estabelecidos na legislação vigente.</w:t>
      </w:r>
    </w:p>
    <w:p w:rsidR="008E1037" w:rsidRPr="006404D5" w:rsidRDefault="008E1037" w:rsidP="008E1037">
      <w:pPr>
        <w:pStyle w:val="PargrafodaLista"/>
        <w:numPr>
          <w:ilvl w:val="0"/>
          <w:numId w:val="11"/>
        </w:numPr>
        <w:tabs>
          <w:tab w:val="left" w:pos="851"/>
        </w:tabs>
        <w:spacing w:before="120" w:after="120"/>
        <w:contextualSpacing w:val="0"/>
        <w:jc w:val="both"/>
        <w:rPr>
          <w:rFonts w:ascii="Times New Roman" w:hAnsi="Times New Roman" w:cs="Times New Roman"/>
          <w:bCs/>
          <w:vanish/>
          <w:color w:val="FF0000"/>
          <w:sz w:val="24"/>
        </w:rPr>
      </w:pPr>
    </w:p>
    <w:p w:rsidR="008E1037" w:rsidRPr="006404D5" w:rsidRDefault="008E1037" w:rsidP="008E1037">
      <w:pPr>
        <w:pStyle w:val="PargrafodaLista"/>
        <w:numPr>
          <w:ilvl w:val="0"/>
          <w:numId w:val="11"/>
        </w:numPr>
        <w:tabs>
          <w:tab w:val="left" w:pos="851"/>
        </w:tabs>
        <w:spacing w:before="120" w:after="120"/>
        <w:contextualSpacing w:val="0"/>
        <w:jc w:val="both"/>
        <w:rPr>
          <w:rFonts w:ascii="Times New Roman" w:hAnsi="Times New Roman" w:cs="Times New Roman"/>
          <w:bCs/>
          <w:vanish/>
          <w:color w:val="FF0000"/>
          <w:sz w:val="24"/>
        </w:rPr>
      </w:pPr>
    </w:p>
    <w:p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O prazo de validade da proposta não será inferior a </w:t>
      </w:r>
      <w:r w:rsidR="003A7AE6">
        <w:rPr>
          <w:rFonts w:ascii="Times New Roman" w:hAnsi="Times New Roman" w:cs="Times New Roman"/>
          <w:bCs/>
          <w:sz w:val="24"/>
        </w:rPr>
        <w:t xml:space="preserve">60 </w:t>
      </w:r>
      <w:r w:rsidRPr="006404D5">
        <w:rPr>
          <w:rFonts w:ascii="Times New Roman" w:hAnsi="Times New Roman" w:cs="Times New Roman"/>
          <w:bCs/>
          <w:color w:val="FF0000"/>
          <w:sz w:val="24"/>
        </w:rPr>
        <w:t>(</w:t>
      </w:r>
      <w:r w:rsidR="003A7AE6">
        <w:rPr>
          <w:rFonts w:ascii="Times New Roman" w:hAnsi="Times New Roman" w:cs="Times New Roman"/>
          <w:bCs/>
          <w:color w:val="FF0000"/>
          <w:sz w:val="24"/>
        </w:rPr>
        <w:t>sessenta</w:t>
      </w:r>
      <w:r w:rsidRPr="006404D5">
        <w:rPr>
          <w:rFonts w:ascii="Times New Roman" w:hAnsi="Times New Roman" w:cs="Times New Roman"/>
          <w:bCs/>
          <w:color w:val="FF0000"/>
          <w:sz w:val="24"/>
        </w:rPr>
        <w:t>)</w:t>
      </w:r>
      <w:r w:rsidRPr="006404D5">
        <w:rPr>
          <w:rFonts w:ascii="Times New Roman" w:hAnsi="Times New Roman" w:cs="Times New Roman"/>
          <w:bCs/>
          <w:sz w:val="24"/>
        </w:rPr>
        <w:t xml:space="preserve"> dias, a contar da data de sua apresentação.</w:t>
      </w:r>
    </w:p>
    <w:p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Os licitantes devem respeitar os preços máximos estabelecidos nas normas de regência de contratações públicas, quando participarem de licitações públicas.</w:t>
      </w:r>
    </w:p>
    <w:p w:rsidR="008E1037" w:rsidRPr="006404D5" w:rsidRDefault="008E1037" w:rsidP="008E1037">
      <w:pPr>
        <w:numPr>
          <w:ilvl w:val="2"/>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Caso o critério de julgamento seja o de maior desconto, o preço já decorrente da aplicação do desconto ofertado deverá respeitar os preços máximos.</w:t>
      </w:r>
    </w:p>
    <w:p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97, inciso VII, da Constituição Estadual; ou condenação dos agentes públicos responsáveis e da empresa contratada ao pagamento dos prejuízos ao erário, caso verificada a ocorrência de superfaturamento por sobrepreço na execução do contrato.</w:t>
      </w:r>
    </w:p>
    <w:p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eastAsia="MS Mincho" w:hAnsi="Times New Roman" w:cs="Times New Roman"/>
          <w:sz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sz w:val="24"/>
        </w:rPr>
        <w:lastRenderedPageBreak/>
        <w:t>Em todo caso, deverá ser garantido o pagamento do salário normativo previsto no instrumento coletivo aplicável ou do salário-mínimo vigente, o que for maior.</w:t>
      </w:r>
    </w:p>
    <w:p w:rsidR="008E1037" w:rsidRPr="006404D5" w:rsidRDefault="008E1037" w:rsidP="008E1037">
      <w:pPr>
        <w:numPr>
          <w:ilvl w:val="0"/>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ABERTURA DA SESSÃO, CLASSIFICAÇÃO DAS PROPOSTAS E FORMULAÇÃO DE LANCES</w:t>
      </w:r>
    </w:p>
    <w:p w:rsidR="008E1037" w:rsidRPr="006404D5" w:rsidRDefault="008E1037" w:rsidP="008E1037">
      <w:pPr>
        <w:pStyle w:val="PargrafodaLista"/>
        <w:numPr>
          <w:ilvl w:val="0"/>
          <w:numId w:val="12"/>
        </w:numPr>
        <w:tabs>
          <w:tab w:val="left" w:pos="851"/>
        </w:tabs>
        <w:spacing w:before="120" w:after="120"/>
        <w:contextualSpacing w:val="0"/>
        <w:jc w:val="both"/>
        <w:rPr>
          <w:rFonts w:ascii="Times New Roman" w:hAnsi="Times New Roman" w:cs="Times New Roman"/>
          <w:bCs/>
          <w:iCs/>
          <w:vanish/>
          <w:sz w:val="24"/>
        </w:rPr>
      </w:pPr>
    </w:p>
    <w:p w:rsidR="008E1037" w:rsidRPr="006404D5" w:rsidRDefault="008E1037" w:rsidP="008E1037">
      <w:pPr>
        <w:pStyle w:val="PargrafodaLista"/>
        <w:numPr>
          <w:ilvl w:val="0"/>
          <w:numId w:val="12"/>
        </w:numPr>
        <w:tabs>
          <w:tab w:val="left" w:pos="851"/>
        </w:tabs>
        <w:spacing w:before="120" w:after="120"/>
        <w:contextualSpacing w:val="0"/>
        <w:jc w:val="both"/>
        <w:rPr>
          <w:rFonts w:ascii="Times New Roman" w:hAnsi="Times New Roman" w:cs="Times New Roman"/>
          <w:bCs/>
          <w:iCs/>
          <w:vanish/>
          <w:sz w:val="24"/>
        </w:rPr>
      </w:pP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A abertura da presente licitação dar-se-á automaticamente em sessão pública, por meio de sistema eletrônico, na data, horário e local indicados neste Edital.</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Os licitantes poderão retirar ou substituir a proposta ou os documentos de habilitação, quando for o caso, anteriormente inseridos no sistema, até a abertura da sessão pública.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O sistema disponibilizará campo próprio para troca de mensagens entre o pregoeiro e os licitantes.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Iniciada a etapa competitiva, os licitantes deverão encaminhar lances exclusivamente por meio de sistema eletrônico, sendo imediatamente informados do seu recebimento e do valor consignado no registro.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lance deverá ser ofertado pelo valor unitário do item.</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licitantes poderão oferecer lances sucessivos, observando o horário fixado para abertura da sessão e as regras estabelecidas neste Edital.</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licitante somente poderá oferecer lance de </w:t>
      </w:r>
      <w:r w:rsidRPr="006404D5">
        <w:rPr>
          <w:rFonts w:ascii="Times New Roman" w:hAnsi="Times New Roman" w:cs="Times New Roman"/>
          <w:bCs/>
          <w:iCs/>
          <w:color w:val="FF0000"/>
          <w:sz w:val="24"/>
        </w:rPr>
        <w:t>valor inferior</w:t>
      </w:r>
      <w:r w:rsidRPr="006404D5">
        <w:rPr>
          <w:rFonts w:ascii="Times New Roman" w:hAnsi="Times New Roman" w:cs="Times New Roman"/>
          <w:bCs/>
          <w:iCs/>
          <w:sz w:val="24"/>
        </w:rPr>
        <w:t xml:space="preserve"> ao último por ele ofertado e registrado pelo sistema.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intervalo mínimo de diferença de valores ou percentuais entre os lances, que incidirá tanto em relação aos lances intermediários quanto em relação à proposta que cobrir a melhor oferta deverá ser de </w:t>
      </w:r>
      <w:r w:rsidR="00D02865">
        <w:rPr>
          <w:rFonts w:ascii="Times New Roman" w:hAnsi="Times New Roman" w:cs="Times New Roman"/>
          <w:bCs/>
          <w:iCs/>
          <w:color w:val="FF0000"/>
          <w:sz w:val="24"/>
        </w:rPr>
        <w:t>R$ 0,10 (dez centavos).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licitante poderá, uma única vez, excluir seu último lance ofertado, no intervalo de 15 (quinze) segundos após o registro no sistema, na hipótese de lance inconsistente ou inexequível.</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procedimento seguirá de acordo com o modo de disputa adotado.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seja adotado para o envio de lances no pregão eletrônico o modo de disputa “aberto”, os licitantes apresentarão lances públicos e sucessivos, com prorrogações.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de 10 (dez) minutos e, após isso, será prorrogada automaticamente pelo sistema quando houver lance ofertado nos últimos 2 (dois) minutos do período de duração da sessão pública.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prorrogação automática da etapa de lances, de que trata o subitem anterior, será de dois minutos e ocorrerá sucessivamente sempre que houver lances enviados nesse período de prorrogação, inclusive no caso de lances intermediários.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novos lances na forma estabelecida nos subitens anteriores, a sessão pública encerrar-se-á automaticamente, e o sistema ordenará e divulgará os lances conforme a ordem final de classificação.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Definida a melhor proposta, se a diferença em relação à proposta classificada em segundo lugar for de pelo menos 5% (cinco por cento), o pregoeiro, auxiliado pela </w:t>
      </w:r>
      <w:r w:rsidRPr="006404D5">
        <w:rPr>
          <w:rFonts w:ascii="Times New Roman" w:hAnsi="Times New Roman" w:cs="Times New Roman"/>
          <w:bCs/>
          <w:iCs/>
          <w:sz w:val="24"/>
        </w:rPr>
        <w:lastRenderedPageBreak/>
        <w:t>equipe de apoio, poderá admitir o reinício da disputa aberta, para a definição das demais colocações.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reinício previsto no item supra, os licitantes serão convocados para apresentar lances intermediários.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seja adotado para o envio de lances no pregão eletrônico o modo de disputa “aberto e fechado”, os licitantes apresentarão lances públicos e sucessivos, com lance final e fechado.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Encerrado o prazo previsto no subitem anterior, o sistema abrirá oportunidade para que o autor da oferta de valor mais baixo e os das ofertas com preços até 10% (dez por cento) superiores àquela possam ofertar um lance final e fechado em até 5 (cinco) minutos, o qual será sigiloso até o encerramento deste prazo.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No procedimento de que trata o subitem supra, o licitante poderá optar por manter o seu último lance da etapa aberta, ou por ofertar melhor lance.</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pelo menos 3 (três) ofertas nas condições definidas neste subitem, poderão os autores dos melhores lances subsequentes, na ordem de classificação, até o máximo de 3 (três), oferecer um lance final e fechado em até cinco minutos, o qual será sigiloso até o encerramento deste prazo.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término dos prazos estabelecidos nos subitens anteriores, o sistema ordenará e divulgará os lances segundo a ordem crescente de valores.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pelo menos 3 (três) propostas nas condições definidas no item 5.14, poderão os licitantes que apresentaram as 3 (três) melhores propostas, consideradas as empatadas, oferecer novos lances sucessivos.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de 10 (dez) minutos e, após isso, será prorrogada automaticamente pelo sistema quando houver lance ofertado nos últimos 2 (dois) minutos do período de duração da sessão pública.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prorrogação automática da etapa de lances, de que trata o subitem anterior, será de 2 (dois) minutos e ocorrerá sucessivamente sempre que houver lances enviados nesse período de prorrogação, inclusive no caso de lances intermediários.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novos lances na forma estabelecida nos subitens anteriores, a sessão pública encerrar-se-á automaticamente, e o sistema ordenará e divulgará os lances conforme a ordem final de classificação.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Após o reinício previsto no subitem supra, os licitantes serão convocados para apresentar lances intermediários.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término dos prazos estabelecidos nos subitens anteriores, o sistema ordenará e divulgará os lances segundo a ordem crescente de valores.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Não serão aceitos 2 (dois) ou mais lances de mesmo valor, prevalecendo aquele que for recebido e registrado em primeiro lugar.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Durante o transcurso da sessão pública, os licitantes serão informados, em tempo real, do valor do menor lance registrado, vedada a identificação do licitante.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No caso de desconexão com o pregoeiro, no decorrer da etapa competitiva do Pregão, o sistema eletrônico poderá permanecer acessível aos licitantes para a recepção dos lances.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o licitante não apresente lances, concorrerá com o valor de sua proposta.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Nessas condições, as propostas de microempresas e empresas de pequeno porte que se encontrarem na faixa de até 5% (cinco por cento) acima da melhor proposta ou melhor lance serão consideradas empatadas com a primeira colocada.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No caso de equivalência dos valores apresentados pelas microempresas e empresas de pequeno porte que se encontrem nos intervalos estabelecidos nos subitens </w:t>
      </w:r>
      <w:r w:rsidRPr="006404D5">
        <w:rPr>
          <w:rFonts w:ascii="Times New Roman" w:hAnsi="Times New Roman" w:cs="Times New Roman"/>
          <w:bCs/>
          <w:iCs/>
          <w:sz w:val="24"/>
        </w:rPr>
        <w:lastRenderedPageBreak/>
        <w:t>anteriores, será realizado sorteio entre elas para que se identifique aquela que primeiro poderá apresentar melhor oferta.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Só poderá haver empate entre propostas iguais (não seguidas de lances), ou entre lances finais da fase fechada do modo de disputa aberto e fechado. </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Havendo eventual empate entre propostas ou lances, o critério de desempate será aquele previsto no art. 60 da Lei nº 14.133, de 2021, nesta ordem:</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disputa final, hipótese em que os licitantes empatados poderão apresentar nova proposta em ato contínuo à classificação;</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avaliação do desempenho contratual prévio dos licitantes, para a qual deverão preferencialmente ser utilizados registros cadastrais para efeito de atesto de cumprimento de obrigações previstos nesta Lei;</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desenvolvimento pelo licitante de ações de equidade entre homens e mulheres no ambiente de trabalho, conforme regulamento;</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desenvolvimento pelo licitante de programa de integridade, conforme orientações dos órgãos de controle.</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Persistindo o empate, será assegurada preferência, sucessivamente, aos bens e serviços produzidos ou prestados por:</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brasileiras;</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que invistam em pesquisa e no desenvolvimento de tecnologia no País;</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que comprovem a prática de mitigação, nos termos da Lei nº 12.187, de 29 de dezembro de 2009.</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color w:val="FF0000"/>
          <w:sz w:val="24"/>
          <w:highlight w:val="cyan"/>
        </w:rPr>
      </w:pPr>
      <w:r w:rsidRPr="006404D5">
        <w:rPr>
          <w:rFonts w:ascii="Times New Roman" w:hAnsi="Times New Roman" w:cs="Times New Roman"/>
          <w:color w:val="FF0000"/>
          <w:sz w:val="24"/>
          <w:highlight w:val="cyan"/>
        </w:rPr>
        <w:t>Não será admitida a previsão de preços diferentes em razão de local de entrega ou de acondicionamento, tamanho de lote ou qualquer outro motivo.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negociação será realizada por meio do sistema, podendo ser acompanhada pelos demais licitantes.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resultado da negociação será divulgado a todos os licitantes e anexado aos autos do processo licitatório.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O pregoeiro solicitará ao licitante mais bem classificado que, no prazo de 2 (duas) horas, prorrogável por igual período, contado da solicitação do pregoeiro, envie a proposta adequada ao último lance ofertado após a negociação realizada, acompanhada, se for o caso, dos documentos complementares, quando necessários à confirmação daqueles exigidos neste Edital e já apresentados.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É facultado ao pregoeiro prorrogar o prazo estabelecido, a partir de solicitação fundamentada feita no chat pelo licitante, antes de findo o prazo.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a negociação do preço, o pregoeiro iniciará a fase de aceitação e julgamento da proposta.</w:t>
      </w:r>
    </w:p>
    <w:p w:rsidR="008E1037" w:rsidRPr="006404D5" w:rsidRDefault="008E1037" w:rsidP="008E1037">
      <w:pPr>
        <w:numPr>
          <w:ilvl w:val="0"/>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FASE DE JULGAMENTO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Encerrada a etapa de negociação, o </w:t>
      </w:r>
      <w:r w:rsidR="00D703C3">
        <w:rPr>
          <w:rFonts w:ascii="Times New Roman" w:hAnsi="Times New Roman" w:cs="Times New Roman"/>
          <w:bCs/>
          <w:sz w:val="24"/>
        </w:rPr>
        <w:t>agente de contratação</w:t>
      </w:r>
      <w:r w:rsidRPr="006404D5">
        <w:rPr>
          <w:rFonts w:ascii="Times New Roman" w:hAnsi="Times New Roman" w:cs="Times New Roman"/>
          <w:bCs/>
          <w:sz w:val="24"/>
        </w:rPr>
        <w:t xml:space="preserve">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Sistema de Cadastramento Unificado de Fornecedores – SICAF;</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  Cadastro Nacional de Empresas Inidôneas e Suspensas – CEIS, mantido pela Controladoria-Geral da União (https://www.portaltransparencia.gov.br/sancoes/ceis); e</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 Cadastro Nacional de Empresas Punidas – CNEP, mantido pela Controladoria-Geral da União (https://www.portaltransparencia.gov.br/sancoes/cnep).</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consulta aos cadastros será realizada em nome da empresa licitante e também de seu sócio majoritário, por força da vedação de que trata o art. 12 da Lei n° 8.429, de 1992.</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tentativa de burla será verificada por meio dos vínculos societários, linhas de fornecimento similares, dentre outros. </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será convocado para manifestação previamente a uma eventual desclassificação.</w:t>
      </w:r>
    </w:p>
    <w:p w:rsidR="008E1037" w:rsidRPr="00FF0C78" w:rsidRDefault="008E1037" w:rsidP="008E1037">
      <w:pPr>
        <w:numPr>
          <w:ilvl w:val="2"/>
          <w:numId w:val="12"/>
        </w:numPr>
        <w:tabs>
          <w:tab w:val="left" w:pos="851"/>
        </w:tabs>
        <w:spacing w:before="120" w:after="120"/>
        <w:ind w:left="0" w:firstLine="0"/>
        <w:jc w:val="both"/>
        <w:rPr>
          <w:rFonts w:ascii="Times New Roman" w:hAnsi="Times New Roman" w:cs="Times New Roman"/>
          <w:bCs/>
          <w:sz w:val="24"/>
          <w:highlight w:val="yellow"/>
        </w:rPr>
      </w:pPr>
      <w:r w:rsidRPr="00FF0C78">
        <w:rPr>
          <w:rFonts w:ascii="Times New Roman" w:hAnsi="Times New Roman" w:cs="Times New Roman"/>
          <w:bCs/>
          <w:sz w:val="24"/>
          <w:highlight w:val="yellow"/>
        </w:rPr>
        <w:t>Constatada a existência de sanção, o licitante será reputado inabilitado, por falta de condição de participação.</w:t>
      </w:r>
    </w:p>
    <w:p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Na hipótese de inversão das fases de habilitação e julgamento, caso atendidas as condições de participação, será iniciado o procedimento de habilitação.</w:t>
      </w:r>
    </w:p>
    <w:p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o licitante provisoriamente classificado em primeiro lugar tenha se utilizado de algum tratamento favorecido às ME/EPPs, o pregoeiro verificará se faz jus ao benefício, em conformidade com os itens 3.5.1 e 4.7 deste edital.</w:t>
      </w:r>
    </w:p>
    <w:p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Verificadas as condições de participação e de utilização do tratamento favorecido, o pregoeiro examinará a proposta classificada em primeiro lugar quanto à </w:t>
      </w:r>
      <w:r w:rsidRPr="006404D5">
        <w:rPr>
          <w:rFonts w:ascii="Times New Roman" w:hAnsi="Times New Roman" w:cs="Times New Roman"/>
          <w:bCs/>
          <w:sz w:val="24"/>
        </w:rPr>
        <w:lastRenderedPageBreak/>
        <w:t>adequação ao objeto e à compatibilidade do preço em relação ao máximo estipulado para contratação neste Edital e em seus anexos.</w:t>
      </w:r>
    </w:p>
    <w:p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r w:rsidR="00FF0C78">
        <w:rPr>
          <w:rFonts w:ascii="Times New Roman" w:hAnsi="Times New Roman" w:cs="Times New Roman"/>
          <w:bCs/>
          <w:sz w:val="24"/>
        </w:rPr>
        <w:t>.</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Será desclassificada a proposta vencedora que:</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contiver vícios insanáveis;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obedecer às especificações técnicas contidas no Termo de Referência;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apresentar preços inexequíveis ou permanecerem acima do preço máximo definido para a contratação;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tiverem sua exequibilidade demonstrada, quando exigido pela Administração;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apresentar desconformidade com quaisquer outras exigências deste Edital ou seus anexos, desde que insanável.</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bens e serviços em geral, é indício de inexequibilidade das propostas valores inferiores a 50% (cinquenta por cento) do valor orçado pela Administração.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inexequibilidade, na hipótese de que trata o </w:t>
      </w:r>
      <w:r w:rsidRPr="006404D5">
        <w:rPr>
          <w:rFonts w:ascii="Times New Roman" w:hAnsi="Times New Roman" w:cs="Times New Roman"/>
          <w:bCs/>
          <w:i/>
          <w:iCs/>
          <w:sz w:val="24"/>
        </w:rPr>
        <w:t>caput</w:t>
      </w:r>
      <w:r w:rsidRPr="006404D5">
        <w:rPr>
          <w:rFonts w:ascii="Times New Roman" w:hAnsi="Times New Roman" w:cs="Times New Roman"/>
          <w:bCs/>
          <w:sz w:val="24"/>
        </w:rPr>
        <w:t>, só será considerada após diligência do pregoeiro, que comprove:</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que o custo do licitante ultrapassa o valor da proposta; e</w:t>
      </w:r>
    </w:p>
    <w:p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inexistirem custos de oportunidade capazes de justificar o vulto da oferta.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contratação de serviços de engenharia, além das disposições acima, a análise de exequibilidade e sobrepreço considerará o seguinte:</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Nos regimes de execução por tarefa, empreitada por preço global ou empreitada integral, semi-integrada ou integrada, a caracterização do sobrepreço se dará pela superação do valor global estimado;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No regime de empreitada por preço unitário, a caracterização do sobrepreço se dará pela superação do valor global estimado e </w:t>
      </w:r>
      <w:r w:rsidRPr="006404D5">
        <w:rPr>
          <w:rFonts w:ascii="Times New Roman" w:hAnsi="Times New Roman" w:cs="Times New Roman"/>
          <w:bCs/>
          <w:color w:val="FF0000"/>
          <w:sz w:val="24"/>
        </w:rPr>
        <w:t>pela superação de custo unitário tido como relevante, conforme planilha anexa ao edital</w:t>
      </w:r>
      <w:r w:rsidRPr="006404D5">
        <w:rPr>
          <w:rFonts w:ascii="Times New Roman" w:hAnsi="Times New Roman" w:cs="Times New Roman"/>
          <w:bCs/>
          <w:sz w:val="24"/>
        </w:rPr>
        <w:t>.</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serviços de engenharia, serão consideradas inexequíveis as propostas cujos valores forem inferiores a 75% (setenta e cinco por cento) do valor orçado pela Administração, independentemente do regime de execução.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 houver indícios de inexequibilidade da proposta de preço, ou em caso da necessidade de esclarecimentos complementares, poderão ser efetuadas diligências, para que a empresa comprove a exequibilidade da proposta.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a produtividade for diferente daquela utilizada pela Administração como referência, ou não estiver contida na faixa referencial de produtividade, mas admitida pelo ato convocatório, o licitante deverá apresentar a respectiva comprovação de exeqüibilidade.</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Para efeito do subitem anterior, admite-se a adequação técnica da metodologia empregada pela contratada, visando assegurar a execução do objeto, desde que mantidas as condições para a justa remuneração do serviço.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ajuste de que trata este dispositivo se limita a sanar erros ou falhas que não alterem a substância das propostas.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Considera-se erro no preenchimento da planilha passível de correção a indicação de recolhimento de impostos e contribuições na forma do Simples Nacional, quando não cabível esse regime.</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Para fins de análise da proposta quanto ao cumprimento das especificações do objeto, poderá ser colhida a manifestação escrita do setor requisitante do serviço ou da área especializada no objeto.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Caso o Termo de Referência exija a apresentação de amostra, o licitante classificado em primeiro lugar deverá apresentá-la, conforme disciplinado no Termo de Referência, sob pena de não aceitação da proposta.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Por meio de mensagem no sistema, será divulgado o local e horário de realização do procedimento para a avaliação das amostras, cuja presença será facultada a todos os interessados, incluindo os demais licitantes.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resultados das avaliações serão divulgados por meio de mensagem no sistema.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não haver entrega da amostra ou ocorrer atraso na entrega, sem justificativa aceita pelo pregoeiro, ou havendo entrega de amostra fora das especificações previstas neste Edital, a proposta do licitante será recusada.</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8E1037" w:rsidRPr="006404D5" w:rsidRDefault="008E1037" w:rsidP="008E1037">
      <w:pPr>
        <w:numPr>
          <w:ilvl w:val="0"/>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FASE DE HABILITAÇÃO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previstos no Termo de Referência, necessários e suficientes para demonstrar a capacidade do licitante de realizar o objeto da licitação, serão exigidos para fins de habilitação, nos termos dos arts. 62 a 70 da Lei nº 14.133, de 2021.</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documentação exigida para fins de habilitação jurídica, fiscal, social e trabalhista e econômico-ﬁnanceira, poderá ser substituída pelo registro cadastral no SICAF.</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permitida a participação de empresas estrangeiras que não funcionem no País, as exigências de habilitação serão atendidas mediante documentos equivalentes, inicialmente apresentados em tradução livre.</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consularizados pelos respectivos consulados ou embaixadas.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Se o consórcio não for formado integralmente por microempresas ou empresas de pequeno porte e o termo de referência exigir requisitos de habilitação econômico-financeira, haverá um acréscimo de </w:t>
      </w:r>
      <w:r w:rsidRPr="006404D5">
        <w:rPr>
          <w:rFonts w:ascii="Times New Roman" w:hAnsi="Times New Roman" w:cs="Times New Roman"/>
          <w:bCs/>
          <w:iCs/>
          <w:color w:val="FF0000"/>
          <w:sz w:val="24"/>
        </w:rPr>
        <w:t xml:space="preserve">10% </w:t>
      </w:r>
      <w:r w:rsidR="00FF0C78">
        <w:rPr>
          <w:rFonts w:ascii="Times New Roman" w:hAnsi="Times New Roman" w:cs="Times New Roman"/>
          <w:bCs/>
          <w:iCs/>
          <w:color w:val="FF0000"/>
          <w:sz w:val="24"/>
        </w:rPr>
        <w:t xml:space="preserve"> (dez por cento)</w:t>
      </w:r>
      <w:r w:rsidRPr="006404D5">
        <w:rPr>
          <w:rFonts w:ascii="Times New Roman" w:hAnsi="Times New Roman" w:cs="Times New Roman"/>
          <w:bCs/>
          <w:iCs/>
          <w:color w:val="FF0000"/>
          <w:sz w:val="24"/>
        </w:rPr>
        <w:t>, salvo se houver justificativa nos autos para suprimir esse acréscimo</w:t>
      </w:r>
      <w:r w:rsidR="00FF0C78">
        <w:rPr>
          <w:rFonts w:ascii="Times New Roman" w:hAnsi="Times New Roman" w:cs="Times New Roman"/>
          <w:bCs/>
          <w:iCs/>
          <w:color w:val="FF0000"/>
          <w:sz w:val="24"/>
        </w:rPr>
        <w:t>,</w:t>
      </w:r>
      <w:r w:rsidRPr="006404D5">
        <w:rPr>
          <w:rFonts w:ascii="Times New Roman" w:hAnsi="Times New Roman" w:cs="Times New Roman"/>
          <w:bCs/>
          <w:iCs/>
          <w:sz w:val="24"/>
        </w:rPr>
        <w:t xml:space="preserve"> para o consórcio em relação ao valor exigido para os licitantes individuais.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Os documentos exigidos para fins de habilitação poderão ser apresentados em original</w:t>
      </w:r>
      <w:r w:rsidR="00FF0C78">
        <w:rPr>
          <w:rFonts w:ascii="Times New Roman" w:hAnsi="Times New Roman" w:cs="Times New Roman"/>
          <w:bCs/>
          <w:iCs/>
          <w:sz w:val="24"/>
        </w:rPr>
        <w:t xml:space="preserve"> ou</w:t>
      </w:r>
      <w:r w:rsidRPr="006404D5">
        <w:rPr>
          <w:rFonts w:ascii="Times New Roman" w:hAnsi="Times New Roman" w:cs="Times New Roman"/>
          <w:bCs/>
          <w:iCs/>
          <w:sz w:val="24"/>
        </w:rPr>
        <w:t xml:space="preserve"> por cópia</w:t>
      </w:r>
      <w:r w:rsidR="00FF0C78">
        <w:rPr>
          <w:rFonts w:ascii="Times New Roman" w:hAnsi="Times New Roman" w:cs="Times New Roman"/>
          <w:bCs/>
          <w:iCs/>
          <w:sz w:val="24"/>
        </w:rPr>
        <w:t>.</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exigidos para fins de habilitação poderão ser substituídos por registro cadastral emitido por órgão ou entidade pública, desde que o registro tenha sido feito em obediência ao disposto na Lei nº 14.133, de 2021.</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sz w:val="24"/>
        </w:rPr>
      </w:pPr>
      <w:r w:rsidRPr="006404D5">
        <w:rPr>
          <w:rFonts w:ascii="Times New Roman" w:hAnsi="Times New Roman" w:cs="Times New Roman"/>
          <w:bCs/>
          <w:iCs/>
          <w:sz w:val="24"/>
        </w:rPr>
        <w:t>Será verificado se o licitante apresentou declaração de que atende aos requisitos de habilitação, e o declarante responderá pela veracidade das informações prestadas, na forma da lei.</w:t>
      </w:r>
      <w:r w:rsidRPr="006404D5">
        <w:rPr>
          <w:rFonts w:ascii="Times New Roman" w:hAnsi="Times New Roman" w:cs="Times New Roman"/>
          <w:sz w:val="24"/>
        </w:rPr>
        <w:t xml:space="preserve">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habilitação será verificada por meio do SICAF, nos documentos por ele abrangidos.</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não observância do disposto no item anterior poderá ensejar desclassificação no momento da habilitação. </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verificação pelo pregoeiro, em sítios eletrônicos oficiais de órgãos e entidades emissores de certidões constitui meio legal de prova, para fins de habilitação.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documentos exigidos para habilitação que não estejam contemplados no SICAF serão enviados por meio do sistema, em formato digital, no prazo de </w:t>
      </w:r>
      <w:r w:rsidRPr="006404D5">
        <w:rPr>
          <w:rFonts w:ascii="Times New Roman" w:hAnsi="Times New Roman" w:cs="Times New Roman"/>
          <w:bCs/>
          <w:iCs/>
          <w:color w:val="FF0000"/>
          <w:sz w:val="24"/>
        </w:rPr>
        <w:t>(2 horas)</w:t>
      </w:r>
      <w:r w:rsidRPr="006404D5">
        <w:rPr>
          <w:rFonts w:ascii="Times New Roman" w:hAnsi="Times New Roman" w:cs="Times New Roman"/>
          <w:bCs/>
          <w:iCs/>
          <w:sz w:val="24"/>
        </w:rPr>
        <w:t xml:space="preserve">, prorrogável por igual período, contado da solicitação do </w:t>
      </w:r>
      <w:r w:rsidR="00901059">
        <w:rPr>
          <w:rFonts w:ascii="Times New Roman" w:hAnsi="Times New Roman" w:cs="Times New Roman"/>
          <w:bCs/>
          <w:iCs/>
          <w:sz w:val="24"/>
        </w:rPr>
        <w:t>Agente de contratação</w:t>
      </w:r>
      <w:r w:rsidRPr="006404D5">
        <w:rPr>
          <w:rFonts w:ascii="Times New Roman" w:hAnsi="Times New Roman" w:cs="Times New Roman"/>
          <w:bCs/>
          <w:iCs/>
          <w:sz w:val="24"/>
        </w:rPr>
        <w:t>.</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hipótese de a fase de habilitação anteceder a fase de apresentação de propostas e lances, os licitantes encaminharão, por meio do sistema, simultaneamente os documentos de habilitação e a proposta com o preço ou o percentual de desconto.</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verificação no SICAF ou a exigência dos documentos nele não contidos somente será feita em relação ao licitante vencedor.</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Os documentos relativos à regularidade fiscal que constem do Termo de Referência somente serão exigidos, em qualquer caso, em momento posterior ao julgamento das propostas, e apenas do licitante mais bem classificado.</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a entrega dos documentos para habilitação, não será permitida a substituição ou a apresentação de novos documentos, salvo em sede de diligência, para: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complementação de informações acerca dos documentos já apresentados pelos licitantes e desde que necessária para apurar fatos existentes à época da abertura do certame; e</w:t>
      </w:r>
    </w:p>
    <w:p w:rsidR="008E1037" w:rsidRPr="006404D5" w:rsidRDefault="008E1037" w:rsidP="005A2EB3">
      <w:pPr>
        <w:pStyle w:val="SombreamentoMdio1-nfase31"/>
        <w:pBdr>
          <w:top w:val="single" w:sz="4" w:space="1" w:color="auto"/>
          <w:left w:val="single" w:sz="4" w:space="4" w:color="auto"/>
          <w:bottom w:val="single" w:sz="4" w:space="1" w:color="auto"/>
          <w:right w:val="single" w:sz="4" w:space="4" w:color="auto"/>
        </w:pBdr>
        <w:shd w:val="clear" w:color="auto" w:fill="D9D9D9"/>
        <w:spacing w:after="120"/>
        <w:ind w:right="142"/>
        <w:rPr>
          <w:rFonts w:ascii="Times New Roman" w:hAnsi="Times New Roman" w:cs="Times New Roman"/>
          <w:i w:val="0"/>
          <w:sz w:val="24"/>
        </w:rPr>
      </w:pPr>
      <w:r w:rsidRPr="006404D5">
        <w:rPr>
          <w:rFonts w:ascii="Times New Roman" w:hAnsi="Times New Roman" w:cs="Times New Roman"/>
          <w:b/>
          <w:i w:val="0"/>
          <w:sz w:val="24"/>
        </w:rPr>
        <w:t>Nota Explicativa</w:t>
      </w:r>
      <w:r w:rsidRPr="006404D5">
        <w:rPr>
          <w:rFonts w:ascii="Times New Roman" w:hAnsi="Times New Roman" w:cs="Times New Roman"/>
          <w:i w:val="0"/>
          <w:sz w:val="24"/>
        </w:rPr>
        <w:t xml:space="preserve">: </w:t>
      </w:r>
    </w:p>
    <w:p w:rsidR="008E1037" w:rsidRPr="006404D5" w:rsidRDefault="008E1037" w:rsidP="005A2EB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120" w:after="120"/>
        <w:ind w:right="142"/>
        <w:jc w:val="both"/>
        <w:rPr>
          <w:rFonts w:ascii="Times New Roman" w:hAnsi="Times New Roman" w:cs="Times New Roman"/>
          <w:sz w:val="24"/>
        </w:rPr>
      </w:pPr>
      <w:r w:rsidRPr="006404D5">
        <w:rPr>
          <w:rFonts w:ascii="Times New Roman" w:hAnsi="Times New Roman" w:cs="Times New Roman"/>
          <w:sz w:val="24"/>
        </w:rPr>
        <w:t>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w:t>
      </w:r>
    </w:p>
    <w:p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atualização de documentos cuja validade tenha expirado após a data de recebimento das propostas.</w:t>
      </w:r>
    </w:p>
    <w:p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Na análise dos documentos de habilitação, o pregoeiro poderá sanar erros ou falhas, que não alterem a substância dos documentos e sua validade jurídica, mediante </w:t>
      </w:r>
      <w:r w:rsidRPr="00BA1D15">
        <w:rPr>
          <w:rFonts w:ascii="Times New Roman" w:hAnsi="Times New Roman" w:cs="Times New Roman"/>
          <w:bCs/>
          <w:iCs/>
          <w:sz w:val="24"/>
        </w:rPr>
        <w:t>despacho fundamentado registrado e acessível a todos, atribuindo-lhes eﬁcácia para fins de habilitação e classificação.</w:t>
      </w:r>
    </w:p>
    <w:p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w:t>
      </w:r>
      <w:r w:rsidRPr="00BA1D15">
        <w:rPr>
          <w:rFonts w:ascii="Times New Roman" w:hAnsi="Times New Roman" w:cs="Times New Roman"/>
          <w:bCs/>
          <w:sz w:val="24"/>
        </w:rPr>
        <w:t>.12.1.</w:t>
      </w:r>
    </w:p>
    <w:p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Somente serão disponibilizados para acesso público os documentos de habilitação do licitante cuja proposta atenda ao edital de licitação, após concluídos os procedimentos de que trata o subitem anterior.</w:t>
      </w:r>
    </w:p>
    <w:p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A comprovação de regularidade fiscal e trabalhista das microempresas e das empresas de pequeno porte somente será exigida para efeito de contratação, e não como condição para participação na licitação.</w:t>
      </w:r>
    </w:p>
    <w:p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Quando a fase de habilitação anteceder a de julgamento e já tiver sido encerrada, não caberá exclusão de licitante por motivo relacionado à habilitação, salvo em razão de fatos supervenientes ou só conhecidos após o julgamento.</w:t>
      </w:r>
    </w:p>
    <w:p w:rsidR="008E1037" w:rsidRPr="00BA1D15" w:rsidRDefault="008E1037" w:rsidP="008E1037">
      <w:pPr>
        <w:pStyle w:val="Nivel1"/>
        <w:spacing w:before="120" w:line="240" w:lineRule="auto"/>
        <w:ind w:left="0" w:firstLine="0"/>
        <w:rPr>
          <w:rFonts w:ascii="Times New Roman" w:hAnsi="Times New Roman"/>
          <w:color w:val="auto"/>
          <w:sz w:val="24"/>
          <w:szCs w:val="24"/>
        </w:rPr>
      </w:pPr>
      <w:bookmarkStart w:id="13" w:name="_Toc135469231"/>
      <w:r w:rsidRPr="00BA1D15">
        <w:rPr>
          <w:rFonts w:ascii="Times New Roman" w:hAnsi="Times New Roman"/>
          <w:color w:val="auto"/>
          <w:sz w:val="24"/>
          <w:szCs w:val="24"/>
        </w:rPr>
        <w:t>DO TERMO DE CONTRATO OU INSTRUMENTO EQUIVALENTE</w:t>
      </w: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Após a homologação da licitação, em sendo realizada a contratação, será firmado Termo de Contrato ou emitido instrumento equivalente.</w:t>
      </w: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lastRenderedPageBreak/>
        <w:t xml:space="preserve">O adjudicatário terá o prazo de </w:t>
      </w:r>
      <w:r w:rsidR="00BA1D15" w:rsidRPr="00BA1D15">
        <w:rPr>
          <w:rFonts w:ascii="Times New Roman" w:hAnsi="Times New Roman" w:cs="Times New Roman"/>
          <w:sz w:val="24"/>
          <w:lang w:eastAsia="en-US"/>
        </w:rPr>
        <w:t xml:space="preserve">15 </w:t>
      </w:r>
      <w:r w:rsidRPr="00BA1D15">
        <w:rPr>
          <w:rFonts w:ascii="Times New Roman" w:hAnsi="Times New Roman" w:cs="Times New Roman"/>
          <w:sz w:val="24"/>
          <w:lang w:eastAsia="en-US"/>
        </w:rPr>
        <w:t>(</w:t>
      </w:r>
      <w:r w:rsidR="00BA1D15" w:rsidRPr="00BA1D15">
        <w:rPr>
          <w:rFonts w:ascii="Times New Roman" w:hAnsi="Times New Roman" w:cs="Times New Roman"/>
          <w:sz w:val="24"/>
          <w:lang w:eastAsia="en-US"/>
        </w:rPr>
        <w:t>quinze</w:t>
      </w:r>
      <w:r w:rsidRPr="00BA1D15">
        <w:rPr>
          <w:rFonts w:ascii="Times New Roman" w:hAnsi="Times New Roman" w:cs="Times New Roman"/>
          <w:sz w:val="24"/>
          <w:lang w:eastAsia="en-US"/>
        </w:rPr>
        <w:t>) dias, contados a partir da data de sua convocação, para assinar o Termo de Contrato ou aceitar instrumento equivalente, conforme o caso (como carta-contrato, nota de empenho de despesa, autorização de compra ou ordem de execução de serviço), sob pena de decair do direito à contratação, sem prejuízo das sanções previstas em Lei.</w:t>
      </w:r>
    </w:p>
    <w:p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 xml:space="preserve">No caso de opção do adjudicatário pela modalidade de garantia prevista no art. 96 §1º, II da Lei nº 14.133, de 2021 (seguro-garantia), o prazo estabelecido no subitem acima será de </w:t>
      </w:r>
      <w:r w:rsidR="00BA1D15" w:rsidRPr="00BA1D15">
        <w:rPr>
          <w:rFonts w:ascii="Times New Roman" w:hAnsi="Times New Roman" w:cs="Times New Roman"/>
          <w:sz w:val="24"/>
          <w:lang w:eastAsia="en-US"/>
        </w:rPr>
        <w:t>no</w:t>
      </w:r>
      <w:r w:rsidRPr="00BA1D15">
        <w:rPr>
          <w:rFonts w:ascii="Times New Roman" w:hAnsi="Times New Roman" w:cs="Times New Roman"/>
          <w:sz w:val="24"/>
          <w:lang w:eastAsia="en-US"/>
        </w:rPr>
        <w:t xml:space="preserve"> mínimo 1 mês contado da data de homologação da licitação.</w:t>
      </w:r>
    </w:p>
    <w:p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O prazo de convocação poderá ser prorrogado 1 (uma) vez, por igual período, mediante solicitação da parte durante seu transcurso, devidamente justificada, e desde que o motivo apresentado seja aceito pela Administração.</w:t>
      </w: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Antes de formalizar o Termo de Contrato ou emitir o instrumento equivalente, a  Administração deverá realizar consulta ao SICAF para verificar a regularidade fiscal exigida na licitação, bem como ao SICAF, ao Cadastro Nacional de Empresas Inidôneas e Suspensas – CEIS e ao Cadastro Nacional de Empresas Punidas – CNEP para identificar possível razão que impeça a participação em licitação, no âmbito do órgão ou entidade, proibição de contratar com o Poder Público, bem como ocorrências impeditivas indiretas, juntando aos autos as respectivas certidões negativas.</w:t>
      </w: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Decorrido o prazo de validade da proposta sem convocação para a contratação, ficarão os licitantes liberados dos compromissos assumidos.</w:t>
      </w: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Na hipótese de nenhum dos licitantes aceitar a contratação nos termos do subitem anterior, a Administração, observados o valor estimado e sua eventual atualização nos termos do edital, poderá:</w:t>
      </w:r>
    </w:p>
    <w:p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convocar os licitantes remanescentes para negociação, na ordem de classificação, com vistas à obtenção de preço melhor, mesmo que acima do preço do adjudicatário;</w:t>
      </w:r>
    </w:p>
    <w:p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adjudicar e celebrar o contrato nas condições ofertadas pelos licitantes remanescentes, atendida a ordem classificatória, quando frustrada a negociação de melhor condição.</w:t>
      </w:r>
    </w:p>
    <w:p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 regra do subitem 9.5 não se aplicará aos licitantes remanescentes convocados na forma do subitem acima.</w:t>
      </w:r>
    </w:p>
    <w:p w:rsidR="00BA1D15" w:rsidRPr="006404D5" w:rsidRDefault="00BA1D15" w:rsidP="00BA1D15">
      <w:pPr>
        <w:spacing w:before="120" w:after="120"/>
        <w:contextualSpacing/>
        <w:jc w:val="both"/>
        <w:rPr>
          <w:rFonts w:ascii="Times New Roman" w:hAnsi="Times New Roman" w:cs="Times New Roman"/>
          <w:color w:val="FF0000"/>
          <w:sz w:val="24"/>
          <w:lang w:eastAsia="en-US"/>
        </w:rPr>
      </w:pPr>
    </w:p>
    <w:p w:rsidR="008E1037" w:rsidRPr="00BA1D1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b/>
          <w:sz w:val="24"/>
        </w:rPr>
        <w:t>DA ATA DE REGISTRO DE PREÇOS</w:t>
      </w:r>
      <w:bookmarkEnd w:id="13"/>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Homologado o resultado da licitação, o licitante mais bem classificado terá o prazo de</w:t>
      </w:r>
      <w:r w:rsidR="00BA1D15" w:rsidRPr="00BA1D15">
        <w:rPr>
          <w:rFonts w:ascii="Times New Roman" w:hAnsi="Times New Roman" w:cs="Times New Roman"/>
          <w:sz w:val="24"/>
        </w:rPr>
        <w:t xml:space="preserve"> 10</w:t>
      </w:r>
      <w:r w:rsidRPr="00BA1D15">
        <w:rPr>
          <w:rFonts w:ascii="Times New Roman" w:hAnsi="Times New Roman" w:cs="Times New Roman"/>
          <w:sz w:val="24"/>
        </w:rPr>
        <w:t xml:space="preserve"> </w:t>
      </w:r>
      <w:r w:rsidRPr="00BA1D15">
        <w:rPr>
          <w:rFonts w:ascii="Times New Roman" w:hAnsi="Times New Roman" w:cs="Times New Roman"/>
          <w:color w:val="FF0000"/>
          <w:sz w:val="24"/>
        </w:rPr>
        <w:t>(</w:t>
      </w:r>
      <w:r w:rsidR="00BA1D15" w:rsidRPr="00BA1D15">
        <w:rPr>
          <w:rFonts w:ascii="Times New Roman" w:hAnsi="Times New Roman" w:cs="Times New Roman"/>
          <w:color w:val="FF0000"/>
          <w:sz w:val="24"/>
        </w:rPr>
        <w:t>dez</w:t>
      </w:r>
      <w:r w:rsidRPr="00BA1D15">
        <w:rPr>
          <w:rFonts w:ascii="Times New Roman" w:hAnsi="Times New Roman" w:cs="Times New Roman"/>
          <w:color w:val="FF0000"/>
          <w:sz w:val="24"/>
        </w:rPr>
        <w:t>)</w:t>
      </w:r>
      <w:r w:rsidRPr="00BA1D15">
        <w:rPr>
          <w:rFonts w:ascii="Times New Roman" w:hAnsi="Times New Roman" w:cs="Times New Roman"/>
          <w:sz w:val="24"/>
        </w:rPr>
        <w:t xml:space="preserve"> dias, contados a partir da data de sua convocação, para assinar a Ata de Registro de Preços, cujo prazo de validade encontra-se nela fixado, sob pena de </w:t>
      </w:r>
      <w:r w:rsidRPr="00BA1D15">
        <w:rPr>
          <w:rFonts w:ascii="Times New Roman" w:hAnsi="Times New Roman" w:cs="Times New Roman"/>
          <w:sz w:val="24"/>
        </w:rPr>
        <w:lastRenderedPageBreak/>
        <w:t>decadência do direito à contratação, sem prejuízo das sanções previstas na Lei nº 14.133, de 2021.</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O prazo de convocação poderá ser prorrogado uma vez, por igual período, mediante solicitação do licitante mais bem classificado ou do fornecedor convocado, desde que:</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iCs/>
          <w:sz w:val="24"/>
        </w:rPr>
        <w:t>a solicitação seja devidamente justificada e apresentada dentro do prazo; e</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iCs/>
          <w:sz w:val="24"/>
        </w:rPr>
        <w:t>a justificativa apresentada seja aceita pela Administração.</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ata de registro de preços será assinada por meio de assinatura digital e disponibilizada no sistema de registro de preços.</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O preço registrado, com a indicação dos fornecedores, será divulgado no PNCP e disponibilizado durante a vigência da ata de registro de preços.</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E1037" w:rsidRPr="00BA1D15" w:rsidRDefault="008E1037" w:rsidP="008E1037">
      <w:pPr>
        <w:numPr>
          <w:ilvl w:val="0"/>
          <w:numId w:val="18"/>
        </w:numPr>
        <w:tabs>
          <w:tab w:val="left" w:pos="851"/>
        </w:tabs>
        <w:spacing w:before="120" w:after="120"/>
        <w:jc w:val="both"/>
        <w:rPr>
          <w:rFonts w:ascii="Times New Roman" w:hAnsi="Times New Roman" w:cs="Times New Roman"/>
          <w:b/>
          <w:sz w:val="24"/>
        </w:rPr>
      </w:pPr>
      <w:bookmarkStart w:id="14" w:name="_Toc135469232"/>
      <w:r w:rsidRPr="00BA1D15">
        <w:rPr>
          <w:rFonts w:ascii="Times New Roman" w:hAnsi="Times New Roman" w:cs="Times New Roman"/>
          <w:b/>
          <w:sz w:val="24"/>
        </w:rPr>
        <w:t>DA FORMAÇÃO DO CADASTRO DE RESERVA</w:t>
      </w:r>
      <w:bookmarkEnd w:id="14"/>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Após a homologação da licitação, será incluído na ata, na forma de anexo, o registro:</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 xml:space="preserve">dos licitantes </w:t>
      </w:r>
      <w:bookmarkStart w:id="15" w:name="_Hlk132991372"/>
      <w:r w:rsidRPr="00BA1D15">
        <w:rPr>
          <w:rFonts w:ascii="Times New Roman" w:hAnsi="Times New Roman" w:cs="Times New Roman"/>
          <w:sz w:val="24"/>
        </w:rPr>
        <w:t xml:space="preserve">que </w:t>
      </w:r>
      <w:bookmarkStart w:id="16" w:name="_Hlk132989696"/>
      <w:r w:rsidRPr="00BA1D15">
        <w:rPr>
          <w:rFonts w:ascii="Times New Roman" w:hAnsi="Times New Roman" w:cs="Times New Roman"/>
          <w:sz w:val="24"/>
        </w:rPr>
        <w:t>aceitarem cotar o objeto com preço igual ao do adjudicatári</w:t>
      </w:r>
      <w:bookmarkEnd w:id="15"/>
      <w:r w:rsidRPr="00BA1D15">
        <w:rPr>
          <w:rFonts w:ascii="Times New Roman" w:hAnsi="Times New Roman" w:cs="Times New Roman"/>
          <w:sz w:val="24"/>
        </w:rPr>
        <w:t>o</w:t>
      </w:r>
      <w:bookmarkEnd w:id="16"/>
      <w:r w:rsidRPr="00BA1D15">
        <w:rPr>
          <w:rFonts w:ascii="Times New Roman" w:hAnsi="Times New Roman" w:cs="Times New Roman"/>
          <w:sz w:val="24"/>
        </w:rPr>
        <w:t>, observada a classificação na licitação; e</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dos licitantes que mantiverem sua proposta original.</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Será respeitada, nas contratações, a ordem de classificação dos licitantes ou fornecedores registrados na ata.</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apresentação de novas propostas na forma deste item não prejudicará o resultado do certame em relação ao licitante mais bem classificado.</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Para fins da ordem de classificação, os licitantes ou fornecedores que aceitarem cotar o objeto com preço igual ao do adjudicatário antecederão aqueles que mantiverem sua proposta original.</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habilitação dos licitantes que comporão o cadastro de reserva será efetuada quando houver necessidade de contratação dos licitantes remanescentes, nas seguintes hipóteses:</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lastRenderedPageBreak/>
        <w:t>quando o licitante vencedor não assinar a ata de registro de preços no prazo e nas condições estabelecidos no edital; ou</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quando houver o cancelamento do registro do fornecedor ou do registro de preços.</w:t>
      </w:r>
    </w:p>
    <w:p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convocar os licitantes que mantiveram sua proposta original para negociação, na ordem de classificação, com vistas à obtenção de preço melhor, mesmo que acima do preço do adjudicatário; ou</w:t>
      </w:r>
    </w:p>
    <w:p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adjudicar e firmar o contrato nas condições ofertadas pelos licitantes remanescentes, observada a ordem de classificação, quando frustrada a negociação de melhor condição.</w:t>
      </w:r>
    </w:p>
    <w:p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DOS RECURSOS</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interposição de recurso referente ao julgamento das propostas, à habilitação ou inabilitação de licitantes, à anulação ou revogação da licitação, observará o disposto no art. 165 da Lei nº 14.133, de 2021.</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recursal é de 3 (três) dias úteis, contados da data de intimação ou de lavratura da ata.</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o recurso apresentado impugnar o julgamento das propostas ou o ato de habilitação ou inabilitação do licitante:</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intenção de recorrer deverá ser manifestada imediatamente, sob pena de preclusão;</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 manifestação da intenção de recorrer não será inferior a 10 (dez) minutos.</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apresentação das razões recursais será iniciado na data de intimação ou de lavratura da ata de habilitação ou inabilitação;</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hipótese de adoção da inversão de fases prevista no § 1º do art. 17 da Lei nº 14.133, de 2021, o prazo para apresentação das razões recursais será iniciado na data de intimação da ata de julgamento.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recursos deverão ser encaminhados em campo próprio do sistema.</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recursos interpostos fora do prazo não serão conhecidos. </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prazo para apresentação de contrarrazões ao recurso pelos demais licitantes será de 3 (três) dias úteis, contados da data da intimação pessoal ou da divulgação da </w:t>
      </w:r>
      <w:r w:rsidRPr="006404D5">
        <w:rPr>
          <w:rFonts w:ascii="Times New Roman" w:hAnsi="Times New Roman" w:cs="Times New Roman"/>
          <w:bCs/>
          <w:iCs/>
          <w:sz w:val="24"/>
        </w:rPr>
        <w:lastRenderedPageBreak/>
        <w:t>interposição do recurso, assegurada a vista imediata dos elementos indispensáveis à defesa de seus interesses.</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recurso e o pedido de reconsideração terão efeito suspensivo do ato ou da decisão recorrida até que sobrevenha decisão final da autoridade competente. </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acolhimento do recurso invalida tão somente os atos insuscetíveis de aproveitamento. </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autos do processo permanecerão com vista franqueada aos interessados no sítio eletrônico</w:t>
      </w:r>
      <w:r w:rsidR="004570D1">
        <w:rPr>
          <w:rFonts w:ascii="Times New Roman" w:hAnsi="Times New Roman" w:cs="Times New Roman"/>
          <w:bCs/>
          <w:iCs/>
          <w:sz w:val="24"/>
        </w:rPr>
        <w:t>.</w:t>
      </w:r>
    </w:p>
    <w:p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DAS INFRAÇÕES ADMINISTRATIVAS E SANÇÕES</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Comete infração administrativa, nos termos da lei, o licitante que, com dolo ou culpa: </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deixar de entregar a documentação exigida para o certame ou não entregar qualquer documento que tenha sido solicitado pelo pregoeiro durante o certame;</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Salvo em decorrência de fato superveniente devidamente justificado, não mantiver a proposta em especial quando:</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não enviar a proposta adequada ao último lance ofertado ou após a negociação; </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recusar-se a enviar o detalhamento da proposta quando exigível; </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pedir para ser desclassificado quando encerrada a etapa competitiva;  </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deixar de apresentar amostra; ou</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apresentar proposta ou amostra em desacordo com as especificações do edital; </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celebrar o contrato, ou a ata de registro de preço, ou aceitar ou retirar o instrumento equivalente, ou não entregar a documentação exigida para a contratação, no prazo estabelecido pela Administração, quando convocado dentro do prazo de validade de sua proposta;</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apresentar declaração ou documentação falsa exigida para o certame ou prestar declaração falsa durante a licitação;</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fraudar a licitação;</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comportar-se de modo inidôneo ou cometer fraude de qualquer natureza, em especial quando:</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agir em conluio ou em desconformidade com a lei; </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induzir deliberadamente a erro no julgamento; </w:t>
      </w:r>
    </w:p>
    <w:p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apresentar amostra falsificada ou deteriorada; </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praticar atos ilícitos com vistas a frustrar os objetivos da licitação;</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praticar ato lesivo previsto no art. 5º da Lei n.º 12.846, de 2013.</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 xml:space="preserve">Com fulcro na Lei nº 14.133, de 2021, a Administração poderá, garantida a prévia defesa, aplicar aos licitantes e/ou adjudicatários as seguintes sanções, sem prejuízo das responsabilidades civil e criminal: </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advertência; </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multa;</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impedimento de licitar e contratar; e</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declaração de inidoneidade para licitar ou contratar, enquanto perdurarem os motivos determinantes da punição ou até que seja promovida sua reabilitação perante a própria autoridade que aplicou a penalidade.</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aplicação das sanções serão considerados:</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natureza e a gravidade da infração cometida;</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peculiaridades do caso concreto;</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circunstâncias agravantes ou atenuantes;</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danos que dela provierem para a Administração Pública;</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implantação ou o aperfeiçoamento de programa de integridade, conforme normas e orientações dos órgãos de controle.</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multa será recolhida em percentual de 0,5% (cinco décimos por cento) a 30% (trinta por cento) incidente sobre o valor do contrato licitado, recolhida no prazo máximo de </w:t>
      </w:r>
      <w:r w:rsidR="004570D1">
        <w:rPr>
          <w:rFonts w:ascii="Times New Roman" w:hAnsi="Times New Roman" w:cs="Times New Roman"/>
          <w:bCs/>
          <w:iCs/>
          <w:sz w:val="24"/>
        </w:rPr>
        <w:t xml:space="preserve">15 </w:t>
      </w:r>
      <w:r w:rsidRPr="006404D5">
        <w:rPr>
          <w:rFonts w:ascii="Times New Roman" w:hAnsi="Times New Roman" w:cs="Times New Roman"/>
          <w:bCs/>
          <w:iCs/>
          <w:color w:val="FF0000"/>
          <w:sz w:val="24"/>
        </w:rPr>
        <w:t>(</w:t>
      </w:r>
      <w:r w:rsidR="004570D1">
        <w:rPr>
          <w:rFonts w:ascii="Times New Roman" w:hAnsi="Times New Roman" w:cs="Times New Roman"/>
          <w:bCs/>
          <w:iCs/>
          <w:color w:val="FF0000"/>
          <w:sz w:val="24"/>
        </w:rPr>
        <w:t>quinze</w:t>
      </w:r>
      <w:r w:rsidRPr="006404D5">
        <w:rPr>
          <w:rFonts w:ascii="Times New Roman" w:hAnsi="Times New Roman" w:cs="Times New Roman"/>
          <w:bCs/>
          <w:iCs/>
          <w:color w:val="FF0000"/>
          <w:sz w:val="24"/>
        </w:rPr>
        <w:t xml:space="preserve">) </w:t>
      </w:r>
      <w:r w:rsidRPr="006404D5">
        <w:rPr>
          <w:rFonts w:ascii="Times New Roman" w:hAnsi="Times New Roman" w:cs="Times New Roman"/>
          <w:bCs/>
          <w:iCs/>
          <w:sz w:val="24"/>
        </w:rPr>
        <w:t xml:space="preserve">dias úteis, a contar da comunicação oficial. </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Para as infrações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 a 1</w:t>
      </w:r>
      <w:r w:rsidR="006404D5" w:rsidRPr="006404D5">
        <w:rPr>
          <w:rFonts w:ascii="Times New Roman" w:hAnsi="Times New Roman" w:cs="Times New Roman"/>
          <w:bCs/>
          <w:iCs/>
          <w:sz w:val="24"/>
        </w:rPr>
        <w:t>3</w:t>
      </w:r>
      <w:r w:rsidRPr="006404D5">
        <w:rPr>
          <w:rFonts w:ascii="Times New Roman" w:hAnsi="Times New Roman" w:cs="Times New Roman"/>
          <w:bCs/>
          <w:iCs/>
          <w:sz w:val="24"/>
        </w:rPr>
        <w:t xml:space="preserve">.1.3, a multa será de </w:t>
      </w:r>
      <w:r w:rsidRPr="006404D5">
        <w:rPr>
          <w:rFonts w:ascii="Times New Roman" w:hAnsi="Times New Roman" w:cs="Times New Roman"/>
          <w:bCs/>
          <w:iCs/>
          <w:color w:val="FF0000"/>
          <w:sz w:val="24"/>
        </w:rPr>
        <w:t xml:space="preserve">(...0,5% (cinco décimos por cento)...) </w:t>
      </w:r>
      <w:r w:rsidRPr="006404D5">
        <w:rPr>
          <w:rFonts w:ascii="Times New Roman" w:hAnsi="Times New Roman" w:cs="Times New Roman"/>
          <w:bCs/>
          <w:iCs/>
          <w:sz w:val="24"/>
        </w:rPr>
        <w:t xml:space="preserve">a </w:t>
      </w:r>
      <w:r w:rsidRPr="006404D5">
        <w:rPr>
          <w:rFonts w:ascii="Times New Roman" w:hAnsi="Times New Roman" w:cs="Times New Roman"/>
          <w:bCs/>
          <w:iCs/>
          <w:color w:val="FF0000"/>
          <w:sz w:val="24"/>
        </w:rPr>
        <w:t>(...15% (quinze por cento)...)</w:t>
      </w:r>
      <w:r w:rsidRPr="006404D5">
        <w:rPr>
          <w:rFonts w:ascii="Times New Roman" w:hAnsi="Times New Roman" w:cs="Times New Roman"/>
          <w:bCs/>
          <w:iCs/>
          <w:sz w:val="24"/>
        </w:rPr>
        <w:t xml:space="preserve"> do valor do contrato licitado.</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Para as infrações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.1.4 a 1</w:t>
      </w:r>
      <w:r w:rsidR="006404D5" w:rsidRPr="006404D5">
        <w:rPr>
          <w:rFonts w:ascii="Times New Roman" w:hAnsi="Times New Roman" w:cs="Times New Roman"/>
          <w:bCs/>
          <w:iCs/>
          <w:sz w:val="24"/>
        </w:rPr>
        <w:t>3</w:t>
      </w:r>
      <w:r w:rsidRPr="006404D5">
        <w:rPr>
          <w:rFonts w:ascii="Times New Roman" w:hAnsi="Times New Roman" w:cs="Times New Roman"/>
          <w:bCs/>
          <w:iCs/>
          <w:sz w:val="24"/>
        </w:rPr>
        <w:t xml:space="preserve">.1.8, a multa será de </w:t>
      </w:r>
      <w:r w:rsidRPr="006404D5">
        <w:rPr>
          <w:rFonts w:ascii="Times New Roman" w:hAnsi="Times New Roman" w:cs="Times New Roman"/>
          <w:bCs/>
          <w:iCs/>
          <w:color w:val="FF0000"/>
          <w:sz w:val="24"/>
        </w:rPr>
        <w:t>(...15% (quinze por cento)...)</w:t>
      </w:r>
      <w:r w:rsidRPr="006404D5">
        <w:rPr>
          <w:rFonts w:ascii="Times New Roman" w:hAnsi="Times New Roman" w:cs="Times New Roman"/>
          <w:bCs/>
          <w:iCs/>
          <w:sz w:val="24"/>
        </w:rPr>
        <w:t xml:space="preserve"> a </w:t>
      </w:r>
      <w:r w:rsidRPr="006404D5">
        <w:rPr>
          <w:rFonts w:ascii="Times New Roman" w:hAnsi="Times New Roman" w:cs="Times New Roman"/>
          <w:bCs/>
          <w:iCs/>
          <w:color w:val="FF0000"/>
          <w:sz w:val="24"/>
        </w:rPr>
        <w:t xml:space="preserve">(...30% (trinta por cento)...) </w:t>
      </w:r>
      <w:r w:rsidRPr="006404D5">
        <w:rPr>
          <w:rFonts w:ascii="Times New Roman" w:hAnsi="Times New Roman" w:cs="Times New Roman"/>
          <w:bCs/>
          <w:iCs/>
          <w:sz w:val="24"/>
        </w:rPr>
        <w:t>do valor do contrato licitado.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sanções de advertência, impedimento de licitar e contratar e declaração de inidoneidade para licitar ou contratar poderão ser aplicadas, cumulativamente ou não, à penalidade de multa.</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aplicação da sanção de multa será facultada a defesa do interessado no prazo de 15 (quinze) dias úteis, contado da data de sua intimação.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sanção de impedimento de licitar e contratar será aplicada ao responsável em decorrência das infrações administrativas relacionadas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 1</w:t>
      </w:r>
      <w:r w:rsidR="006404D5" w:rsidRPr="006404D5">
        <w:rPr>
          <w:rFonts w:ascii="Times New Roman" w:hAnsi="Times New Roman" w:cs="Times New Roman"/>
          <w:bCs/>
          <w:iCs/>
          <w:sz w:val="24"/>
        </w:rPr>
        <w:t>3</w:t>
      </w:r>
      <w:r w:rsidRPr="006404D5">
        <w:rPr>
          <w:rFonts w:ascii="Times New Roman" w:hAnsi="Times New Roman" w:cs="Times New Roman"/>
          <w:bCs/>
          <w:iCs/>
          <w:sz w:val="24"/>
        </w:rPr>
        <w:t>.1.2 e 1</w:t>
      </w:r>
      <w:r w:rsidR="006404D5" w:rsidRPr="006404D5">
        <w:rPr>
          <w:rFonts w:ascii="Times New Roman" w:hAnsi="Times New Roman" w:cs="Times New Roman"/>
          <w:bCs/>
          <w:iCs/>
          <w:sz w:val="24"/>
        </w:rPr>
        <w:t>3</w:t>
      </w:r>
      <w:r w:rsidRPr="006404D5">
        <w:rPr>
          <w:rFonts w:ascii="Times New Roman" w:hAnsi="Times New Roman" w:cs="Times New Roman"/>
          <w:bCs/>
          <w:iCs/>
          <w:sz w:val="24"/>
        </w:rPr>
        <w:t>.1.3, quando não se justificar a imposição de penalidade mais grave, e impedirá o responsável de licitar e contratar no âmbito Administração Pública do Estado de Alagoas, pelo prazo máximo de 3 (três) anos.</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Poderá ser aplicada ao responsável a sanção de declaração de inidoneidade para licitar ou contratar, em decorrência da prática das infrações dispostas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.1.4</w:t>
      </w:r>
      <w:r w:rsidR="006404D5" w:rsidRPr="006404D5">
        <w:rPr>
          <w:rFonts w:ascii="Times New Roman" w:hAnsi="Times New Roman" w:cs="Times New Roman"/>
          <w:bCs/>
          <w:iCs/>
          <w:sz w:val="24"/>
        </w:rPr>
        <w:t xml:space="preserve"> a</w:t>
      </w:r>
      <w:r w:rsidRPr="006404D5">
        <w:rPr>
          <w:rFonts w:ascii="Times New Roman" w:hAnsi="Times New Roman" w:cs="Times New Roman"/>
          <w:bCs/>
          <w:iCs/>
          <w:sz w:val="24"/>
        </w:rPr>
        <w:t xml:space="preserve"> 12.1.8, bem como pelas infrações administrativas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w:t>
      </w:r>
      <w:r w:rsidR="006404D5" w:rsidRPr="006404D5">
        <w:rPr>
          <w:rFonts w:ascii="Times New Roman" w:hAnsi="Times New Roman" w:cs="Times New Roman"/>
          <w:bCs/>
          <w:iCs/>
          <w:sz w:val="24"/>
        </w:rPr>
        <w:t xml:space="preserve"> a</w:t>
      </w:r>
      <w:r w:rsidRPr="006404D5">
        <w:rPr>
          <w:rFonts w:ascii="Times New Roman" w:hAnsi="Times New Roman" w:cs="Times New Roman"/>
          <w:bCs/>
          <w:iCs/>
          <w:sz w:val="24"/>
        </w:rPr>
        <w:t xml:space="preserve"> 12.1.3 que justifiquem a imposição de penalidade mais grave que a sanção de impedimento de licitar e contratar, cuja duração observará o prazo previsto no art. 156, §5º, da Lei n.º 14.133, de 2021.</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 xml:space="preserve">A recusa injustificada do adjudicatário em assinar o contrato ou a ata de registro de preço, ou em aceitar ou retirar o instrumento equivalente no prazo estabelecido pela Administração, descrita no item </w:t>
      </w:r>
      <w:r w:rsidR="00FC480D">
        <w:rPr>
          <w:rFonts w:ascii="Times New Roman" w:hAnsi="Times New Roman" w:cs="Times New Roman"/>
          <w:bCs/>
          <w:iCs/>
          <w:sz w:val="24"/>
        </w:rPr>
        <w:t>13.1.3</w:t>
      </w:r>
      <w:r w:rsidRPr="006404D5">
        <w:rPr>
          <w:rFonts w:ascii="Times New Roman" w:hAnsi="Times New Roman" w:cs="Times New Roman"/>
          <w:bCs/>
          <w:iCs/>
          <w:sz w:val="24"/>
        </w:rPr>
        <w:t xml:space="preserve">, caracterizará o descumprimento total da obrigação assumida e o sujeitará às penalidades e à imediata perda da garantia de proposta em favor do órgão ou entidade promotora da licitação. </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recurso e o pedido de reconsideração terão efeito suspensivo do ato ou da decisão recorrida até que sobrevenha decisão final da autoridade competente.</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aplicação das sanções previstas neste Edital não exclui, em hipótese alguma, a obrigação de reparação integral dos danos causados à Administração Pública do Estado de Alagoas.</w:t>
      </w:r>
    </w:p>
    <w:p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IMPUGNAÇÃO AO EDITAL E DO PEDIDO DE ESCLARECIMENTO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Qualquer pessoa é parte legítima para impugnar este Edital por irregularidade na aplicação da Lei nº 14.133, de 2021, devendo protocolar o pedido até 3 (três) dias úteis antes da data da abertura do certame.</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resposta à impugnação ou ao pedido de esclarecimento será divulgado em sítio eletrônico oficial no prazo de até 3 (três) dias úteis, limitado ao último dia útil anterior à data da abertura do certame.</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impugnação e o pedido de esclarecimento poderão ser realizados por forma eletrônica, </w:t>
      </w:r>
      <w:r w:rsidR="004570D1">
        <w:rPr>
          <w:rFonts w:ascii="Times New Roman" w:hAnsi="Times New Roman" w:cs="Times New Roman"/>
          <w:bCs/>
          <w:sz w:val="24"/>
        </w:rPr>
        <w:t>em campo próprio no sistema.</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As impugnações e pedidos de esclarecimentos não suspendem os prazos previstos no certame.</w:t>
      </w:r>
    </w:p>
    <w:p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concessão de efeito suspensivo à impugnação é medida excepcional e deverá ser motivada pelo pregoeiro, nos autos do processo de licitação.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Acolhida a impugnação, será definida e publicada nova data para a realização do certame.</w:t>
      </w:r>
    </w:p>
    <w:p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DAS DISPOSIÇÕES GERAIS</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Será divulgada ata da sessão pública no sistema eletrônico.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Todas as referências de tempo neste Edital, no aviso e durante a sessão pública observarão o horário de Brasília - DF.</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A homologação do resultado desta licitação não implicará direito à contratação.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Os licitantes assumem todos os custos de preparação e apresentação de suas propostas e a Administração não será, em nenhum caso, responsável por esses custos, independentemente da condução ou do resultado do processo licitatório.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Na contagem dos prazos estabelecidos neste Edital e seus Anexos, excluir-se-á o dia do início e incluir-se-á o do vencimento. Só se iniciam e vencem os prazos em dias de expediente na Administração.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O desatendimento de exigências formais não essenciais não importará o afastamento do licitante, desde que seja possível o aproveitamento do ato, observados os princípios da isonomia e do interesse público.</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Em caso de divergência entre disposições deste Edital e de seus anexos ou demais peças que compõem o processo, prevalecerão as deste Edital.</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O Edital e seus anexos estão disponíveis, na íntegra, no Portal Nacional de Contratações Públicas (PNCP).</w:t>
      </w:r>
    </w:p>
    <w:p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Integram este Edital, para todos os fins e efeitos, os seguintes anexos:</w:t>
      </w:r>
    </w:p>
    <w:p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 – Termo de Referência;</w:t>
      </w:r>
    </w:p>
    <w:p w:rsidR="008E1037" w:rsidRPr="00543C47" w:rsidRDefault="008E1037" w:rsidP="008E1037">
      <w:pPr>
        <w:numPr>
          <w:ilvl w:val="3"/>
          <w:numId w:val="18"/>
        </w:numPr>
        <w:tabs>
          <w:tab w:val="left" w:pos="426"/>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 xml:space="preserve"> Apêndice do Anexo I – Estudo Técnico Preliminar;</w:t>
      </w:r>
    </w:p>
    <w:p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II – Minuta de Termo de Contrato;</w:t>
      </w:r>
    </w:p>
    <w:p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III – Minuta de Ata de Registro de Preços;</w:t>
      </w:r>
    </w:p>
    <w:p w:rsidR="008E1037" w:rsidRPr="006404D5" w:rsidRDefault="008E1037" w:rsidP="008E1037">
      <w:pPr>
        <w:spacing w:before="120" w:after="120"/>
        <w:rPr>
          <w:rFonts w:ascii="Times New Roman" w:hAnsi="Times New Roman" w:cs="Times New Roman"/>
          <w:iCs/>
          <w:sz w:val="24"/>
        </w:rPr>
      </w:pPr>
    </w:p>
    <w:p w:rsidR="008E1037" w:rsidRDefault="00543C47" w:rsidP="00543C47">
      <w:pPr>
        <w:spacing w:before="120" w:after="120"/>
        <w:jc w:val="center"/>
        <w:rPr>
          <w:rFonts w:ascii="Times New Roman" w:hAnsi="Times New Roman" w:cs="Times New Roman"/>
          <w:iCs/>
          <w:sz w:val="24"/>
        </w:rPr>
      </w:pPr>
      <w:r>
        <w:rPr>
          <w:rFonts w:ascii="Times New Roman" w:hAnsi="Times New Roman" w:cs="Times New Roman"/>
          <w:iCs/>
          <w:sz w:val="24"/>
        </w:rPr>
        <w:t xml:space="preserve">Murici – AL, </w:t>
      </w:r>
      <w:r w:rsidR="00D9651B">
        <w:rPr>
          <w:rFonts w:ascii="Times New Roman" w:hAnsi="Times New Roman" w:cs="Times New Roman"/>
          <w:iCs/>
          <w:sz w:val="24"/>
        </w:rPr>
        <w:t>1</w:t>
      </w:r>
      <w:r w:rsidR="00D96341">
        <w:rPr>
          <w:rFonts w:ascii="Times New Roman" w:hAnsi="Times New Roman" w:cs="Times New Roman"/>
          <w:iCs/>
          <w:sz w:val="24"/>
        </w:rPr>
        <w:t>4</w:t>
      </w:r>
      <w:r>
        <w:rPr>
          <w:rFonts w:ascii="Times New Roman" w:hAnsi="Times New Roman" w:cs="Times New Roman"/>
          <w:iCs/>
          <w:sz w:val="24"/>
        </w:rPr>
        <w:t xml:space="preserve"> de </w:t>
      </w:r>
      <w:r w:rsidR="00D96341">
        <w:rPr>
          <w:rFonts w:ascii="Times New Roman" w:hAnsi="Times New Roman" w:cs="Times New Roman"/>
          <w:iCs/>
          <w:sz w:val="24"/>
        </w:rPr>
        <w:t>Maio</w:t>
      </w:r>
      <w:bookmarkStart w:id="17" w:name="_GoBack"/>
      <w:bookmarkEnd w:id="17"/>
      <w:r>
        <w:rPr>
          <w:rFonts w:ascii="Times New Roman" w:hAnsi="Times New Roman" w:cs="Times New Roman"/>
          <w:iCs/>
          <w:sz w:val="24"/>
        </w:rPr>
        <w:t xml:space="preserve"> de 2024.</w:t>
      </w:r>
    </w:p>
    <w:p w:rsidR="00543C47" w:rsidRDefault="00543C47" w:rsidP="00543C47">
      <w:pPr>
        <w:spacing w:before="120" w:after="120"/>
        <w:jc w:val="center"/>
        <w:rPr>
          <w:rFonts w:ascii="Times New Roman" w:hAnsi="Times New Roman" w:cs="Times New Roman"/>
          <w:iCs/>
          <w:sz w:val="24"/>
        </w:rPr>
      </w:pPr>
    </w:p>
    <w:p w:rsidR="00543C47" w:rsidRDefault="00D703C3" w:rsidP="00543C47">
      <w:pPr>
        <w:spacing w:before="120" w:after="120"/>
        <w:jc w:val="center"/>
        <w:rPr>
          <w:rFonts w:ascii="Times New Roman" w:hAnsi="Times New Roman" w:cs="Times New Roman"/>
          <w:iCs/>
          <w:sz w:val="24"/>
        </w:rPr>
      </w:pPr>
      <w:r>
        <w:rPr>
          <w:rFonts w:ascii="Times New Roman" w:hAnsi="Times New Roman" w:cs="Times New Roman"/>
          <w:iCs/>
          <w:sz w:val="24"/>
        </w:rPr>
        <w:t>Celso Josue Soares da Silva</w:t>
      </w:r>
    </w:p>
    <w:p w:rsidR="006404D5" w:rsidRPr="006404D5" w:rsidRDefault="00543C47" w:rsidP="00543C47">
      <w:pPr>
        <w:spacing w:before="120" w:after="120"/>
        <w:jc w:val="center"/>
        <w:rPr>
          <w:rFonts w:ascii="Times New Roman" w:hAnsi="Times New Roman" w:cs="Times New Roman"/>
          <w:sz w:val="24"/>
        </w:rPr>
      </w:pPr>
      <w:r>
        <w:rPr>
          <w:rFonts w:ascii="Times New Roman" w:hAnsi="Times New Roman" w:cs="Times New Roman"/>
          <w:iCs/>
          <w:sz w:val="24"/>
        </w:rPr>
        <w:t>Agente</w:t>
      </w:r>
      <w:r w:rsidR="00D703C3">
        <w:rPr>
          <w:rFonts w:ascii="Times New Roman" w:hAnsi="Times New Roman" w:cs="Times New Roman"/>
          <w:iCs/>
          <w:sz w:val="24"/>
        </w:rPr>
        <w:t xml:space="preserve"> de Contratação</w:t>
      </w:r>
    </w:p>
    <w:sectPr w:rsidR="006404D5" w:rsidRPr="006404D5" w:rsidSect="005A2EB3">
      <w:headerReference w:type="default" r:id="rId8"/>
      <w:footerReference w:type="default" r:id="rId9"/>
      <w:pgSz w:w="11906" w:h="16838"/>
      <w:pgMar w:top="1417" w:right="184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3D1" w:rsidRDefault="00F613D1" w:rsidP="0004300F">
      <w:r>
        <w:separator/>
      </w:r>
    </w:p>
  </w:endnote>
  <w:endnote w:type="continuationSeparator" w:id="0">
    <w:p w:rsidR="00F613D1" w:rsidRDefault="00F613D1" w:rsidP="00043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Ecofont_Spranq_eco_Sans">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F72" w:rsidRPr="006E3690" w:rsidRDefault="009C5F72" w:rsidP="009C5F72">
    <w:pPr>
      <w:pStyle w:val="Rodap"/>
      <w:jc w:val="right"/>
      <w:rPr>
        <w:rFonts w:ascii="Times New Roman" w:hAnsi="Times New Roman"/>
      </w:rPr>
    </w:pPr>
    <w:r w:rsidRPr="006E3690">
      <w:rPr>
        <w:rFonts w:ascii="Times New Roman" w:hAnsi="Times New Roman"/>
      </w:rPr>
      <w:t>Edital - Pregão - NLLC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3D1" w:rsidRDefault="00F613D1" w:rsidP="0004300F">
      <w:r>
        <w:separator/>
      </w:r>
    </w:p>
  </w:footnote>
  <w:footnote w:type="continuationSeparator" w:id="0">
    <w:p w:rsidR="00F613D1" w:rsidRDefault="00F613D1" w:rsidP="00043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F72" w:rsidRPr="00BE2802" w:rsidRDefault="009C5F72" w:rsidP="009C5F72">
    <w:pPr>
      <w:pStyle w:val="Rodap"/>
      <w:tabs>
        <w:tab w:val="clear" w:pos="4252"/>
        <w:tab w:val="center" w:pos="0"/>
      </w:tabs>
      <w:jc w:val="center"/>
      <w:rPr>
        <w:rFonts w:ascii="Bookman Old Style" w:hAnsi="Bookman Old Style" w:cs="Arial"/>
        <w:sz w:val="16"/>
        <w:szCs w:val="16"/>
      </w:rPr>
    </w:pPr>
  </w:p>
  <w:p w:rsidR="00AE1D41" w:rsidRDefault="00AE1D41" w:rsidP="00AE1D41">
    <w:pPr>
      <w:jc w:val="center"/>
      <w:rPr>
        <w:rFonts w:cs="Arial"/>
        <w:b/>
        <w:sz w:val="14"/>
        <w:szCs w:val="14"/>
      </w:rPr>
    </w:pPr>
    <w:r>
      <w:rPr>
        <w:noProof/>
      </w:rPr>
      <w:drawing>
        <wp:anchor distT="0" distB="0" distL="114300" distR="114300" simplePos="0" relativeHeight="251659264" behindDoc="0" locked="0" layoutInCell="1" allowOverlap="1">
          <wp:simplePos x="0" y="0"/>
          <wp:positionH relativeFrom="margin">
            <wp:posOffset>2291715</wp:posOffset>
          </wp:positionH>
          <wp:positionV relativeFrom="paragraph">
            <wp:posOffset>-227330</wp:posOffset>
          </wp:positionV>
          <wp:extent cx="856615" cy="653415"/>
          <wp:effectExtent l="0" t="0" r="0" b="0"/>
          <wp:wrapNone/>
          <wp:docPr id="1" name="Imagem 1" descr="brasã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1D41" w:rsidRDefault="00AE1D41" w:rsidP="00AE1D41">
    <w:pPr>
      <w:jc w:val="center"/>
      <w:rPr>
        <w:rFonts w:cs="Arial"/>
        <w:b/>
        <w:sz w:val="14"/>
        <w:szCs w:val="14"/>
      </w:rPr>
    </w:pPr>
  </w:p>
  <w:p w:rsidR="00AE1D41" w:rsidRDefault="00AE1D41" w:rsidP="00AE1D41">
    <w:pPr>
      <w:pStyle w:val="Cabealho"/>
      <w:tabs>
        <w:tab w:val="right" w:pos="2835"/>
      </w:tabs>
      <w:jc w:val="center"/>
      <w:rPr>
        <w:rFonts w:ascii="Arial" w:hAnsi="Arial" w:cs="Arial"/>
        <w:b/>
        <w:sz w:val="16"/>
        <w:szCs w:val="16"/>
      </w:rPr>
    </w:pPr>
  </w:p>
  <w:p w:rsidR="00AE1D41" w:rsidRDefault="00AE1D41" w:rsidP="00AE1D41">
    <w:pPr>
      <w:pStyle w:val="Cabealho"/>
      <w:tabs>
        <w:tab w:val="right" w:pos="2835"/>
      </w:tabs>
      <w:jc w:val="center"/>
      <w:rPr>
        <w:rFonts w:ascii="Arial" w:hAnsi="Arial" w:cs="Arial"/>
        <w:b/>
        <w:sz w:val="16"/>
        <w:szCs w:val="16"/>
      </w:rPr>
    </w:pPr>
  </w:p>
  <w:p w:rsidR="00AE1D41" w:rsidRDefault="00AE1D41" w:rsidP="00AE1D41">
    <w:pPr>
      <w:pStyle w:val="Cabealho"/>
      <w:tabs>
        <w:tab w:val="right" w:pos="2835"/>
      </w:tabs>
      <w:jc w:val="center"/>
      <w:rPr>
        <w:rFonts w:ascii="Arial" w:hAnsi="Arial" w:cs="Arial"/>
        <w:b/>
        <w:bCs/>
      </w:rPr>
    </w:pPr>
    <w:r>
      <w:rPr>
        <w:rFonts w:ascii="Arial" w:hAnsi="Arial" w:cs="Arial"/>
        <w:b/>
        <w:bCs/>
      </w:rPr>
      <w:t>PREFEITURA MUNICIPAL DE MURICI</w:t>
    </w:r>
  </w:p>
  <w:p w:rsidR="009C5F72" w:rsidRPr="00943D82" w:rsidRDefault="00AE1D41" w:rsidP="00AE1D41">
    <w:pPr>
      <w:pStyle w:val="Cabealho"/>
      <w:tabs>
        <w:tab w:val="clear" w:pos="4252"/>
        <w:tab w:val="center" w:pos="0"/>
      </w:tabs>
      <w:jc w:val="center"/>
      <w:rPr>
        <w:rFonts w:ascii="Times New Roman" w:hAnsi="Times New Roman"/>
        <w:b/>
      </w:rPr>
    </w:pPr>
    <w:r>
      <w:rPr>
        <w:rFonts w:ascii="Times New Roman" w:hAnsi="Times New Roman"/>
        <w:b/>
      </w:rPr>
      <w:t>COMISSÃO PERMANENTE DE LICITAÇÃO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3BC2"/>
    <w:multiLevelType w:val="multilevel"/>
    <w:tmpl w:val="EB408A52"/>
    <w:lvl w:ilvl="0">
      <w:start w:val="2"/>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90665E4"/>
    <w:multiLevelType w:val="hybridMultilevel"/>
    <w:tmpl w:val="75969A54"/>
    <w:lvl w:ilvl="0" w:tplc="731C8F8A">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BA2078A"/>
    <w:multiLevelType w:val="hybridMultilevel"/>
    <w:tmpl w:val="C9CAD05C"/>
    <w:lvl w:ilvl="0" w:tplc="26FCEE78">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D466CAA"/>
    <w:multiLevelType w:val="multilevel"/>
    <w:tmpl w:val="6E0655F6"/>
    <w:lvl w:ilvl="0">
      <w:start w:val="10"/>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4049" w:hanging="504"/>
      </w:pPr>
      <w:rPr>
        <w:rFonts w:hint="default"/>
        <w:b w:val="0"/>
        <w:b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7914B1"/>
    <w:multiLevelType w:val="multilevel"/>
    <w:tmpl w:val="155A86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D5C100D"/>
    <w:multiLevelType w:val="multilevel"/>
    <w:tmpl w:val="504A7F6E"/>
    <w:lvl w:ilvl="0">
      <w:start w:val="9"/>
      <w:numFmt w:val="decimal"/>
      <w:pStyle w:val="Nivel1"/>
      <w:lvlText w:val="%1."/>
      <w:lvlJc w:val="left"/>
      <w:pPr>
        <w:ind w:left="1920" w:hanging="360"/>
      </w:pPr>
      <w:rPr>
        <w:rFonts w:ascii="Times New Roman" w:hAnsi="Times New Roman" w:cs="Times New Roman" w:hint="default"/>
        <w:b/>
        <w:color w:val="auto"/>
        <w:sz w:val="24"/>
        <w:szCs w:val="24"/>
      </w:rPr>
    </w:lvl>
    <w:lvl w:ilvl="1">
      <w:start w:val="1"/>
      <w:numFmt w:val="decimal"/>
      <w:lvlText w:val="3.%2."/>
      <w:lvlJc w:val="left"/>
      <w:pPr>
        <w:ind w:left="3410" w:hanging="432"/>
      </w:pPr>
      <w:rPr>
        <w:rFonts w:hint="default"/>
        <w:b w:val="0"/>
        <w:i w:val="0"/>
        <w:strike w:val="0"/>
        <w:color w:val="auto"/>
      </w:rPr>
    </w:lvl>
    <w:lvl w:ilvl="2">
      <w:start w:val="1"/>
      <w:numFmt w:val="decimal"/>
      <w:lvlText w:val="%1.%2.%3."/>
      <w:lvlJc w:val="left"/>
      <w:pPr>
        <w:ind w:left="930" w:hanging="504"/>
      </w:pPr>
      <w:rPr>
        <w:rFonts w:hint="default"/>
        <w:b w:val="0"/>
        <w:i w:val="0"/>
        <w:color w:val="auto"/>
        <w:sz w:val="24"/>
        <w:szCs w:val="24"/>
      </w:rPr>
    </w:lvl>
    <w:lvl w:ilvl="3">
      <w:start w:val="1"/>
      <w:numFmt w:val="decimal"/>
      <w:lvlText w:val="%1.%2.%3.%4."/>
      <w:lvlJc w:val="left"/>
      <w:pPr>
        <w:ind w:left="2491"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4202833"/>
    <w:multiLevelType w:val="multilevel"/>
    <w:tmpl w:val="AF8AB3F4"/>
    <w:lvl w:ilvl="0">
      <w:start w:val="4"/>
      <w:numFmt w:val="decimal"/>
      <w:lvlText w:val="%1."/>
      <w:lvlJc w:val="left"/>
      <w:pPr>
        <w:ind w:left="360" w:hanging="360"/>
      </w:pPr>
      <w:rPr>
        <w:rFonts w:hint="default"/>
        <w:color w:val="auto"/>
      </w:rPr>
    </w:lvl>
    <w:lvl w:ilvl="1">
      <w:start w:val="7"/>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b w:val="0"/>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B5776AD"/>
    <w:multiLevelType w:val="multilevel"/>
    <w:tmpl w:val="C2220846"/>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EC44DE6"/>
    <w:multiLevelType w:val="multilevel"/>
    <w:tmpl w:val="7304CDD2"/>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3F561F3"/>
    <w:multiLevelType w:val="hybridMultilevel"/>
    <w:tmpl w:val="E66A134E"/>
    <w:lvl w:ilvl="0" w:tplc="B10A6A62">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96A2E98"/>
    <w:multiLevelType w:val="hybridMultilevel"/>
    <w:tmpl w:val="FED864B4"/>
    <w:lvl w:ilvl="0" w:tplc="E1A4FD54">
      <w:start w:val="1"/>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4CA1E77"/>
    <w:multiLevelType w:val="multilevel"/>
    <w:tmpl w:val="D53E2762"/>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54E92DF5"/>
    <w:multiLevelType w:val="multilevel"/>
    <w:tmpl w:val="A15260EC"/>
    <w:lvl w:ilvl="0">
      <w:start w:val="4"/>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b w:val="0"/>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8E35161"/>
    <w:multiLevelType w:val="multilevel"/>
    <w:tmpl w:val="11147982"/>
    <w:lvl w:ilvl="0">
      <w:start w:val="5"/>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4049" w:hanging="504"/>
      </w:pPr>
      <w:rPr>
        <w:rFonts w:hint="default"/>
        <w:b w:val="0"/>
        <w:b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BE65600"/>
    <w:multiLevelType w:val="multilevel"/>
    <w:tmpl w:val="931ADD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E0C2B30"/>
    <w:multiLevelType w:val="multilevel"/>
    <w:tmpl w:val="6A3613B8"/>
    <w:lvl w:ilvl="0">
      <w:start w:val="1"/>
      <w:numFmt w:val="decimal"/>
      <w:lvlText w:val="%1."/>
      <w:lvlJc w:val="left"/>
      <w:pPr>
        <w:ind w:left="360" w:hanging="360"/>
      </w:pPr>
      <w:rPr>
        <w:rFonts w:hint="default"/>
      </w:rPr>
    </w:lvl>
    <w:lvl w:ilvl="1">
      <w:start w:val="3"/>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80423EC"/>
    <w:multiLevelType w:val="multilevel"/>
    <w:tmpl w:val="B1128E54"/>
    <w:lvl w:ilvl="0">
      <w:start w:val="2"/>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F5B4D7D"/>
    <w:multiLevelType w:val="multilevel"/>
    <w:tmpl w:val="3164591C"/>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color w:val="auto"/>
        <w:sz w:val="24"/>
        <w:szCs w:val="24"/>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10"/>
  </w:num>
  <w:num w:numId="3">
    <w:abstractNumId w:val="15"/>
  </w:num>
  <w:num w:numId="4">
    <w:abstractNumId w:val="1"/>
  </w:num>
  <w:num w:numId="5">
    <w:abstractNumId w:val="9"/>
  </w:num>
  <w:num w:numId="6">
    <w:abstractNumId w:val="2"/>
  </w:num>
  <w:num w:numId="7">
    <w:abstractNumId w:val="16"/>
  </w:num>
  <w:num w:numId="8">
    <w:abstractNumId w:val="7"/>
  </w:num>
  <w:num w:numId="9">
    <w:abstractNumId w:val="8"/>
  </w:num>
  <w:num w:numId="10">
    <w:abstractNumId w:val="12"/>
  </w:num>
  <w:num w:numId="11">
    <w:abstractNumId w:val="6"/>
  </w:num>
  <w:num w:numId="12">
    <w:abstractNumId w:val="13"/>
  </w:num>
  <w:num w:numId="13">
    <w:abstractNumId w:val="11"/>
  </w:num>
  <w:num w:numId="14">
    <w:abstractNumId w:val="0"/>
  </w:num>
  <w:num w:numId="15">
    <w:abstractNumId w:val="14"/>
  </w:num>
  <w:num w:numId="16">
    <w:abstractNumId w:val="4"/>
  </w:num>
  <w:num w:numId="17">
    <w:abstractNumId w:val="1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037"/>
    <w:rsid w:val="000373BD"/>
    <w:rsid w:val="0004300F"/>
    <w:rsid w:val="00167F9F"/>
    <w:rsid w:val="002030BE"/>
    <w:rsid w:val="002D52B0"/>
    <w:rsid w:val="002E2A9D"/>
    <w:rsid w:val="003060FC"/>
    <w:rsid w:val="00381BD5"/>
    <w:rsid w:val="003A7AE6"/>
    <w:rsid w:val="004570D1"/>
    <w:rsid w:val="00514D55"/>
    <w:rsid w:val="00543C47"/>
    <w:rsid w:val="005A2EB3"/>
    <w:rsid w:val="006404D5"/>
    <w:rsid w:val="00670398"/>
    <w:rsid w:val="00710A17"/>
    <w:rsid w:val="00826001"/>
    <w:rsid w:val="008E1037"/>
    <w:rsid w:val="008F08CF"/>
    <w:rsid w:val="00901059"/>
    <w:rsid w:val="00902FAA"/>
    <w:rsid w:val="00917DE9"/>
    <w:rsid w:val="00923577"/>
    <w:rsid w:val="009C3939"/>
    <w:rsid w:val="009C5F72"/>
    <w:rsid w:val="00AE1D41"/>
    <w:rsid w:val="00BA1D15"/>
    <w:rsid w:val="00BB6F30"/>
    <w:rsid w:val="00C7335C"/>
    <w:rsid w:val="00D02865"/>
    <w:rsid w:val="00D703C3"/>
    <w:rsid w:val="00D724FF"/>
    <w:rsid w:val="00D96341"/>
    <w:rsid w:val="00D9651B"/>
    <w:rsid w:val="00DB7B86"/>
    <w:rsid w:val="00DC0A88"/>
    <w:rsid w:val="00DE13F8"/>
    <w:rsid w:val="00F613D1"/>
    <w:rsid w:val="00F74417"/>
    <w:rsid w:val="00FC480D"/>
    <w:rsid w:val="00FF0C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037"/>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E103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E1037"/>
    <w:pPr>
      <w:ind w:left="720"/>
      <w:contextualSpacing/>
    </w:pPr>
  </w:style>
  <w:style w:type="character" w:styleId="Hyperlink">
    <w:name w:val="Hyperlink"/>
    <w:uiPriority w:val="99"/>
    <w:rsid w:val="008E1037"/>
    <w:rPr>
      <w:color w:val="000080"/>
      <w:u w:val="single"/>
    </w:rPr>
  </w:style>
  <w:style w:type="paragraph" w:styleId="Citao">
    <w:name w:val="Quote"/>
    <w:aliases w:val="TCU,Citação AGU,NotaExplicativa"/>
    <w:basedOn w:val="Normal"/>
    <w:next w:val="Normal"/>
    <w:link w:val="CitaoChar"/>
    <w:uiPriority w:val="29"/>
    <w:qFormat/>
    <w:rsid w:val="008E103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imes New Roman"/>
      <w:i/>
      <w:iCs/>
      <w:color w:val="000000"/>
      <w:lang w:eastAsia="en-US"/>
    </w:rPr>
  </w:style>
  <w:style w:type="character" w:customStyle="1" w:styleId="CitaoChar">
    <w:name w:val="Citação Char"/>
    <w:aliases w:val="TCU Char,Citação AGU Char,NotaExplicativa Char"/>
    <w:basedOn w:val="Fontepargpadro"/>
    <w:link w:val="Citao"/>
    <w:uiPriority w:val="29"/>
    <w:qFormat/>
    <w:rsid w:val="008E1037"/>
    <w:rPr>
      <w:rFonts w:ascii="Ecofont_Spranq_eco_Sans" w:eastAsia="Calibri" w:hAnsi="Ecofont_Spranq_eco_Sans" w:cs="Times New Roman"/>
      <w:i/>
      <w:iCs/>
      <w:color w:val="000000"/>
      <w:sz w:val="20"/>
      <w:szCs w:val="24"/>
      <w:shd w:val="clear" w:color="auto" w:fill="FFFFCC"/>
    </w:rPr>
  </w:style>
  <w:style w:type="paragraph" w:styleId="Cabealho">
    <w:name w:val="header"/>
    <w:aliases w:val="Heading 1a,Cabeçalho superior,Cabeçalho superior Char Char Char Char,Cabeçalho superior Char Char Char,encabezado"/>
    <w:basedOn w:val="Normal"/>
    <w:link w:val="CabealhoChar"/>
    <w:unhideWhenUsed/>
    <w:rsid w:val="008E1037"/>
    <w:pPr>
      <w:tabs>
        <w:tab w:val="center" w:pos="4252"/>
        <w:tab w:val="right" w:pos="8504"/>
      </w:tabs>
    </w:pPr>
    <w:rPr>
      <w:rFonts w:ascii="Ecofont_Spranq_eco_Sans" w:hAnsi="Ecofont_Spranq_eco_Sans" w:cs="Times New Roman"/>
      <w:sz w:val="24"/>
    </w:rPr>
  </w:style>
  <w:style w:type="character" w:customStyle="1" w:styleId="CabealhoChar">
    <w:name w:val="Cabeçalho Char"/>
    <w:aliases w:val="Heading 1a Char,Cabeçalho superior Char,Cabeçalho superior Char Char Char Char Char,Cabeçalho superior Char Char Char Char1,encabezado Char"/>
    <w:basedOn w:val="Fontepargpadro"/>
    <w:link w:val="Cabealho"/>
    <w:rsid w:val="008E1037"/>
    <w:rPr>
      <w:rFonts w:ascii="Ecofont_Spranq_eco_Sans" w:eastAsia="Times New Roman" w:hAnsi="Ecofont_Spranq_eco_Sans" w:cs="Times New Roman"/>
      <w:sz w:val="24"/>
      <w:szCs w:val="24"/>
    </w:rPr>
  </w:style>
  <w:style w:type="paragraph" w:styleId="Rodap">
    <w:name w:val="footer"/>
    <w:basedOn w:val="Normal"/>
    <w:link w:val="RodapChar"/>
    <w:uiPriority w:val="99"/>
    <w:unhideWhenUsed/>
    <w:rsid w:val="008E1037"/>
    <w:pPr>
      <w:tabs>
        <w:tab w:val="center" w:pos="4252"/>
        <w:tab w:val="right" w:pos="8504"/>
      </w:tabs>
    </w:pPr>
    <w:rPr>
      <w:rFonts w:ascii="Ecofont_Spranq_eco_Sans" w:hAnsi="Ecofont_Spranq_eco_Sans" w:cs="Times New Roman"/>
      <w:sz w:val="24"/>
    </w:rPr>
  </w:style>
  <w:style w:type="character" w:customStyle="1" w:styleId="RodapChar">
    <w:name w:val="Rodapé Char"/>
    <w:basedOn w:val="Fontepargpadro"/>
    <w:link w:val="Rodap"/>
    <w:uiPriority w:val="99"/>
    <w:qFormat/>
    <w:rsid w:val="008E1037"/>
    <w:rPr>
      <w:rFonts w:ascii="Ecofont_Spranq_eco_Sans" w:eastAsia="Times New Roman" w:hAnsi="Ecofont_Spranq_eco_Sans" w:cs="Times New Roman"/>
      <w:sz w:val="24"/>
      <w:szCs w:val="24"/>
    </w:rPr>
  </w:style>
  <w:style w:type="paragraph" w:customStyle="1" w:styleId="Nivel1">
    <w:name w:val="Nivel1"/>
    <w:basedOn w:val="Ttulo1"/>
    <w:next w:val="Normal"/>
    <w:link w:val="Nivel1Char"/>
    <w:qFormat/>
    <w:rsid w:val="008E1037"/>
    <w:pPr>
      <w:numPr>
        <w:numId w:val="1"/>
      </w:numPr>
      <w:spacing w:after="120" w:line="276" w:lineRule="auto"/>
      <w:jc w:val="both"/>
    </w:pPr>
    <w:rPr>
      <w:rFonts w:ascii="Arial" w:eastAsia="Times New Roman" w:hAnsi="Arial" w:cs="Times New Roman"/>
      <w:bCs w:val="0"/>
      <w:color w:val="000000"/>
      <w:sz w:val="32"/>
      <w:szCs w:val="32"/>
    </w:rPr>
  </w:style>
  <w:style w:type="character" w:customStyle="1" w:styleId="Nivel1Char">
    <w:name w:val="Nivel1 Char"/>
    <w:link w:val="Nivel1"/>
    <w:rsid w:val="008E1037"/>
    <w:rPr>
      <w:rFonts w:ascii="Arial" w:eastAsia="Times New Roman" w:hAnsi="Arial" w:cs="Times New Roman"/>
      <w:b/>
      <w:color w:val="000000"/>
      <w:sz w:val="32"/>
      <w:szCs w:val="32"/>
    </w:rPr>
  </w:style>
  <w:style w:type="paragraph" w:customStyle="1" w:styleId="SombreamentoMdio1-nfase31">
    <w:name w:val="Sombreamento Médio 1 - Ênfase 31"/>
    <w:basedOn w:val="Normal"/>
    <w:next w:val="Normal"/>
    <w:rsid w:val="008E103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Ttulo1Char">
    <w:name w:val="Título 1 Char"/>
    <w:basedOn w:val="Fontepargpadro"/>
    <w:link w:val="Ttulo1"/>
    <w:uiPriority w:val="9"/>
    <w:rsid w:val="008E1037"/>
    <w:rPr>
      <w:rFonts w:asciiTheme="majorHAnsi" w:eastAsiaTheme="majorEastAsia" w:hAnsiTheme="majorHAnsi" w:cstheme="majorBidi"/>
      <w:b/>
      <w:bCs/>
      <w:color w:val="365F91" w:themeColor="accent1" w:themeShade="BF"/>
      <w:sz w:val="28"/>
      <w:szCs w:val="28"/>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037"/>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E103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E1037"/>
    <w:pPr>
      <w:ind w:left="720"/>
      <w:contextualSpacing/>
    </w:pPr>
  </w:style>
  <w:style w:type="character" w:styleId="Hyperlink">
    <w:name w:val="Hyperlink"/>
    <w:uiPriority w:val="99"/>
    <w:rsid w:val="008E1037"/>
    <w:rPr>
      <w:color w:val="000080"/>
      <w:u w:val="single"/>
    </w:rPr>
  </w:style>
  <w:style w:type="paragraph" w:styleId="Citao">
    <w:name w:val="Quote"/>
    <w:aliases w:val="TCU,Citação AGU,NotaExplicativa"/>
    <w:basedOn w:val="Normal"/>
    <w:next w:val="Normal"/>
    <w:link w:val="CitaoChar"/>
    <w:uiPriority w:val="29"/>
    <w:qFormat/>
    <w:rsid w:val="008E103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imes New Roman"/>
      <w:i/>
      <w:iCs/>
      <w:color w:val="000000"/>
      <w:lang w:eastAsia="en-US"/>
    </w:rPr>
  </w:style>
  <w:style w:type="character" w:customStyle="1" w:styleId="CitaoChar">
    <w:name w:val="Citação Char"/>
    <w:aliases w:val="TCU Char,Citação AGU Char,NotaExplicativa Char"/>
    <w:basedOn w:val="Fontepargpadro"/>
    <w:link w:val="Citao"/>
    <w:uiPriority w:val="29"/>
    <w:qFormat/>
    <w:rsid w:val="008E1037"/>
    <w:rPr>
      <w:rFonts w:ascii="Ecofont_Spranq_eco_Sans" w:eastAsia="Calibri" w:hAnsi="Ecofont_Spranq_eco_Sans" w:cs="Times New Roman"/>
      <w:i/>
      <w:iCs/>
      <w:color w:val="000000"/>
      <w:sz w:val="20"/>
      <w:szCs w:val="24"/>
      <w:shd w:val="clear" w:color="auto" w:fill="FFFFCC"/>
    </w:rPr>
  </w:style>
  <w:style w:type="paragraph" w:styleId="Cabealho">
    <w:name w:val="header"/>
    <w:aliases w:val="Heading 1a,Cabeçalho superior,Cabeçalho superior Char Char Char Char,Cabeçalho superior Char Char Char,encabezado"/>
    <w:basedOn w:val="Normal"/>
    <w:link w:val="CabealhoChar"/>
    <w:unhideWhenUsed/>
    <w:rsid w:val="008E1037"/>
    <w:pPr>
      <w:tabs>
        <w:tab w:val="center" w:pos="4252"/>
        <w:tab w:val="right" w:pos="8504"/>
      </w:tabs>
    </w:pPr>
    <w:rPr>
      <w:rFonts w:ascii="Ecofont_Spranq_eco_Sans" w:hAnsi="Ecofont_Spranq_eco_Sans" w:cs="Times New Roman"/>
      <w:sz w:val="24"/>
    </w:rPr>
  </w:style>
  <w:style w:type="character" w:customStyle="1" w:styleId="CabealhoChar">
    <w:name w:val="Cabeçalho Char"/>
    <w:aliases w:val="Heading 1a Char,Cabeçalho superior Char,Cabeçalho superior Char Char Char Char Char,Cabeçalho superior Char Char Char Char1,encabezado Char"/>
    <w:basedOn w:val="Fontepargpadro"/>
    <w:link w:val="Cabealho"/>
    <w:rsid w:val="008E1037"/>
    <w:rPr>
      <w:rFonts w:ascii="Ecofont_Spranq_eco_Sans" w:eastAsia="Times New Roman" w:hAnsi="Ecofont_Spranq_eco_Sans" w:cs="Times New Roman"/>
      <w:sz w:val="24"/>
      <w:szCs w:val="24"/>
    </w:rPr>
  </w:style>
  <w:style w:type="paragraph" w:styleId="Rodap">
    <w:name w:val="footer"/>
    <w:basedOn w:val="Normal"/>
    <w:link w:val="RodapChar"/>
    <w:uiPriority w:val="99"/>
    <w:unhideWhenUsed/>
    <w:rsid w:val="008E1037"/>
    <w:pPr>
      <w:tabs>
        <w:tab w:val="center" w:pos="4252"/>
        <w:tab w:val="right" w:pos="8504"/>
      </w:tabs>
    </w:pPr>
    <w:rPr>
      <w:rFonts w:ascii="Ecofont_Spranq_eco_Sans" w:hAnsi="Ecofont_Spranq_eco_Sans" w:cs="Times New Roman"/>
      <w:sz w:val="24"/>
    </w:rPr>
  </w:style>
  <w:style w:type="character" w:customStyle="1" w:styleId="RodapChar">
    <w:name w:val="Rodapé Char"/>
    <w:basedOn w:val="Fontepargpadro"/>
    <w:link w:val="Rodap"/>
    <w:uiPriority w:val="99"/>
    <w:qFormat/>
    <w:rsid w:val="008E1037"/>
    <w:rPr>
      <w:rFonts w:ascii="Ecofont_Spranq_eco_Sans" w:eastAsia="Times New Roman" w:hAnsi="Ecofont_Spranq_eco_Sans" w:cs="Times New Roman"/>
      <w:sz w:val="24"/>
      <w:szCs w:val="24"/>
    </w:rPr>
  </w:style>
  <w:style w:type="paragraph" w:customStyle="1" w:styleId="Nivel1">
    <w:name w:val="Nivel1"/>
    <w:basedOn w:val="Ttulo1"/>
    <w:next w:val="Normal"/>
    <w:link w:val="Nivel1Char"/>
    <w:qFormat/>
    <w:rsid w:val="008E1037"/>
    <w:pPr>
      <w:numPr>
        <w:numId w:val="1"/>
      </w:numPr>
      <w:spacing w:after="120" w:line="276" w:lineRule="auto"/>
      <w:jc w:val="both"/>
    </w:pPr>
    <w:rPr>
      <w:rFonts w:ascii="Arial" w:eastAsia="Times New Roman" w:hAnsi="Arial" w:cs="Times New Roman"/>
      <w:bCs w:val="0"/>
      <w:color w:val="000000"/>
      <w:sz w:val="32"/>
      <w:szCs w:val="32"/>
    </w:rPr>
  </w:style>
  <w:style w:type="character" w:customStyle="1" w:styleId="Nivel1Char">
    <w:name w:val="Nivel1 Char"/>
    <w:link w:val="Nivel1"/>
    <w:rsid w:val="008E1037"/>
    <w:rPr>
      <w:rFonts w:ascii="Arial" w:eastAsia="Times New Roman" w:hAnsi="Arial" w:cs="Times New Roman"/>
      <w:b/>
      <w:color w:val="000000"/>
      <w:sz w:val="32"/>
      <w:szCs w:val="32"/>
    </w:rPr>
  </w:style>
  <w:style w:type="paragraph" w:customStyle="1" w:styleId="SombreamentoMdio1-nfase31">
    <w:name w:val="Sombreamento Médio 1 - Ênfase 31"/>
    <w:basedOn w:val="Normal"/>
    <w:next w:val="Normal"/>
    <w:rsid w:val="008E103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Ttulo1Char">
    <w:name w:val="Título 1 Char"/>
    <w:basedOn w:val="Fontepargpadro"/>
    <w:link w:val="Ttulo1"/>
    <w:uiPriority w:val="9"/>
    <w:rsid w:val="008E1037"/>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23</Pages>
  <Words>9525</Words>
  <Characters>51435</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ridina.leite</dc:creator>
  <cp:lastModifiedBy>José Emerson da Silva Oliveira - CPL</cp:lastModifiedBy>
  <cp:revision>9</cp:revision>
  <dcterms:created xsi:type="dcterms:W3CDTF">2024-02-26T11:33:00Z</dcterms:created>
  <dcterms:modified xsi:type="dcterms:W3CDTF">2024-05-20T12:20:00Z</dcterms:modified>
</cp:coreProperties>
</file>