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813C9" w14:textId="0539C435"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color w:val="000000"/>
          <w:sz w:val="24"/>
        </w:rPr>
        <w:t>EDITAL – PREGÃO</w:t>
      </w:r>
    </w:p>
    <w:p w14:paraId="3B3BD36C" w14:textId="77777777"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sz w:val="24"/>
        </w:rPr>
        <w:t>LEI Nº 14.133, DE 1º DE ABRIL DE 2021</w:t>
      </w:r>
      <w:r w:rsidRPr="006404D5">
        <w:rPr>
          <w:rFonts w:ascii="Times New Roman" w:hAnsi="Times New Roman" w:cs="Times New Roman"/>
          <w:b/>
          <w:bCs/>
          <w:iCs/>
          <w:color w:val="000000"/>
          <w:sz w:val="24"/>
        </w:rPr>
        <w:t xml:space="preserve"> </w:t>
      </w:r>
    </w:p>
    <w:p w14:paraId="012AA211" w14:textId="77777777" w:rsidR="008E1037" w:rsidRPr="006404D5" w:rsidRDefault="008E1037" w:rsidP="008E1037">
      <w:pPr>
        <w:spacing w:before="120" w:after="120"/>
        <w:jc w:val="center"/>
        <w:rPr>
          <w:rFonts w:ascii="Times New Roman" w:hAnsi="Times New Roman" w:cs="Times New Roman"/>
          <w:b/>
          <w:bCs/>
          <w:iCs/>
          <w:color w:val="000000"/>
          <w:sz w:val="24"/>
        </w:rPr>
      </w:pPr>
    </w:p>
    <w:p w14:paraId="5B9812C2" w14:textId="291E3AA6"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b/>
          <w:iCs/>
          <w:sz w:val="24"/>
        </w:rPr>
        <w:t>PREGÃO ELETRÔNICO Nº</w:t>
      </w:r>
      <w:r w:rsidRPr="006404D5">
        <w:rPr>
          <w:rFonts w:ascii="Times New Roman" w:hAnsi="Times New Roman" w:cs="Times New Roman"/>
          <w:iCs/>
          <w:color w:val="FF0000"/>
          <w:sz w:val="24"/>
        </w:rPr>
        <w:t xml:space="preserve"> </w:t>
      </w:r>
      <w:r w:rsidR="006354BA">
        <w:rPr>
          <w:rFonts w:ascii="Times New Roman" w:hAnsi="Times New Roman" w:cs="Times New Roman"/>
          <w:b/>
          <w:bCs/>
          <w:iCs/>
          <w:color w:val="FF0000"/>
          <w:sz w:val="24"/>
        </w:rPr>
        <w:t>1</w:t>
      </w:r>
      <w:r w:rsidR="00BD6CAE">
        <w:rPr>
          <w:rFonts w:ascii="Times New Roman" w:hAnsi="Times New Roman" w:cs="Times New Roman"/>
          <w:b/>
          <w:bCs/>
          <w:iCs/>
          <w:color w:val="FF0000"/>
          <w:sz w:val="24"/>
        </w:rPr>
        <w:t>3</w:t>
      </w:r>
      <w:r w:rsidR="00792507">
        <w:rPr>
          <w:rFonts w:ascii="Times New Roman" w:hAnsi="Times New Roman" w:cs="Times New Roman"/>
          <w:b/>
          <w:bCs/>
          <w:iCs/>
          <w:color w:val="FF0000"/>
          <w:sz w:val="24"/>
        </w:rPr>
        <w:t>/2024</w:t>
      </w:r>
    </w:p>
    <w:p w14:paraId="7414793C" w14:textId="7DA3518C"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iCs/>
          <w:color w:val="000000"/>
          <w:sz w:val="24"/>
        </w:rPr>
        <w:t>Processo Administrativo nº</w:t>
      </w:r>
      <w:r w:rsidR="009C5F72">
        <w:rPr>
          <w:rFonts w:ascii="Times New Roman" w:hAnsi="Times New Roman" w:cs="Times New Roman"/>
          <w:iCs/>
          <w:color w:val="FF0000"/>
          <w:sz w:val="24"/>
        </w:rPr>
        <w:t xml:space="preserve"> </w:t>
      </w:r>
      <w:r w:rsidR="00BD6CAE">
        <w:rPr>
          <w:rFonts w:ascii="Times New Roman" w:hAnsi="Times New Roman" w:cs="Times New Roman"/>
          <w:iCs/>
          <w:color w:val="FF0000"/>
          <w:sz w:val="24"/>
        </w:rPr>
        <w:t>0563-A/</w:t>
      </w:r>
      <w:r w:rsidR="001B4631">
        <w:rPr>
          <w:rFonts w:ascii="Times New Roman" w:hAnsi="Times New Roman" w:cs="Times New Roman"/>
          <w:iCs/>
          <w:color w:val="FF0000"/>
          <w:sz w:val="24"/>
        </w:rPr>
        <w:t>2024</w:t>
      </w:r>
    </w:p>
    <w:p w14:paraId="507BF984" w14:textId="77777777" w:rsidR="008E1037" w:rsidRPr="006404D5" w:rsidRDefault="008E1037" w:rsidP="008E1037">
      <w:pPr>
        <w:spacing w:before="120" w:after="120"/>
        <w:jc w:val="center"/>
        <w:rPr>
          <w:rFonts w:ascii="Times New Roman" w:hAnsi="Times New Roman" w:cs="Times New Roman"/>
          <w:iCs/>
          <w:color w:val="FF0000"/>
          <w:sz w:val="24"/>
        </w:rPr>
      </w:pPr>
    </w:p>
    <w:p w14:paraId="3F202D92" w14:textId="77777777" w:rsidR="008E1037" w:rsidRPr="006404D5" w:rsidRDefault="008E1037" w:rsidP="008E1037">
      <w:pPr>
        <w:spacing w:before="120" w:after="120"/>
        <w:jc w:val="both"/>
        <w:rPr>
          <w:rFonts w:ascii="Times New Roman" w:hAnsi="Times New Roman" w:cs="Times New Roman"/>
          <w:color w:val="000000"/>
          <w:sz w:val="24"/>
        </w:rPr>
      </w:pPr>
      <w:r w:rsidRPr="006404D5">
        <w:rPr>
          <w:rFonts w:ascii="Times New Roman" w:hAnsi="Times New Roman" w:cs="Times New Roman"/>
          <w:color w:val="000000"/>
          <w:sz w:val="24"/>
        </w:rPr>
        <w:t xml:space="preserve">Torna-se público que </w:t>
      </w:r>
      <w:r w:rsidR="009C5F72">
        <w:rPr>
          <w:rFonts w:ascii="Times New Roman" w:hAnsi="Times New Roman" w:cs="Times New Roman"/>
          <w:color w:val="000000"/>
          <w:sz w:val="24"/>
        </w:rPr>
        <w:t>a Prefeitura Municipal de Murici – AL</w:t>
      </w:r>
      <w:r w:rsidRPr="006404D5">
        <w:rPr>
          <w:rFonts w:ascii="Times New Roman" w:hAnsi="Times New Roman" w:cs="Times New Roman"/>
          <w:color w:val="000000"/>
          <w:sz w:val="24"/>
        </w:rPr>
        <w:t xml:space="preserve">, por meio </w:t>
      </w:r>
      <w:r w:rsidR="009C5F72">
        <w:rPr>
          <w:rFonts w:ascii="Times New Roman" w:hAnsi="Times New Roman" w:cs="Times New Roman"/>
          <w:color w:val="000000"/>
          <w:sz w:val="24"/>
        </w:rPr>
        <w:t>da Comissão Permanente de Licitação</w:t>
      </w:r>
      <w:r w:rsidRPr="006404D5">
        <w:rPr>
          <w:rFonts w:ascii="Times New Roman" w:hAnsi="Times New Roman" w:cs="Times New Roman"/>
          <w:color w:val="000000"/>
          <w:sz w:val="24"/>
        </w:rPr>
        <w:t xml:space="preserve">, realizará licitação, </w:t>
      </w:r>
      <w:r w:rsidRPr="009C5F72">
        <w:rPr>
          <w:rFonts w:ascii="Times New Roman" w:hAnsi="Times New Roman" w:cs="Times New Roman"/>
          <w:color w:val="000000"/>
          <w:sz w:val="24"/>
        </w:rPr>
        <w:t>para registro de preços,</w:t>
      </w:r>
      <w:r w:rsidRPr="006404D5">
        <w:rPr>
          <w:rFonts w:ascii="Times New Roman" w:hAnsi="Times New Roman" w:cs="Times New Roman"/>
          <w:color w:val="000000"/>
          <w:sz w:val="24"/>
        </w:rPr>
        <w:t xml:space="preserve"> na modalidade PREGÃO, na forma ELETRÔNICA, nos termos da Lei nº 14.133, de 2021, e demais legislação aplicável e, ainda, de acordo com as condições estabelecidas neste Edital.</w:t>
      </w:r>
    </w:p>
    <w:p w14:paraId="5081141A" w14:textId="3BCF7943"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Valor total da contratação: </w:t>
      </w:r>
      <w:r w:rsidR="009C5F72">
        <w:rPr>
          <w:rFonts w:ascii="Times New Roman" w:hAnsi="Times New Roman" w:cs="Times New Roman"/>
          <w:color w:val="FF0000"/>
          <w:sz w:val="24"/>
        </w:rPr>
        <w:t xml:space="preserve">R$ </w:t>
      </w:r>
      <w:r w:rsidR="00BD6CAE" w:rsidRPr="00BD6CAE">
        <w:rPr>
          <w:rFonts w:ascii="Times New Roman" w:hAnsi="Times New Roman" w:cs="Times New Roman"/>
          <w:color w:val="FF0000"/>
          <w:sz w:val="24"/>
        </w:rPr>
        <w:t>253.440,00</w:t>
      </w:r>
      <w:r w:rsidR="00BD6CAE">
        <w:rPr>
          <w:rFonts w:ascii="Times New Roman" w:hAnsi="Times New Roman" w:cs="Times New Roman"/>
          <w:color w:val="FF0000"/>
          <w:sz w:val="24"/>
        </w:rPr>
        <w:t xml:space="preserve"> </w:t>
      </w:r>
      <w:r w:rsidR="009C5F72">
        <w:rPr>
          <w:rFonts w:ascii="Times New Roman" w:hAnsi="Times New Roman" w:cs="Times New Roman"/>
          <w:color w:val="FF0000"/>
          <w:sz w:val="24"/>
        </w:rPr>
        <w:t>(</w:t>
      </w:r>
      <w:r w:rsidR="00BD6CAE">
        <w:rPr>
          <w:rFonts w:ascii="Times New Roman" w:hAnsi="Times New Roman" w:cs="Times New Roman"/>
          <w:color w:val="FF0000"/>
          <w:sz w:val="24"/>
        </w:rPr>
        <w:t>duzentos e cinquenta e três mil e quatrocentos e quarenta reais</w:t>
      </w:r>
      <w:r w:rsidR="006354BA">
        <w:rPr>
          <w:rFonts w:ascii="Times New Roman" w:hAnsi="Times New Roman" w:cs="Times New Roman"/>
          <w:color w:val="FF0000"/>
          <w:sz w:val="24"/>
        </w:rPr>
        <w:t xml:space="preserve">). </w:t>
      </w:r>
    </w:p>
    <w:p w14:paraId="02ED1007" w14:textId="01F76225"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Data da sessão pública: </w:t>
      </w:r>
      <w:r w:rsidR="00BD6CAE" w:rsidRPr="00BD6CAE">
        <w:rPr>
          <w:rFonts w:ascii="Times New Roman" w:hAnsi="Times New Roman" w:cs="Times New Roman"/>
          <w:color w:val="FF0000"/>
          <w:sz w:val="24"/>
        </w:rPr>
        <w:t>26</w:t>
      </w:r>
      <w:r w:rsidR="006354BA">
        <w:rPr>
          <w:rFonts w:ascii="Times New Roman" w:hAnsi="Times New Roman" w:cs="Times New Roman"/>
          <w:color w:val="FF0000"/>
          <w:sz w:val="24"/>
        </w:rPr>
        <w:t xml:space="preserve"> de </w:t>
      </w:r>
      <w:r w:rsidR="00BD6CAE">
        <w:rPr>
          <w:rFonts w:ascii="Times New Roman" w:hAnsi="Times New Roman" w:cs="Times New Roman"/>
          <w:color w:val="FF0000"/>
          <w:sz w:val="24"/>
        </w:rPr>
        <w:t>setembro</w:t>
      </w:r>
      <w:r w:rsidR="006354BA">
        <w:rPr>
          <w:rFonts w:ascii="Times New Roman" w:hAnsi="Times New Roman" w:cs="Times New Roman"/>
          <w:color w:val="FF0000"/>
          <w:sz w:val="24"/>
        </w:rPr>
        <w:t xml:space="preserve"> de 2024</w:t>
      </w:r>
      <w:r w:rsidR="009C5F72">
        <w:rPr>
          <w:rFonts w:ascii="Times New Roman" w:hAnsi="Times New Roman" w:cs="Times New Roman"/>
          <w:color w:val="FF0000"/>
          <w:sz w:val="24"/>
        </w:rPr>
        <w:t>.</w:t>
      </w:r>
    </w:p>
    <w:p w14:paraId="5B8C8334" w14:textId="16F1C3C0"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Horário: </w:t>
      </w:r>
      <w:r w:rsidR="006354BA">
        <w:rPr>
          <w:rFonts w:ascii="Times New Roman" w:hAnsi="Times New Roman" w:cs="Times New Roman"/>
          <w:color w:val="FF0000"/>
          <w:sz w:val="24"/>
        </w:rPr>
        <w:t>09</w:t>
      </w:r>
      <w:r w:rsidR="005951C9">
        <w:rPr>
          <w:rFonts w:ascii="Times New Roman" w:hAnsi="Times New Roman" w:cs="Times New Roman"/>
          <w:color w:val="FF0000"/>
          <w:sz w:val="24"/>
        </w:rPr>
        <w:t>:</w:t>
      </w:r>
      <w:r w:rsidR="007B32B2">
        <w:rPr>
          <w:rFonts w:ascii="Times New Roman" w:hAnsi="Times New Roman" w:cs="Times New Roman"/>
          <w:color w:val="FF0000"/>
          <w:sz w:val="24"/>
        </w:rPr>
        <w:t>00</w:t>
      </w:r>
      <w:r w:rsidR="009C5F72">
        <w:rPr>
          <w:rFonts w:ascii="Times New Roman" w:hAnsi="Times New Roman" w:cs="Times New Roman"/>
          <w:color w:val="FF0000"/>
          <w:sz w:val="24"/>
        </w:rPr>
        <w:t xml:space="preserve"> (</w:t>
      </w:r>
      <w:r w:rsidR="006354BA">
        <w:rPr>
          <w:rFonts w:ascii="Times New Roman" w:hAnsi="Times New Roman" w:cs="Times New Roman"/>
          <w:color w:val="FF0000"/>
          <w:sz w:val="24"/>
        </w:rPr>
        <w:t>nove</w:t>
      </w:r>
      <w:r w:rsidR="007B32B2">
        <w:rPr>
          <w:rFonts w:ascii="Times New Roman" w:hAnsi="Times New Roman" w:cs="Times New Roman"/>
          <w:color w:val="FF0000"/>
          <w:sz w:val="24"/>
        </w:rPr>
        <w:t xml:space="preserve"> </w:t>
      </w:r>
      <w:r w:rsidR="006354BA">
        <w:rPr>
          <w:rFonts w:ascii="Times New Roman" w:hAnsi="Times New Roman" w:cs="Times New Roman"/>
          <w:color w:val="FF0000"/>
          <w:sz w:val="24"/>
        </w:rPr>
        <w:t xml:space="preserve">horas) </w:t>
      </w:r>
      <w:r w:rsidR="006354BA" w:rsidRPr="006404D5">
        <w:rPr>
          <w:rFonts w:ascii="Times New Roman" w:hAnsi="Times New Roman" w:cs="Times New Roman"/>
          <w:color w:val="FF0000"/>
          <w:sz w:val="24"/>
        </w:rPr>
        <w:t>(</w:t>
      </w:r>
      <w:r w:rsidRPr="006404D5">
        <w:rPr>
          <w:rFonts w:ascii="Times New Roman" w:hAnsi="Times New Roman" w:cs="Times New Roman"/>
          <w:sz w:val="24"/>
        </w:rPr>
        <w:t>horário de Brasília)</w:t>
      </w:r>
    </w:p>
    <w:p w14:paraId="3892579B"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sz w:val="24"/>
        </w:rPr>
        <w:t xml:space="preserve">Critério de Julgamento: </w:t>
      </w:r>
      <w:r w:rsidR="009C5F72">
        <w:rPr>
          <w:rFonts w:ascii="Times New Roman" w:hAnsi="Times New Roman" w:cs="Times New Roman"/>
          <w:bCs/>
          <w:color w:val="FF0000"/>
          <w:sz w:val="24"/>
        </w:rPr>
        <w:t>menor preço</w:t>
      </w:r>
    </w:p>
    <w:p w14:paraId="6137AD7F" w14:textId="77777777" w:rsidR="008E1037" w:rsidRPr="006404D5" w:rsidRDefault="008E1037" w:rsidP="008E1037">
      <w:pPr>
        <w:spacing w:before="120" w:after="120"/>
        <w:rPr>
          <w:rFonts w:ascii="Times New Roman" w:hAnsi="Times New Roman" w:cs="Times New Roman"/>
          <w:color w:val="FF0000"/>
          <w:sz w:val="24"/>
        </w:rPr>
      </w:pPr>
      <w:r w:rsidRPr="006404D5">
        <w:rPr>
          <w:rFonts w:ascii="Times New Roman" w:hAnsi="Times New Roman" w:cs="Times New Roman"/>
          <w:color w:val="000000"/>
          <w:sz w:val="24"/>
        </w:rPr>
        <w:t xml:space="preserve">Modo de disputa: </w:t>
      </w:r>
      <w:r w:rsidR="009C5F72">
        <w:rPr>
          <w:rFonts w:ascii="Times New Roman" w:hAnsi="Times New Roman" w:cs="Times New Roman"/>
          <w:color w:val="FF0000"/>
          <w:sz w:val="24"/>
        </w:rPr>
        <w:t>aberto e fechado</w:t>
      </w:r>
    </w:p>
    <w:p w14:paraId="3007D953"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Preferências ME/EPP/Equiparadas: </w:t>
      </w:r>
      <w:r w:rsidR="009C5F72">
        <w:rPr>
          <w:rFonts w:ascii="Times New Roman" w:hAnsi="Times New Roman" w:cs="Times New Roman"/>
          <w:color w:val="FF0000"/>
          <w:sz w:val="24"/>
        </w:rPr>
        <w:t>não</w:t>
      </w:r>
    </w:p>
    <w:p w14:paraId="3829061E"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Local: </w:t>
      </w:r>
      <w:r w:rsidR="009C5F72">
        <w:rPr>
          <w:rFonts w:ascii="Times New Roman" w:hAnsi="Times New Roman" w:cs="Times New Roman"/>
          <w:sz w:val="24"/>
        </w:rPr>
        <w:t>BNC - Bolsa Nacional de Compras (https://bnc.org.br/)</w:t>
      </w:r>
    </w:p>
    <w:p w14:paraId="18DC72E2" w14:textId="77777777" w:rsidR="008E1037" w:rsidRPr="006404D5"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OBJETO</w:t>
      </w:r>
    </w:p>
    <w:p w14:paraId="5C30149A" w14:textId="3A79FBC2" w:rsidR="008E1037" w:rsidRPr="006404D5" w:rsidRDefault="008E1037" w:rsidP="008E1037">
      <w:pPr>
        <w:numPr>
          <w:ilvl w:val="0"/>
          <w:numId w:val="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t xml:space="preserve">O objeto da presente licitação é a </w:t>
      </w:r>
      <w:r w:rsidR="00BD6CAE" w:rsidRPr="00BD6CAE">
        <w:rPr>
          <w:rFonts w:ascii="Times New Roman" w:hAnsi="Times New Roman" w:cs="Times New Roman"/>
          <w:bCs/>
          <w:iCs/>
          <w:sz w:val="24"/>
        </w:rPr>
        <w:t xml:space="preserve">Eventual e futura aquisição de vestuários e uniformes esportivos, conforme termo de </w:t>
      </w:r>
      <w:proofErr w:type="gramStart"/>
      <w:r w:rsidR="00BD6CAE" w:rsidRPr="00BD6CAE">
        <w:rPr>
          <w:rFonts w:ascii="Times New Roman" w:hAnsi="Times New Roman" w:cs="Times New Roman"/>
          <w:bCs/>
          <w:iCs/>
          <w:sz w:val="24"/>
        </w:rPr>
        <w:t>referência</w:t>
      </w:r>
      <w:r w:rsidR="006354BA" w:rsidRPr="006354BA">
        <w:rPr>
          <w:rFonts w:ascii="Times New Roman" w:hAnsi="Times New Roman" w:cs="Times New Roman"/>
          <w:bCs/>
          <w:iCs/>
          <w:sz w:val="24"/>
        </w:rPr>
        <w:t xml:space="preserve">, </w:t>
      </w:r>
      <w:r w:rsidRPr="00BD6CAE">
        <w:rPr>
          <w:rFonts w:ascii="Times New Roman" w:hAnsi="Times New Roman" w:cs="Times New Roman"/>
          <w:bCs/>
          <w:iCs/>
          <w:sz w:val="24"/>
        </w:rPr>
        <w:t xml:space="preserve"> </w:t>
      </w:r>
      <w:r w:rsidRPr="006404D5">
        <w:rPr>
          <w:rFonts w:ascii="Times New Roman" w:hAnsi="Times New Roman" w:cs="Times New Roman"/>
          <w:bCs/>
          <w:iCs/>
          <w:sz w:val="24"/>
        </w:rPr>
        <w:t>conforme</w:t>
      </w:r>
      <w:proofErr w:type="gramEnd"/>
      <w:r w:rsidRPr="006404D5">
        <w:rPr>
          <w:rFonts w:ascii="Times New Roman" w:hAnsi="Times New Roman" w:cs="Times New Roman"/>
          <w:bCs/>
          <w:iCs/>
          <w:sz w:val="24"/>
        </w:rPr>
        <w:t xml:space="preserve"> condições, quantidades e exigências estabelecidas neste Edital e seus anexos.</w:t>
      </w:r>
    </w:p>
    <w:p w14:paraId="3B93433E" w14:textId="77777777" w:rsidR="008E1037" w:rsidRPr="006404D5" w:rsidRDefault="008E1037" w:rsidP="008E1037">
      <w:pPr>
        <w:numPr>
          <w:ilvl w:val="0"/>
          <w:numId w:val="6"/>
        </w:numPr>
        <w:tabs>
          <w:tab w:val="left" w:pos="851"/>
        </w:tabs>
        <w:spacing w:before="120" w:after="120"/>
        <w:ind w:left="0" w:firstLine="0"/>
        <w:jc w:val="both"/>
        <w:rPr>
          <w:rFonts w:ascii="Times New Roman" w:hAnsi="Times New Roman" w:cs="Times New Roman"/>
          <w:color w:val="FF0000"/>
          <w:sz w:val="24"/>
        </w:rPr>
      </w:pPr>
      <w:r w:rsidRPr="006404D5">
        <w:rPr>
          <w:rFonts w:ascii="Times New Roman" w:hAnsi="Times New Roman" w:cs="Times New Roman"/>
          <w:bCs/>
          <w:iCs/>
          <w:color w:val="FF0000"/>
          <w:sz w:val="24"/>
        </w:rPr>
        <w:t>A licitação será realizada em grupo único, conforme tabela constante no Termo de Referência, devendo o licitante oferecer proposta para todos os itens que o compõem.</w:t>
      </w:r>
    </w:p>
    <w:p w14:paraId="1B877F90" w14:textId="77777777" w:rsidR="008E1037" w:rsidRPr="002D52B0"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b/>
          <w:sz w:val="24"/>
        </w:rPr>
        <w:t>DO REGISTRO DE PREÇOS</w:t>
      </w:r>
    </w:p>
    <w:p w14:paraId="38356937" w14:textId="77777777" w:rsidR="008E1037" w:rsidRPr="002D52B0" w:rsidRDefault="008E1037" w:rsidP="008E1037">
      <w:pPr>
        <w:numPr>
          <w:ilvl w:val="1"/>
          <w:numId w:val="14"/>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sz w:val="24"/>
        </w:rPr>
        <w:t>As regras referentes aos órgãos gerenciador e participantes, bem como a eventuais adesões são as que constam da minuta de Ata de Registro de Preços.</w:t>
      </w:r>
    </w:p>
    <w:p w14:paraId="74123BC5"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PARTICIPAÇÃO NA LICITAÇÃO</w:t>
      </w:r>
    </w:p>
    <w:p w14:paraId="7A8BD7C5" w14:textId="77777777"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14:paraId="61E18D49" w14:textId="77777777"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14:paraId="24F618F1"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Poderão participar deste Pregão os interessados que estiverem previamente credenciados no Sistema de Cadastramento Unificado de Fornecedores - SICAF e no </w:t>
      </w:r>
      <w:r w:rsidR="009C5F72">
        <w:rPr>
          <w:rFonts w:ascii="Times New Roman" w:hAnsi="Times New Roman" w:cs="Times New Roman"/>
          <w:sz w:val="24"/>
        </w:rPr>
        <w:t>BNC - Bolsa Nacional de Compras(https://bnc.org.br/)</w:t>
      </w:r>
      <w:r w:rsidRPr="006404D5">
        <w:rPr>
          <w:rFonts w:ascii="Times New Roman" w:hAnsi="Times New Roman" w:cs="Times New Roman"/>
          <w:sz w:val="24"/>
        </w:rPr>
        <w:t>.</w:t>
      </w:r>
    </w:p>
    <w:p w14:paraId="10278CDA"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Os interessados deverão atender às condições exigidas no cadastramento no SICAF até o terceiro dia útil anterior à data prevista para recebimento das propostas.</w:t>
      </w:r>
    </w:p>
    <w:p w14:paraId="58533C9E"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w:t>
      </w:r>
      <w:r w:rsidRPr="006404D5">
        <w:rPr>
          <w:rFonts w:ascii="Times New Roman" w:hAnsi="Times New Roman" w:cs="Times New Roman"/>
          <w:sz w:val="24"/>
        </w:rPr>
        <w:lastRenderedPageBreak/>
        <w:t>por eventuais danos decorrentes de uso indevido das credenciais de acesso, ainda que por terceiros.</w:t>
      </w:r>
    </w:p>
    <w:p w14:paraId="0C4966CC"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F95B13"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não observância do disposto no item anterior poderá ensejar desclassificação no momento da habilitação.</w:t>
      </w:r>
    </w:p>
    <w:p w14:paraId="5727E63B" w14:textId="77777777" w:rsidR="008E1037" w:rsidRPr="002D52B0" w:rsidRDefault="008E1037" w:rsidP="008E1037">
      <w:pPr>
        <w:numPr>
          <w:ilvl w:val="1"/>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Para os itens (...), (...), (...), a participação é exclusiva a microempresas e empresas de pequeno porte, nos termos do art. 48 da Lei Complementar nº 123, de 14 de dezembro de 2006.</w:t>
      </w:r>
      <w:bookmarkStart w:id="0" w:name="_Ref117015508"/>
    </w:p>
    <w:p w14:paraId="30B848DD" w14:textId="77777777"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28D0218D"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Será concedido tratamento favorecido para as microempresas e empresas de pequeno porte, </w:t>
      </w:r>
      <w:r w:rsidRPr="006404D5">
        <w:rPr>
          <w:rFonts w:ascii="Times New Roman" w:hAnsi="Times New Roman" w:cs="Times New Roman"/>
          <w:color w:val="FF0000"/>
          <w:sz w:val="24"/>
        </w:rPr>
        <w:t>para as sociedades cooperativas mencionadas no art. 16 da Lei nº 14.133, de 2021</w:t>
      </w:r>
      <w:r w:rsidRPr="006404D5">
        <w:rPr>
          <w:rFonts w:ascii="Times New Roman" w:hAnsi="Times New Roman" w:cs="Times New Roman"/>
          <w:sz w:val="24"/>
        </w:rPr>
        <w:t>, e para o microempreendedor individual - MEI, nos limites previstos da Lei Complementar nº 123, de 2006.</w:t>
      </w:r>
      <w:bookmarkStart w:id="1" w:name="_Ref117000692"/>
    </w:p>
    <w:p w14:paraId="53A3DAD7"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poderão disputar esta licitação:</w:t>
      </w:r>
      <w:bookmarkStart w:id="2" w:name="_Ref113883338"/>
      <w:bookmarkEnd w:id="1"/>
    </w:p>
    <w:p w14:paraId="500F41EC"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não atenda às condições deste Edital e seu(s) anexo(s);</w:t>
      </w:r>
      <w:bookmarkStart w:id="3" w:name="_Ref114659912"/>
    </w:p>
    <w:p w14:paraId="7460D013"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411B64D6"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6404D5">
        <w:rPr>
          <w:rFonts w:ascii="Times New Roman" w:hAnsi="Times New Roman" w:cs="Times New Roman"/>
          <w:sz w:val="24"/>
        </w:rPr>
        <w:t xml:space="preserve"> </w:t>
      </w:r>
      <w:bookmarkStart w:id="6" w:name="_Ref113883003"/>
      <w:bookmarkEnd w:id="5"/>
    </w:p>
    <w:p w14:paraId="52F82A00"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pessoa física ou jurídica que se encontre, ao tempo da licitação, impossibilitada de participar da licitação em decorrência de sanção que lhe foi imposta;</w:t>
      </w:r>
      <w:bookmarkEnd w:id="6"/>
    </w:p>
    <w:p w14:paraId="15702E0D"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0BA3595B"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empresas controladoras, controladas ou coligadas, nos termos da Lei nº 6.404, de 15 de dezembro de 1976, concorrendo entre si;</w:t>
      </w:r>
      <w:bookmarkEnd w:id="7"/>
    </w:p>
    <w:p w14:paraId="14A7A71E"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pessoa física ou jurídica que, nos 5 (cinco) anos anteriores à divulgação do edital, tenha sido condenada judicialmente, com trânsito em julgado, por exploração de </w:t>
      </w:r>
      <w:r w:rsidRPr="006404D5">
        <w:rPr>
          <w:rFonts w:ascii="Times New Roman" w:hAnsi="Times New Roman" w:cs="Times New Roman"/>
          <w:sz w:val="24"/>
        </w:rPr>
        <w:lastRenderedPageBreak/>
        <w:t>trabalho infantil, por submissão de trabalhadores a condições análogas às de escravo ou por contratação de adolescentes nos casos vedados pela legislação trabalhista;</w:t>
      </w:r>
      <w:bookmarkStart w:id="8" w:name="_Ref113962336"/>
    </w:p>
    <w:p w14:paraId="7EC2E011"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agente público do órgão ou entidade licitante;</w:t>
      </w:r>
      <w:bookmarkEnd w:id="8"/>
    </w:p>
    <w:p w14:paraId="151AF8E5" w14:textId="77777777"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2D52B0">
        <w:rPr>
          <w:rFonts w:ascii="Times New Roman" w:hAnsi="Times New Roman" w:cs="Times New Roman"/>
          <w:sz w:val="24"/>
        </w:rPr>
        <w:t>pessoas jurídicas reunidas em consórcio;</w:t>
      </w:r>
    </w:p>
    <w:p w14:paraId="46CB2176"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CF9583"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14:paraId="2BA7C724"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bookmarkStart w:id="10" w:name="art14§3"/>
      <w:bookmarkEnd w:id="10"/>
    </w:p>
    <w:p w14:paraId="5E8F6FFE"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Equiparam-se aos autores do projeto as empresas integrantes do mesmo grupo econômico.</w:t>
      </w:r>
      <w:bookmarkStart w:id="11" w:name="art14§4"/>
      <w:bookmarkEnd w:id="11"/>
    </w:p>
    <w:p w14:paraId="3FC83ACA"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7F843736"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E471F09" w14:textId="69C148F5"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A vedação de que trata o item </w:t>
      </w:r>
      <w:r w:rsidR="009C5F72">
        <w:fldChar w:fldCharType="begin"/>
      </w:r>
      <w:r w:rsidR="009C5F72">
        <w:instrText xml:space="preserve"> REF _Ref113962336 \r \h  \* MERGEFORMAT </w:instrText>
      </w:r>
      <w:r w:rsidR="009C5F72">
        <w:fldChar w:fldCharType="separate"/>
      </w:r>
      <w:r w:rsidR="006354BA" w:rsidRPr="006354BA">
        <w:rPr>
          <w:rFonts w:ascii="Times New Roman" w:hAnsi="Times New Roman" w:cs="Times New Roman"/>
          <w:sz w:val="24"/>
        </w:rPr>
        <w:t>3.7.7</w:t>
      </w:r>
      <w:r w:rsidR="009C5F72">
        <w:fldChar w:fldCharType="end"/>
      </w:r>
      <w:r w:rsidRPr="006404D5">
        <w:rPr>
          <w:rFonts w:ascii="Times New Roman" w:hAnsi="Times New Roman" w:cs="Times New Roman"/>
          <w:sz w:val="24"/>
        </w:rPr>
        <w:t xml:space="preserve"> estende-se a terceiro que auxilie a condução da contratação na qualidade de integrante de equipe de apoio, profissional especializado ou funcionário ou representante de empresa que preste assessoria técnica.</w:t>
      </w:r>
    </w:p>
    <w:p w14:paraId="597E5F08"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APRESENTAÇÃO DA PROPOSTA E DOS DOCUMENTOS DE HABILITAÇÃO</w:t>
      </w:r>
    </w:p>
    <w:p w14:paraId="601089AD" w14:textId="77777777"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14:paraId="757E8E88" w14:textId="77777777"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14:paraId="132EEBB3" w14:textId="77777777" w:rsidR="008E1037" w:rsidRPr="006404D5" w:rsidRDefault="008E1037" w:rsidP="008E1037">
      <w:pPr>
        <w:numPr>
          <w:ilvl w:val="1"/>
          <w:numId w:val="8"/>
        </w:numPr>
        <w:tabs>
          <w:tab w:val="left" w:pos="851"/>
        </w:tabs>
        <w:spacing w:before="120" w:after="120"/>
        <w:ind w:left="0" w:firstLine="0"/>
        <w:jc w:val="both"/>
        <w:rPr>
          <w:rFonts w:ascii="Times New Roman" w:hAnsi="Times New Roman" w:cs="Times New Roman"/>
          <w:bCs/>
          <w:color w:val="FF0000"/>
          <w:sz w:val="24"/>
        </w:rPr>
      </w:pPr>
      <w:r w:rsidRPr="006404D5">
        <w:rPr>
          <w:rFonts w:ascii="Times New Roman" w:hAnsi="Times New Roman" w:cs="Times New Roman"/>
          <w:bCs/>
          <w:color w:val="FF0000"/>
          <w:sz w:val="24"/>
        </w:rPr>
        <w:t>Na presente licitação, a fase de habilitação sucederá as fases de apresentação de propostas e lances e de julgamento.</w:t>
      </w:r>
    </w:p>
    <w:p w14:paraId="0A14E1E9"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E2B5DBE"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fase de habilitação anteceda as fases de apresentação de propostas e lances, os licitantes encaminharão, n</w:t>
      </w:r>
      <w:r w:rsidR="00826001" w:rsidRPr="006404D5">
        <w:rPr>
          <w:rFonts w:ascii="Times New Roman" w:hAnsi="Times New Roman" w:cs="Times New Roman"/>
          <w:bCs/>
          <w:sz w:val="24"/>
        </w:rPr>
        <w:t>a forma e no prazo estabelecido</w:t>
      </w:r>
      <w:r w:rsidRPr="006404D5">
        <w:rPr>
          <w:rFonts w:ascii="Times New Roman" w:hAnsi="Times New Roman" w:cs="Times New Roman"/>
          <w:bCs/>
          <w:sz w:val="24"/>
        </w:rPr>
        <w:t xml:space="preserve"> no item anterior, </w:t>
      </w:r>
      <w:r w:rsidRPr="006404D5">
        <w:rPr>
          <w:rFonts w:ascii="Times New Roman" w:hAnsi="Times New Roman" w:cs="Times New Roman"/>
          <w:bCs/>
          <w:sz w:val="24"/>
        </w:rPr>
        <w:lastRenderedPageBreak/>
        <w:t>simultaneamente os documentos de habilitação e a proposta com o preço ou o percentual de desconto, observado o disposto nos itens</w:t>
      </w:r>
      <w:r w:rsidRPr="006404D5">
        <w:rPr>
          <w:rFonts w:ascii="Times New Roman" w:hAnsi="Times New Roman" w:cs="Times New Roman"/>
          <w:bCs/>
          <w:color w:val="FF0000"/>
          <w:sz w:val="24"/>
        </w:rPr>
        <w:t xml:space="preserve"> </w:t>
      </w:r>
      <w:r w:rsidRPr="006404D5">
        <w:rPr>
          <w:rFonts w:ascii="Times New Roman" w:hAnsi="Times New Roman" w:cs="Times New Roman"/>
          <w:bCs/>
          <w:sz w:val="24"/>
        </w:rPr>
        <w:t>7.1.1 e 7.12.1 deste Edital.</w:t>
      </w:r>
    </w:p>
    <w:p w14:paraId="40B82168"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cadastramento da proposta inicial, o licitante declarará, em campo próprio do sistema, que:</w:t>
      </w:r>
    </w:p>
    <w:p w14:paraId="72E67562"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32324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emprega menor de 18 anos em trabalho noturno, perigoso ou insalubre e não emprega menor de 16 anos, salvo menor, a partir de 14 anos, na condição de aprendiz, nos termos do art. 7°, XXXIII, da Constituição;</w:t>
      </w:r>
    </w:p>
    <w:p w14:paraId="36C09DFF"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possui, em sua cadeia produtiva, empregados executando trabalho degradante ou forçado, observando o disposto nos incisos III e IV do art. 1º e no inciso III do art. 5º da Constituição Federal;</w:t>
      </w:r>
    </w:p>
    <w:p w14:paraId="167A1A4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cumpre as exigências de reserva de cargos para pessoa com deficiência e para reabilitado da Previdência Social, previstas em lei e em outras normas específicas.</w:t>
      </w:r>
    </w:p>
    <w:p w14:paraId="654FCD91"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organizado em cooperativa deverá declarar, ainda, em campo próprio do sistema eletrônico, que cumpre os requisitos estabelecidos no art. 16 da Lei nº 14.133, de 2021.</w:t>
      </w:r>
    </w:p>
    <w:p w14:paraId="418E2C76"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O fornecedor enquadrado como microempresa, empresa de pequeno porte ou sociedade cooperativa deverá declarar, ainda, em campo próprio do sistema eletrônico, que cumpre os requisitos estabelecidos no art. 3° da Lei Complementar nº 123, de 2006, estando apto a usufruir do tratamento favorecido estabelecido em seus </w:t>
      </w:r>
      <w:proofErr w:type="spellStart"/>
      <w:r w:rsidRPr="006404D5">
        <w:rPr>
          <w:rFonts w:ascii="Times New Roman" w:hAnsi="Times New Roman" w:cs="Times New Roman"/>
          <w:bCs/>
          <w:sz w:val="24"/>
        </w:rPr>
        <w:t>arts</w:t>
      </w:r>
      <w:proofErr w:type="spellEnd"/>
      <w:r w:rsidRPr="006404D5">
        <w:rPr>
          <w:rFonts w:ascii="Times New Roman" w:hAnsi="Times New Roman" w:cs="Times New Roman"/>
          <w:bCs/>
          <w:sz w:val="24"/>
        </w:rPr>
        <w:t>. 42 a 49, observado o disposto nos §§ 1º ao 3º do art. 4º, da Lei n.º 14.133, de 2021:</w:t>
      </w:r>
    </w:p>
    <w:p w14:paraId="064C7D38"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item exclusivo para participação de microempresas e empresas de pequeno porte, a assinalação do campo “não” impedirá o prosseguimento no certame, para aquele item;</w:t>
      </w:r>
    </w:p>
    <w:p w14:paraId="3F6C725C"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E6C02E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falsidade da declaração de que trata os itens 3.4 ou 3.6 sujeitará o licitante às sanções previstas na Lei nº 14.133, de 2021, e neste Edital.</w:t>
      </w:r>
    </w:p>
    <w:p w14:paraId="50B8E6D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07D5891"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3BB99ED"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Serão disponibilizados para acesso público os documentos que compõem a proposta dos licitantes convocados para apresentação de propostas, após a fase de envio de lances.</w:t>
      </w:r>
    </w:p>
    <w:p w14:paraId="0F0CFE7B"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Desde que disponibilizada a funcionalidade no sistema, o licitante poderá parametrizar o seu valor final mínimo ou o seu percentual de desconto máximo quando do cadastramento da proposta e obedecerá às seguintes regras:</w:t>
      </w:r>
    </w:p>
    <w:p w14:paraId="008B5EF3"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aplicação do intervalo mínimo de diferença de valores ou de percentuais entre os lances, que incidirá tanto em relação aos lances intermediários quanto em relação ao lance que cobrir a melhor oferta; e</w:t>
      </w:r>
    </w:p>
    <w:p w14:paraId="7DC62E78"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lances serão de envio automático pelo sistema, respeitado o valor final mínimo estabelecido e o intervalo de que trata o subitem acima.</w:t>
      </w:r>
    </w:p>
    <w:p w14:paraId="36F1B984"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no sistema poderá ser alterado pelo fornecedor durante a fase de disputa, sendo vedado:</w:t>
      </w:r>
    </w:p>
    <w:p w14:paraId="7266CEFF"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valor superior a lance já registrado pelo fornecedor no sistema, quando adotado o critério de julgamento por menor preço; e</w:t>
      </w:r>
    </w:p>
    <w:p w14:paraId="6D2008D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 percentual de desconto inferior a lance já registrado pelo fornecedor no sistema, quando adotado o critério de julgamento por maior desconto.</w:t>
      </w:r>
    </w:p>
    <w:p w14:paraId="01010CC9"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2054304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8CD8CB4"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deverá comunicar imediatamente ao provedor do sistema qualquer acontecimento que possa comprometer o sigilo ou a segurança, para imediato bloqueio de acesso.</w:t>
      </w:r>
    </w:p>
    <w:p w14:paraId="609BCA77"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PREENCHIMENTO DA PROPOSTA</w:t>
      </w:r>
    </w:p>
    <w:p w14:paraId="53B31D22" w14:textId="77777777"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14:paraId="19717C64" w14:textId="77777777"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14:paraId="31BDD668"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licitante deverá enviar sua proposta mediante o preenchimento, no sistema eletrônico, dos seguintes campos:</w:t>
      </w:r>
    </w:p>
    <w:p w14:paraId="5AD71199"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bCs/>
          <w:color w:val="FF0000"/>
          <w:sz w:val="24"/>
        </w:rPr>
        <w:t>(...valor/desconto...) (...mensal/ unitário/outra opção conforme o caso...) e (...anual/total...) do item;</w:t>
      </w:r>
    </w:p>
    <w:p w14:paraId="07CAEECE"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Marca;</w:t>
      </w:r>
    </w:p>
    <w:p w14:paraId="0F380E9C"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color w:val="FF0000"/>
          <w:sz w:val="24"/>
        </w:rPr>
        <w:t xml:space="preserve">Fabricante; </w:t>
      </w:r>
    </w:p>
    <w:p w14:paraId="74952BDE"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sz w:val="24"/>
        </w:rPr>
        <w:t>Todas as especificações do objeto contidas na proposta vinculam o licitante.</w:t>
      </w:r>
    </w:p>
    <w:p w14:paraId="19C0E281"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17BE3646"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7734D2E0"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408AC519"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26B83550"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03E200C1" w14:textId="77777777"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1043928E" w14:textId="77777777"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0B5A0C09" w14:textId="77777777" w:rsidR="008E1037" w:rsidRPr="006404D5" w:rsidRDefault="008E1037" w:rsidP="008E1037">
      <w:pPr>
        <w:numPr>
          <w:ilvl w:val="2"/>
          <w:numId w:val="15"/>
        </w:numPr>
        <w:tabs>
          <w:tab w:val="left" w:pos="851"/>
        </w:tabs>
        <w:spacing w:before="120" w:after="120"/>
        <w:ind w:left="0" w:firstLine="0"/>
        <w:jc w:val="both"/>
        <w:rPr>
          <w:rFonts w:ascii="Times New Roman" w:hAnsi="Times New Roman" w:cs="Times New Roman"/>
          <w:color w:val="FF0000"/>
          <w:sz w:val="24"/>
          <w:highlight w:val="cyan"/>
        </w:rPr>
      </w:pPr>
      <w:r w:rsidRPr="006404D5">
        <w:rPr>
          <w:rFonts w:ascii="Times New Roman" w:hAnsi="Times New Roman" w:cs="Times New Roman"/>
          <w:color w:val="FF0000"/>
          <w:sz w:val="24"/>
          <w:highlight w:val="cyan"/>
        </w:rPr>
        <w:t xml:space="preserve"> O licitante não poderá oferecer proposta em quantitativo inferior ao máximo previsto para a contratação.</w:t>
      </w:r>
    </w:p>
    <w:p w14:paraId="188C5C76"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Nos valores propostos estarão inclusos todos os custos operacionais, encargos previdenciários, trabalhistas, tributários, comerciais e quaisquer outros que incidam direta ou indiretamente na execução do objeto.</w:t>
      </w:r>
    </w:p>
    <w:p w14:paraId="5BC3CE44"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1CCF7C6"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Se o regime tributário da empresa implicar o recolhimento de tributos em percentuais variáveis, a cotação adequada será a que corresponde à média dos efetivos recolhimentos da empresa nos últimos 12 (doze) meses. </w:t>
      </w:r>
    </w:p>
    <w:p w14:paraId="2F4A1E14"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Independentemente do percentual de tributo inserido na planilha, no pagamento serão retidos na fonte os percentuais estabelecidos na legislação vigente.</w:t>
      </w:r>
    </w:p>
    <w:p w14:paraId="4970B31E" w14:textId="77777777"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14:paraId="03946C2E" w14:textId="77777777"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14:paraId="7006D1DC"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ADEB1E"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O prazo de validade da proposta não será inferior a </w:t>
      </w:r>
      <w:r w:rsidR="003A7AE6">
        <w:rPr>
          <w:rFonts w:ascii="Times New Roman" w:hAnsi="Times New Roman" w:cs="Times New Roman"/>
          <w:bCs/>
          <w:sz w:val="24"/>
        </w:rPr>
        <w:t xml:space="preserve">60 </w:t>
      </w:r>
      <w:r w:rsidRPr="006404D5">
        <w:rPr>
          <w:rFonts w:ascii="Times New Roman" w:hAnsi="Times New Roman" w:cs="Times New Roman"/>
          <w:bCs/>
          <w:color w:val="FF0000"/>
          <w:sz w:val="24"/>
        </w:rPr>
        <w:t>(</w:t>
      </w:r>
      <w:r w:rsidR="003A7AE6">
        <w:rPr>
          <w:rFonts w:ascii="Times New Roman" w:hAnsi="Times New Roman" w:cs="Times New Roman"/>
          <w:bCs/>
          <w:color w:val="FF0000"/>
          <w:sz w:val="24"/>
        </w:rPr>
        <w:t>sessenta</w:t>
      </w:r>
      <w:r w:rsidRPr="006404D5">
        <w:rPr>
          <w:rFonts w:ascii="Times New Roman" w:hAnsi="Times New Roman" w:cs="Times New Roman"/>
          <w:bCs/>
          <w:color w:val="FF0000"/>
          <w:sz w:val="24"/>
        </w:rPr>
        <w:t>)</w:t>
      </w:r>
      <w:r w:rsidRPr="006404D5">
        <w:rPr>
          <w:rFonts w:ascii="Times New Roman" w:hAnsi="Times New Roman" w:cs="Times New Roman"/>
          <w:bCs/>
          <w:sz w:val="24"/>
        </w:rPr>
        <w:t xml:space="preserve"> dias, a contar da data de sua apresentação.</w:t>
      </w:r>
    </w:p>
    <w:p w14:paraId="3B21C407"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licitantes devem respeitar os preços máximos estabelecidos nas normas de regência de contratações públicas, quando participarem de licitações públicas.</w:t>
      </w:r>
    </w:p>
    <w:p w14:paraId="196A0A20" w14:textId="77777777" w:rsidR="008E1037" w:rsidRPr="006404D5" w:rsidRDefault="008E1037" w:rsidP="008E1037">
      <w:pPr>
        <w:numPr>
          <w:ilvl w:val="2"/>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Caso o critério de julgamento seja o de maior desconto, o preço já decorrente da aplicação do desconto ofertado deverá respeitar os preços máximos.</w:t>
      </w:r>
    </w:p>
    <w:p w14:paraId="14132F57"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97, inciso VII, da Constituição Estadual; ou condenação dos agentes públicos responsáveis e da empresa contratada ao pagamento dos prejuízos ao erário, caso verificada a ocorrência de superfaturamento por sobrepreço na execução do contrato.</w:t>
      </w:r>
    </w:p>
    <w:p w14:paraId="3F0BDB8C"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eastAsia="MS Mincho" w:hAnsi="Times New Roman" w:cs="Times New Roman"/>
          <w:sz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4F25384"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sz w:val="24"/>
        </w:rPr>
        <w:t>Em todo caso, deverá ser garantido o pagamento do salário normativo previsto no instrumento coletivo aplicável ou do salário-mínimo vigente, o que for maior.</w:t>
      </w:r>
    </w:p>
    <w:p w14:paraId="1F7AB7A3" w14:textId="77777777" w:rsidR="008E1037" w:rsidRPr="006404D5" w:rsidRDefault="008E1037" w:rsidP="008E1037">
      <w:pPr>
        <w:numPr>
          <w:ilvl w:val="0"/>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ABERTURA DA SESSÃO, CLASSIFICAÇÃO DAS PROPOSTAS E FORMULAÇÃO DE LANCES</w:t>
      </w:r>
    </w:p>
    <w:p w14:paraId="41E3A309" w14:textId="77777777"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14:paraId="54F25A4C" w14:textId="77777777"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14:paraId="707F012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A abertura da presente licitação dar-se-á automaticamente em sessão pública, por meio de sistema eletrônico, na data, horário e local indicados neste Edital.</w:t>
      </w:r>
    </w:p>
    <w:p w14:paraId="535B41E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Os licitantes poderão retirar ou substituir a proposta ou os documentos de habilitação, quando for o caso, anteriormente inseridos no sistema, até a abertura da sessão pública.</w:t>
      </w:r>
    </w:p>
    <w:p w14:paraId="6EFD1383"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 sistema disponibilizará campo próprio para troca de mensagens entre o pregoeiro e os licitantes.</w:t>
      </w:r>
    </w:p>
    <w:p w14:paraId="7DE2707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Iniciada a etapa competitiva, os licitantes deverão encaminhar lances exclusivamente por meio de sistema eletrônico, sendo imediatamente informados do seu recebimento e do valor consignado no registro.</w:t>
      </w:r>
    </w:p>
    <w:p w14:paraId="73006F9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lance deverá ser ofertado pelo valor unitário do item.</w:t>
      </w:r>
    </w:p>
    <w:p w14:paraId="72C6249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licitantes poderão oferecer lances sucessivos, observando o horário fixado para abertura da sessão e as regras estabelecidas neste Edital.</w:t>
      </w:r>
    </w:p>
    <w:p w14:paraId="3677616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licitante somente poderá oferecer lance de </w:t>
      </w:r>
      <w:r w:rsidRPr="006404D5">
        <w:rPr>
          <w:rFonts w:ascii="Times New Roman" w:hAnsi="Times New Roman" w:cs="Times New Roman"/>
          <w:bCs/>
          <w:iCs/>
          <w:color w:val="FF0000"/>
          <w:sz w:val="24"/>
        </w:rPr>
        <w:t>valor inferior</w:t>
      </w:r>
      <w:r w:rsidRPr="006404D5">
        <w:rPr>
          <w:rFonts w:ascii="Times New Roman" w:hAnsi="Times New Roman" w:cs="Times New Roman"/>
          <w:bCs/>
          <w:iCs/>
          <w:sz w:val="24"/>
        </w:rPr>
        <w:t xml:space="preserve"> ao último por ele ofertado e registrado pelo sistema. </w:t>
      </w:r>
    </w:p>
    <w:p w14:paraId="1CE028C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intervalo mínimo de diferença de valores ou percentuais entre os lances, que incidirá tanto em relação aos lances intermediários quanto em relação à proposta que cobrir a melhor oferta deverá ser de </w:t>
      </w:r>
      <w:r w:rsidR="00D02865">
        <w:rPr>
          <w:rFonts w:ascii="Times New Roman" w:hAnsi="Times New Roman" w:cs="Times New Roman"/>
          <w:bCs/>
          <w:iCs/>
          <w:color w:val="FF0000"/>
          <w:sz w:val="24"/>
        </w:rPr>
        <w:t>R$ 0,10 (dez centavos).</w:t>
      </w:r>
    </w:p>
    <w:p w14:paraId="5E88050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poderá, uma única vez, excluir seu último lance ofertado, no intervalo de 15 (quinze) segundos após o registro no sistema, na hipótese de lance inconsistente ou inexequível.</w:t>
      </w:r>
    </w:p>
    <w:p w14:paraId="23367926"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procedimento seguirá de acordo com o modo de disputa adotado.</w:t>
      </w:r>
    </w:p>
    <w:p w14:paraId="7BD26DD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“aberto”, os licitantes apresentarão lances públicos e sucessivos, com prorrogações.</w:t>
      </w:r>
    </w:p>
    <w:p w14:paraId="52CC8C1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14:paraId="0C268CF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dois minutos e ocorrerá sucessivamente sempre que houver lances enviados nesse período de prorrogação, inclusive no caso de lances intermediários.</w:t>
      </w:r>
    </w:p>
    <w:p w14:paraId="3DF9E3C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14:paraId="36A4F8A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1E4F07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reinício previsto no item supra, os licitantes serão convocados para apresentar lances intermediários.</w:t>
      </w:r>
    </w:p>
    <w:p w14:paraId="76E918F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Caso seja adotado para o envio de lances no pregão eletrônico o modo de disputa “aberto e fechado”, os licitantes apresentarão lances públicos e sucessivos, com lance final e fechado.</w:t>
      </w:r>
    </w:p>
    <w:p w14:paraId="676F5D3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3658350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Encerrado o prazo previsto no subitem anterior, o sistema abrirá oportunidade para que o autor da oferta de valor mais baixo e os das ofertas com preços até 10% (dez por cento) superiores àquela possam ofertar um lance final e fechado em até 5 (cinco) minutos, o qual será sigiloso até o encerramento deste prazo.</w:t>
      </w:r>
    </w:p>
    <w:p w14:paraId="70F7989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No procedimento de que trata o subitem supra, o licitante poderá optar por manter o seu último lance da etapa aberta, ou por ofertar melhor lance.</w:t>
      </w:r>
    </w:p>
    <w:p w14:paraId="65A608DC"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ofertas nas condições definidas neste subitem, poderão os autores dos melhores lances subsequentes, na ordem de classificação, até o máximo de 3 (três), oferecer um lance final e fechado em até cinco minutos, o qual será sigiloso até o encerramento deste prazo.</w:t>
      </w:r>
    </w:p>
    <w:p w14:paraId="2DAED3B0"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14:paraId="26FBD2C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25D17C2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propostas nas condições definidas no item 5.14, poderão os licitantes que apresentaram as 3 (três) melhores propostas, consideradas as empatadas, oferecer novos lances sucessivos.</w:t>
      </w:r>
    </w:p>
    <w:p w14:paraId="70949A90"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14:paraId="0FFA819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2 (dois) minutos e ocorrerá sucessivamente sempre que houver lances enviados nesse período de prorrogação, inclusive no caso de lances intermediários.</w:t>
      </w:r>
    </w:p>
    <w:p w14:paraId="1849903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14:paraId="592F319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8EB8B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 xml:space="preserve">Após o reinício previsto no subitem supra, os licitantes serão convocados para apresentar lances intermediários.  </w:t>
      </w:r>
    </w:p>
    <w:p w14:paraId="3850065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14:paraId="710F04C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serão aceitos 2 (dois) ou mais lances de mesmo valor, prevalecendo aquele que for recebido e registrado em primeiro lugar. </w:t>
      </w:r>
    </w:p>
    <w:p w14:paraId="68363AD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Durante o transcurso da sessão pública, os licitantes serão informados, em tempo real, do valor do menor lance registrado, vedada a identificação do licitante. </w:t>
      </w:r>
    </w:p>
    <w:p w14:paraId="037C95D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No caso de desconexão com o pregoeiro, no decorrer da etapa competitiva do Pregão, o sistema eletrônico poderá permanecer acessível aos licitantes para a recepção dos lances. </w:t>
      </w:r>
    </w:p>
    <w:p w14:paraId="5D8D080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067929B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o licitante não apresente lances, concorrerá com o valor de sua proposta.</w:t>
      </w:r>
    </w:p>
    <w:p w14:paraId="7141338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04D5">
        <w:rPr>
          <w:rFonts w:ascii="Times New Roman" w:hAnsi="Times New Roman" w:cs="Times New Roman"/>
          <w:bCs/>
          <w:iCs/>
          <w:sz w:val="24"/>
        </w:rPr>
        <w:t>arts</w:t>
      </w:r>
      <w:proofErr w:type="spellEnd"/>
      <w:r w:rsidRPr="006404D5">
        <w:rPr>
          <w:rFonts w:ascii="Times New Roman" w:hAnsi="Times New Roman" w:cs="Times New Roman"/>
          <w:bCs/>
          <w:iCs/>
          <w:sz w:val="24"/>
        </w:rPr>
        <w:t>. 44 e 45 da Lei Complementar nº 123, de 2006.</w:t>
      </w:r>
    </w:p>
    <w:p w14:paraId="6D62C62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Nessas condições, as propostas de microempresas e empresas de pequeno porte que se encontrarem na faixa de até 5% (cinco por cento) acima da melhor proposta ou melhor lance serão consideradas empatadas com a primeira colocada.</w:t>
      </w:r>
    </w:p>
    <w:p w14:paraId="015835E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018F59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892D32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BAC1EA"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Só poderá haver empate entre propostas iguais (não seguidas de lances), ou entre lances finais da fase fechada do modo de disputa aberto e fechado. </w:t>
      </w:r>
    </w:p>
    <w:p w14:paraId="6EAE083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Havendo eventual empate entre propostas ou lances, o critério de desempate será aquele previsto no art. 60 da Lei nº 14.133, de 2021, nesta ordem:</w:t>
      </w:r>
    </w:p>
    <w:p w14:paraId="257E40DC"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disputa final, hipótese em que os licitantes empatados poderão apresentar nova proposta em ato contínuo à classificação;</w:t>
      </w:r>
    </w:p>
    <w:p w14:paraId="778AFCC7"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avaliação do desempenho contratual prévio dos licitantes, para a qual deverão preferencialmente ser utilizados registros cadastrais para efeito de atesto de cumprimento de obrigações previstos nesta Lei;</w:t>
      </w:r>
    </w:p>
    <w:p w14:paraId="2A105BB9"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ações de equidade entre homens e mulheres no ambiente de trabalho, conforme regulamento;</w:t>
      </w:r>
    </w:p>
    <w:p w14:paraId="509BA4BE"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programa de integridade, conforme orientações dos órgãos de controle.</w:t>
      </w:r>
    </w:p>
    <w:p w14:paraId="7E0BF35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Persistindo o empate, será assegurada preferência, sucessivamente, aos bens e serviços produzidos ou prestados por:</w:t>
      </w:r>
    </w:p>
    <w:p w14:paraId="2B84885C"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700D36"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brasileiras;</w:t>
      </w:r>
    </w:p>
    <w:p w14:paraId="63B797A6"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invistam em pesquisa e no desenvolvimento de tecnologia no País;</w:t>
      </w:r>
    </w:p>
    <w:p w14:paraId="15419CA4"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comprovem a prática de mitigação, nos termos da Lei nº 12.187, de 29 de dezembro de 2009.</w:t>
      </w:r>
    </w:p>
    <w:p w14:paraId="1122F12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48B54F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color w:val="FF0000"/>
          <w:sz w:val="24"/>
          <w:highlight w:val="cyan"/>
        </w:rPr>
      </w:pPr>
      <w:r w:rsidRPr="006404D5">
        <w:rPr>
          <w:rFonts w:ascii="Times New Roman" w:hAnsi="Times New Roman" w:cs="Times New Roman"/>
          <w:color w:val="FF0000"/>
          <w:sz w:val="24"/>
          <w:highlight w:val="cyan"/>
        </w:rPr>
        <w:t>Não será admitida a previsão de preços diferentes em razão de local de entrega ou de acondicionamento, tamanho de lote ou qualquer outro motivo.</w:t>
      </w:r>
    </w:p>
    <w:p w14:paraId="7048619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D515C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será realizada por meio do sistema, podendo ser acompanhada pelos demais licitantes.</w:t>
      </w:r>
    </w:p>
    <w:p w14:paraId="40B256F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resultado da negociação será divulgado a todos os licitantes e anexado aos autos do processo licitatório.</w:t>
      </w:r>
    </w:p>
    <w:p w14:paraId="14BF982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pregoeiro solicitará ao licitante mais bem classificado que, no prazo de 2 (duas) horas, prorrogável por igual período, contado da solicitação do pregoeiro, envie a proposta adequada ao último lance ofertado após a negociação realizada, acompanhada, se for o caso, dos documentos complementares, quando necessários à confirmação daqueles exigidos neste Edital e já apresentados.</w:t>
      </w:r>
    </w:p>
    <w:p w14:paraId="153DCAA5"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É facultado ao pregoeiro prorrogar o prazo estabelecido, a partir de solicitação fundamentada feita no chat pelo licitante, antes de findo o prazo.</w:t>
      </w:r>
    </w:p>
    <w:p w14:paraId="7E93DCA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negociação do preço, o pregoeiro iniciará a fase de aceitação e julgamento da proposta.</w:t>
      </w:r>
    </w:p>
    <w:p w14:paraId="0985D6A8" w14:textId="77777777"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JULGAMENTO</w:t>
      </w:r>
    </w:p>
    <w:p w14:paraId="6E889D9B"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Encerrada a etapa de negociação, o pregoeiro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A13347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Sistema de Cadastramento Unificado de Fornecedores – SICAF;</w:t>
      </w:r>
    </w:p>
    <w:p w14:paraId="1DD0046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Inidôneas e Suspensas – CEIS, mantido pela Controladoria-Geral da União (https://www.portaltransparencia.gov.br/sancoes/ceis); e</w:t>
      </w:r>
    </w:p>
    <w:p w14:paraId="5045E17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Punidas – CNEP, mantido pela Controladoria-Geral da União (https://www.portaltransparencia.gov.br/sancoes/cnep).</w:t>
      </w:r>
    </w:p>
    <w:p w14:paraId="23E6C03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consulta aos cadastros será realizada em nome da empresa licitante e também de seu sócio majoritário, por força da vedação de que trata o art. 12 da Lei n° 8.429, de 1992.</w:t>
      </w:r>
    </w:p>
    <w:p w14:paraId="6667A8E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31C6CFD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tentativa de burla será verificada por meio dos vínculos societários, linhas de fornecimento similares, dentre outros. </w:t>
      </w:r>
    </w:p>
    <w:p w14:paraId="331FB6C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será convocado para manifestação previamente a uma eventual desclassificação.</w:t>
      </w:r>
    </w:p>
    <w:p w14:paraId="62B4DEEA" w14:textId="77777777" w:rsidR="008E1037" w:rsidRPr="00FF0C78" w:rsidRDefault="008E1037" w:rsidP="008E1037">
      <w:pPr>
        <w:numPr>
          <w:ilvl w:val="2"/>
          <w:numId w:val="12"/>
        </w:numPr>
        <w:tabs>
          <w:tab w:val="left" w:pos="851"/>
        </w:tabs>
        <w:spacing w:before="120" w:after="120"/>
        <w:ind w:left="0" w:firstLine="0"/>
        <w:jc w:val="both"/>
        <w:rPr>
          <w:rFonts w:ascii="Times New Roman" w:hAnsi="Times New Roman" w:cs="Times New Roman"/>
          <w:bCs/>
          <w:sz w:val="24"/>
          <w:highlight w:val="yellow"/>
        </w:rPr>
      </w:pPr>
      <w:r w:rsidRPr="00FF0C78">
        <w:rPr>
          <w:rFonts w:ascii="Times New Roman" w:hAnsi="Times New Roman" w:cs="Times New Roman"/>
          <w:bCs/>
          <w:sz w:val="24"/>
          <w:highlight w:val="yellow"/>
        </w:rPr>
        <w:t>Constatada a existência de sanção, o licitante será reputado inabilitado, por falta de condição de participação.</w:t>
      </w:r>
    </w:p>
    <w:p w14:paraId="4FD8AE4B"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Na hipótese de inversão das fases de habilitação e julgamento, caso atendidas as condições de participação, será iniciado o procedimento de habilitação.</w:t>
      </w:r>
    </w:p>
    <w:p w14:paraId="46A353AE"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licitante provisoriamente classificado em primeiro lugar tenha se utilizado de algum tratamento favorecido às ME/</w:t>
      </w:r>
      <w:proofErr w:type="spellStart"/>
      <w:r w:rsidRPr="006404D5">
        <w:rPr>
          <w:rFonts w:ascii="Times New Roman" w:hAnsi="Times New Roman" w:cs="Times New Roman"/>
          <w:bCs/>
          <w:sz w:val="24"/>
        </w:rPr>
        <w:t>EPPs</w:t>
      </w:r>
      <w:proofErr w:type="spellEnd"/>
      <w:r w:rsidRPr="006404D5">
        <w:rPr>
          <w:rFonts w:ascii="Times New Roman" w:hAnsi="Times New Roman" w:cs="Times New Roman"/>
          <w:bCs/>
          <w:sz w:val="24"/>
        </w:rPr>
        <w:t>, o pregoeiro verificará se faz jus ao benefício, em conformidade com os itens 3.5.1 e 4.7 deste edital.</w:t>
      </w:r>
    </w:p>
    <w:p w14:paraId="02CE0B4A"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593B787"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r w:rsidR="00FF0C78">
        <w:rPr>
          <w:rFonts w:ascii="Times New Roman" w:hAnsi="Times New Roman" w:cs="Times New Roman"/>
          <w:bCs/>
          <w:sz w:val="24"/>
        </w:rPr>
        <w:t>.</w:t>
      </w:r>
    </w:p>
    <w:p w14:paraId="7EF47ED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Será desclassificada a proposta vencedora que:</w:t>
      </w:r>
    </w:p>
    <w:p w14:paraId="04B4372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contiver vícios insanáveis;</w:t>
      </w:r>
    </w:p>
    <w:p w14:paraId="10B3F29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obedecer às especificações técnicas contidas no Termo de Referência;</w:t>
      </w:r>
    </w:p>
    <w:p w14:paraId="626E392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preços inexequíveis ou permanecerem acima do preço máximo definido para a contratação;</w:t>
      </w:r>
    </w:p>
    <w:p w14:paraId="3993BD7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tiverem sua exequibilidade demonstrada, quando exigido pela Administração;</w:t>
      </w:r>
    </w:p>
    <w:p w14:paraId="73D8B42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desconformidade com quaisquer outras exigências deste Edital ou seus anexos, desde que insanável.</w:t>
      </w:r>
    </w:p>
    <w:p w14:paraId="5B843D4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bens e serviços em geral, é indício de inexequibilidade das propostas valores inferiores a 50% (cinquenta por cento) do valor orçado pela Administração.</w:t>
      </w:r>
    </w:p>
    <w:p w14:paraId="7B2F58B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inexequibilidade, na hipótese de que trata o </w:t>
      </w:r>
      <w:r w:rsidRPr="006404D5">
        <w:rPr>
          <w:rFonts w:ascii="Times New Roman" w:hAnsi="Times New Roman" w:cs="Times New Roman"/>
          <w:bCs/>
          <w:i/>
          <w:iCs/>
          <w:sz w:val="24"/>
        </w:rPr>
        <w:t>caput</w:t>
      </w:r>
      <w:r w:rsidRPr="006404D5">
        <w:rPr>
          <w:rFonts w:ascii="Times New Roman" w:hAnsi="Times New Roman" w:cs="Times New Roman"/>
          <w:bCs/>
          <w:sz w:val="24"/>
        </w:rPr>
        <w:t>, só será considerada após diligência do pregoeiro, que comprove:</w:t>
      </w:r>
    </w:p>
    <w:p w14:paraId="626AED05"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que o custo do licitante ultrapassa o valor da proposta; e</w:t>
      </w:r>
    </w:p>
    <w:p w14:paraId="3B13CDEE"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inexistirem custos de oportunidade capazes de justificar o vulto da oferta.</w:t>
      </w:r>
    </w:p>
    <w:p w14:paraId="01CFF9A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contratação de serviços de engenharia, além das disposições acima, a análise de exequibilidade e sobrepreço considerará o seguinte:</w:t>
      </w:r>
    </w:p>
    <w:p w14:paraId="22A86AFC"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regimes de execução por tarefa, empreitada por preço global ou empreitada integral, semi-integrada ou integrada, a caracterização do sobrepreço se dará pela superação do valor global estimado;</w:t>
      </w:r>
    </w:p>
    <w:p w14:paraId="321D02B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No regime de empreitada por preço unitário, a caracterização do sobrepreço se dará pela superação do valor global estimado e </w:t>
      </w:r>
      <w:r w:rsidRPr="006404D5">
        <w:rPr>
          <w:rFonts w:ascii="Times New Roman" w:hAnsi="Times New Roman" w:cs="Times New Roman"/>
          <w:bCs/>
          <w:color w:val="FF0000"/>
          <w:sz w:val="24"/>
        </w:rPr>
        <w:t>pela superação de custo unitário tido como relevante, conforme planilha anexa ao edital</w:t>
      </w:r>
      <w:r w:rsidRPr="006404D5">
        <w:rPr>
          <w:rFonts w:ascii="Times New Roman" w:hAnsi="Times New Roman" w:cs="Times New Roman"/>
          <w:bCs/>
          <w:sz w:val="24"/>
        </w:rPr>
        <w:t>.</w:t>
      </w:r>
    </w:p>
    <w:p w14:paraId="1DFD132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serviços de engenharia, serão consideradas inexequíveis as propostas cujos valores forem inferiores a 75% (setenta e cinco por cento) do valor orçado pela Administração, independentemente do regime de execução.</w:t>
      </w:r>
    </w:p>
    <w:p w14:paraId="10D554C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3222F4E"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houver indícios de inexequibilidade da proposta de preço, ou em caso da necessidade de esclarecimentos complementares, poderão ser efetuadas diligências, para que a empresa comprove a exequibilidade da proposta.</w:t>
      </w:r>
    </w:p>
    <w:p w14:paraId="317DBB7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8CE4C6"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B314A0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CF20765"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produtividade for diferente daquela utilizada pela Administração como referência, ou não estiver contida na faixa referencial de produtividade, mas admitida pelo ato convocatório, o licitante deverá apresentar a respectiva comprovação de exeqüibilidade.</w:t>
      </w:r>
    </w:p>
    <w:p w14:paraId="7C129C8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10B19D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efeito do subitem anterior, admite-se a adequação técnica da metodologia empregada pela contratada, visando assegurar a execução do objeto, desde que mantidas as condições para a justa remuneração do serviço.</w:t>
      </w:r>
    </w:p>
    <w:p w14:paraId="51EC303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D0199D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ajuste de que trata este dispositivo se limita a sanar erros ou falhas que não alterem a substância das propostas.</w:t>
      </w:r>
    </w:p>
    <w:p w14:paraId="7177EFB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Considera-se erro no preenchimento da planilha passível de correção a indicação de recolhimento de impostos e contribuições na forma do Simples Nacional, quando não cabível esse regime.</w:t>
      </w:r>
    </w:p>
    <w:p w14:paraId="2133862A"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fins de análise da proposta quanto ao cumprimento das especificações do objeto, poderá ser colhida a manifestação escrita do setor requisitante do serviço ou da área especializada no objeto.</w:t>
      </w:r>
    </w:p>
    <w:p w14:paraId="50AEAE8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Termo de Referência exija a apresentação de amostra, o licitante classificado em primeiro lugar deverá apresentá-la, conforme disciplinado no Termo de Referência, sob pena de não aceitação da proposta.</w:t>
      </w:r>
    </w:p>
    <w:p w14:paraId="586A76D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Por meio de mensagem no sistema, será divulgado o local e horário de realização do procedimento para a avaliação das amostras, cuja presença será facultada a todos os interessados, incluindo os demais licitantes.</w:t>
      </w:r>
    </w:p>
    <w:p w14:paraId="075EE5D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Os resultados das avaliações serão divulgados por meio de mensagem no sistema.</w:t>
      </w:r>
    </w:p>
    <w:p w14:paraId="5EA50023"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não haver entrega da amostra ou ocorrer atraso na entrega, sem justificativa aceita pelo pregoeiro, ou havendo entrega de amostra fora das especificações previstas neste Edital, a proposta do licitante será recusada.</w:t>
      </w:r>
    </w:p>
    <w:p w14:paraId="7B03290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34A34CE" w14:textId="77777777"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HABILITAÇÃO</w:t>
      </w:r>
    </w:p>
    <w:p w14:paraId="10D8AA7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6404D5">
        <w:rPr>
          <w:rFonts w:ascii="Times New Roman" w:hAnsi="Times New Roman" w:cs="Times New Roman"/>
          <w:bCs/>
          <w:iCs/>
          <w:sz w:val="24"/>
        </w:rPr>
        <w:t>arts</w:t>
      </w:r>
      <w:proofErr w:type="spellEnd"/>
      <w:r w:rsidRPr="006404D5">
        <w:rPr>
          <w:rFonts w:ascii="Times New Roman" w:hAnsi="Times New Roman" w:cs="Times New Roman"/>
          <w:bCs/>
          <w:iCs/>
          <w:sz w:val="24"/>
        </w:rPr>
        <w:t>. 62 a 70 da Lei nº 14.133, de 2021.</w:t>
      </w:r>
    </w:p>
    <w:p w14:paraId="631052B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documentação exigida para fins de habilitação jurídica, fiscal, social e trabalhista e econômico-</w:t>
      </w:r>
      <w:proofErr w:type="spellStart"/>
      <w:r w:rsidRPr="006404D5">
        <w:rPr>
          <w:rFonts w:ascii="Times New Roman" w:hAnsi="Times New Roman" w:cs="Times New Roman"/>
          <w:bCs/>
          <w:iCs/>
          <w:sz w:val="24"/>
        </w:rPr>
        <w:t>ﬁnanceira</w:t>
      </w:r>
      <w:proofErr w:type="spellEnd"/>
      <w:r w:rsidRPr="006404D5">
        <w:rPr>
          <w:rFonts w:ascii="Times New Roman" w:hAnsi="Times New Roman" w:cs="Times New Roman"/>
          <w:bCs/>
          <w:iCs/>
          <w:sz w:val="24"/>
        </w:rPr>
        <w:t>, poderá ser substituída pelo registro cadastral no SICAF.</w:t>
      </w:r>
    </w:p>
    <w:p w14:paraId="0442659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empresas estrangeiras que não funcionem no País, as exigências de habilitação serão atendidas mediante documentos equivalentes, inicialmente apresentados em tradução livre.</w:t>
      </w:r>
    </w:p>
    <w:p w14:paraId="0240184B"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Na hipótese de o licitante vencedor ser empresa estrangeira que não funcione no País, para </w:t>
      </w:r>
      <w:proofErr w:type="spellStart"/>
      <w:r w:rsidRPr="006404D5">
        <w:rPr>
          <w:rFonts w:ascii="Times New Roman" w:hAnsi="Times New Roman" w:cs="Times New Roman"/>
          <w:bCs/>
          <w:iCs/>
          <w:sz w:val="24"/>
        </w:rPr>
        <w:t>ﬁns</w:t>
      </w:r>
      <w:proofErr w:type="spellEnd"/>
      <w:r w:rsidRPr="006404D5">
        <w:rPr>
          <w:rFonts w:ascii="Times New Roman" w:hAnsi="Times New Roman" w:cs="Times New Roman"/>
          <w:bCs/>
          <w:iCs/>
          <w:sz w:val="24"/>
        </w:rPr>
        <w:t xml:space="preserve">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6404D5">
        <w:rPr>
          <w:rFonts w:ascii="Times New Roman" w:hAnsi="Times New Roman" w:cs="Times New Roman"/>
          <w:bCs/>
          <w:iCs/>
          <w:sz w:val="24"/>
        </w:rPr>
        <w:t>consularizados</w:t>
      </w:r>
      <w:proofErr w:type="spellEnd"/>
      <w:r w:rsidRPr="006404D5">
        <w:rPr>
          <w:rFonts w:ascii="Times New Roman" w:hAnsi="Times New Roman" w:cs="Times New Roman"/>
          <w:bCs/>
          <w:iCs/>
          <w:sz w:val="24"/>
        </w:rPr>
        <w:t xml:space="preserve"> pelos respectivos consulados ou embaixadas.</w:t>
      </w:r>
    </w:p>
    <w:p w14:paraId="6FF09ED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D0A23F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Se o consórcio não for formado integralmente por microempresas ou empresas de pequeno porte e o termo de referência exigir requisitos de habilitação econômico-financeira, haverá um acréscimo de </w:t>
      </w:r>
      <w:r w:rsidRPr="006404D5">
        <w:rPr>
          <w:rFonts w:ascii="Times New Roman" w:hAnsi="Times New Roman" w:cs="Times New Roman"/>
          <w:bCs/>
          <w:iCs/>
          <w:color w:val="FF0000"/>
          <w:sz w:val="24"/>
        </w:rPr>
        <w:t xml:space="preserve">10% </w:t>
      </w:r>
      <w:r w:rsidR="00FF0C78">
        <w:rPr>
          <w:rFonts w:ascii="Times New Roman" w:hAnsi="Times New Roman" w:cs="Times New Roman"/>
          <w:bCs/>
          <w:iCs/>
          <w:color w:val="FF0000"/>
          <w:sz w:val="24"/>
        </w:rPr>
        <w:t xml:space="preserve"> (dez por cento)</w:t>
      </w:r>
      <w:r w:rsidRPr="006404D5">
        <w:rPr>
          <w:rFonts w:ascii="Times New Roman" w:hAnsi="Times New Roman" w:cs="Times New Roman"/>
          <w:bCs/>
          <w:iCs/>
          <w:color w:val="FF0000"/>
          <w:sz w:val="24"/>
        </w:rPr>
        <w:t>, salvo se houver justificativa nos autos para suprimir esse acréscimo</w:t>
      </w:r>
      <w:r w:rsidR="00FF0C78">
        <w:rPr>
          <w:rFonts w:ascii="Times New Roman" w:hAnsi="Times New Roman" w:cs="Times New Roman"/>
          <w:bCs/>
          <w:iCs/>
          <w:color w:val="FF0000"/>
          <w:sz w:val="24"/>
        </w:rPr>
        <w:t>,</w:t>
      </w:r>
      <w:r w:rsidRPr="006404D5">
        <w:rPr>
          <w:rFonts w:ascii="Times New Roman" w:hAnsi="Times New Roman" w:cs="Times New Roman"/>
          <w:bCs/>
          <w:iCs/>
          <w:sz w:val="24"/>
        </w:rPr>
        <w:t xml:space="preserve"> para o consórcio em relação ao valor exigido para os licitantes individuais.</w:t>
      </w:r>
    </w:p>
    <w:p w14:paraId="091218A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exigidos para fins de habilitação poderão ser apresentados em original</w:t>
      </w:r>
      <w:r w:rsidR="00FF0C78">
        <w:rPr>
          <w:rFonts w:ascii="Times New Roman" w:hAnsi="Times New Roman" w:cs="Times New Roman"/>
          <w:bCs/>
          <w:iCs/>
          <w:sz w:val="24"/>
        </w:rPr>
        <w:t xml:space="preserve"> ou</w:t>
      </w:r>
      <w:r w:rsidRPr="006404D5">
        <w:rPr>
          <w:rFonts w:ascii="Times New Roman" w:hAnsi="Times New Roman" w:cs="Times New Roman"/>
          <w:bCs/>
          <w:iCs/>
          <w:sz w:val="24"/>
        </w:rPr>
        <w:t xml:space="preserve"> por cópia</w:t>
      </w:r>
      <w:r w:rsidR="00FF0C78">
        <w:rPr>
          <w:rFonts w:ascii="Times New Roman" w:hAnsi="Times New Roman" w:cs="Times New Roman"/>
          <w:bCs/>
          <w:iCs/>
          <w:sz w:val="24"/>
        </w:rPr>
        <w:t>.</w:t>
      </w:r>
    </w:p>
    <w:p w14:paraId="16480CB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exigidos para fins de habilitação poderão ser substituídos por registro cadastral emitido por órgão ou entidade pública, desde que o registro tenha sido feito em obediência ao disposto na Lei nº 14.133, de 2021.</w:t>
      </w:r>
    </w:p>
    <w:p w14:paraId="651BB63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lastRenderedPageBreak/>
        <w:t>Será verificado se o licitante apresentou declaração de que atende aos requisitos de habilitação, e o declarante responderá pela veracidade das informações prestadas, na forma da lei.</w:t>
      </w:r>
      <w:r w:rsidRPr="006404D5">
        <w:rPr>
          <w:rFonts w:ascii="Times New Roman" w:hAnsi="Times New Roman" w:cs="Times New Roman"/>
          <w:sz w:val="24"/>
        </w:rPr>
        <w:t xml:space="preserve"> </w:t>
      </w:r>
    </w:p>
    <w:p w14:paraId="732A6CF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DA32BC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D3486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habilitação será verificada por meio do SICAF, nos documentos por ele abrangidos.</w:t>
      </w:r>
    </w:p>
    <w:p w14:paraId="3F8EADA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FA9C08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E4AFBF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não observância do disposto no item anterior poderá ensejar desclassificação no momento da habilitação. </w:t>
      </w:r>
    </w:p>
    <w:p w14:paraId="6DB10A2B"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pelo pregoeiro, em sítios eletrônicos oficiais de órgãos e entidades emissores de certidões constitui meio legal de prova, para fins de habilitação.</w:t>
      </w:r>
    </w:p>
    <w:p w14:paraId="3BE012D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documentos exigidos para habilitação que não estejam contemplados no SICAF serão enviados por meio do sistema, em formato digital, no prazo de </w:t>
      </w:r>
      <w:r w:rsidRPr="006404D5">
        <w:rPr>
          <w:rFonts w:ascii="Times New Roman" w:hAnsi="Times New Roman" w:cs="Times New Roman"/>
          <w:bCs/>
          <w:iCs/>
          <w:color w:val="FF0000"/>
          <w:sz w:val="24"/>
        </w:rPr>
        <w:t>(2 horas)</w:t>
      </w:r>
      <w:r w:rsidRPr="006404D5">
        <w:rPr>
          <w:rFonts w:ascii="Times New Roman" w:hAnsi="Times New Roman" w:cs="Times New Roman"/>
          <w:bCs/>
          <w:iCs/>
          <w:sz w:val="24"/>
        </w:rPr>
        <w:t>, prorrogável por igual período, contado da solicitação do pregoeiro.</w:t>
      </w:r>
    </w:p>
    <w:p w14:paraId="1E3FF92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74643B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no SICAF ou a exigência dos documentos nele não contidos somente será feita em relação ao licitante vencedor.</w:t>
      </w:r>
    </w:p>
    <w:p w14:paraId="7DA037D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relativos à regularidade fiscal que constem do Termo de Referência somente serão exigidos, em qualquer caso, em momento posterior ao julgamento das propostas, e apenas do licitante mais bem classificado.</w:t>
      </w:r>
    </w:p>
    <w:p w14:paraId="068C139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D78C4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entrega dos documentos para habilitação, não será permitida a substituição ou a apresentação de novos documentos, salvo em sede de diligência, para:</w:t>
      </w:r>
    </w:p>
    <w:p w14:paraId="562E2BA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complementação de informações acerca dos documentos já apresentados pelos licitantes e desde que necessária para apurar fatos existentes à época da abertura do certame; e</w:t>
      </w:r>
    </w:p>
    <w:p w14:paraId="444DA306" w14:textId="77777777" w:rsidR="008E1037" w:rsidRPr="006404D5" w:rsidRDefault="008E1037" w:rsidP="005A2EB3">
      <w:pPr>
        <w:pStyle w:val="SombreamentoMdio1-nfase31"/>
        <w:pBdr>
          <w:top w:val="single" w:sz="4" w:space="1" w:color="auto"/>
          <w:left w:val="single" w:sz="4" w:space="4" w:color="auto"/>
          <w:bottom w:val="single" w:sz="4" w:space="1" w:color="auto"/>
          <w:right w:val="single" w:sz="4" w:space="4" w:color="auto"/>
        </w:pBdr>
        <w:shd w:val="clear" w:color="auto" w:fill="D9D9D9"/>
        <w:spacing w:after="120"/>
        <w:ind w:right="142"/>
        <w:rPr>
          <w:rFonts w:ascii="Times New Roman" w:hAnsi="Times New Roman" w:cs="Times New Roman"/>
          <w:i w:val="0"/>
          <w:sz w:val="24"/>
        </w:rPr>
      </w:pPr>
      <w:r w:rsidRPr="006404D5">
        <w:rPr>
          <w:rFonts w:ascii="Times New Roman" w:hAnsi="Times New Roman" w:cs="Times New Roman"/>
          <w:b/>
          <w:i w:val="0"/>
          <w:sz w:val="24"/>
        </w:rPr>
        <w:t>Nota Explicativa</w:t>
      </w:r>
      <w:r w:rsidRPr="006404D5">
        <w:rPr>
          <w:rFonts w:ascii="Times New Roman" w:hAnsi="Times New Roman" w:cs="Times New Roman"/>
          <w:i w:val="0"/>
          <w:sz w:val="24"/>
        </w:rPr>
        <w:t xml:space="preserve">: </w:t>
      </w:r>
    </w:p>
    <w:p w14:paraId="7173F298" w14:textId="77777777" w:rsidR="008E1037" w:rsidRPr="006404D5" w:rsidRDefault="008E1037" w:rsidP="005A2EB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ind w:right="142"/>
        <w:jc w:val="both"/>
        <w:rPr>
          <w:rFonts w:ascii="Times New Roman" w:hAnsi="Times New Roman" w:cs="Times New Roman"/>
          <w:sz w:val="24"/>
        </w:rPr>
      </w:pPr>
      <w:r w:rsidRPr="006404D5">
        <w:rPr>
          <w:rFonts w:ascii="Times New Roman" w:hAnsi="Times New Roman" w:cs="Times New Roman"/>
          <w:sz w:val="24"/>
        </w:rPr>
        <w:t>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w:t>
      </w:r>
    </w:p>
    <w:p w14:paraId="082EB41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atualização de documentos cuja validade tenha expirado após a data de recebimento das propostas.</w:t>
      </w:r>
    </w:p>
    <w:p w14:paraId="02C0C954"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Na análise dos documentos de habilitação, o pregoeiro poderá sanar erros ou falhas, que não alterem a substância dos documentos e sua validade jurídica, mediante </w:t>
      </w:r>
      <w:r w:rsidRPr="00BA1D15">
        <w:rPr>
          <w:rFonts w:ascii="Times New Roman" w:hAnsi="Times New Roman" w:cs="Times New Roman"/>
          <w:bCs/>
          <w:iCs/>
          <w:sz w:val="24"/>
        </w:rPr>
        <w:t xml:space="preserve">despacho fundamentado registrado e acessível a todos, atribuindo-lhes </w:t>
      </w:r>
      <w:proofErr w:type="spellStart"/>
      <w:r w:rsidRPr="00BA1D15">
        <w:rPr>
          <w:rFonts w:ascii="Times New Roman" w:hAnsi="Times New Roman" w:cs="Times New Roman"/>
          <w:bCs/>
          <w:iCs/>
          <w:sz w:val="24"/>
        </w:rPr>
        <w:t>eﬁcácia</w:t>
      </w:r>
      <w:proofErr w:type="spellEnd"/>
      <w:r w:rsidRPr="00BA1D15">
        <w:rPr>
          <w:rFonts w:ascii="Times New Roman" w:hAnsi="Times New Roman" w:cs="Times New Roman"/>
          <w:bCs/>
          <w:iCs/>
          <w:sz w:val="24"/>
        </w:rPr>
        <w:t xml:space="preserve"> para fins de habilitação e classificação.</w:t>
      </w:r>
    </w:p>
    <w:p w14:paraId="38F85A9B"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w:t>
      </w:r>
      <w:r w:rsidRPr="00BA1D15">
        <w:rPr>
          <w:rFonts w:ascii="Times New Roman" w:hAnsi="Times New Roman" w:cs="Times New Roman"/>
          <w:bCs/>
          <w:sz w:val="24"/>
        </w:rPr>
        <w:t>.12.1.</w:t>
      </w:r>
    </w:p>
    <w:p w14:paraId="2AB8C3E7"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Somente serão disponibilizados para acesso público os documentos de habilitação do licitante cuja proposta atenda ao edital de licitação, após concluídos os procedimentos de que trata o subitem anterior.</w:t>
      </w:r>
    </w:p>
    <w:p w14:paraId="0D404C5D"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A comprovação de regularidade fiscal e trabalhista das microempresas e das empresas de pequeno porte somente será exigida para efeito de contratação, e não como condição para participação na licitação.</w:t>
      </w:r>
    </w:p>
    <w:p w14:paraId="76BE3E49"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Quando a fase de habilitação anteceder a de julgamento e já tiver sido encerrada, não caberá exclusão de licitante por motivo relacionado à habilitação, salvo em razão de fatos supervenientes ou só conhecidos após o julgamento.</w:t>
      </w:r>
    </w:p>
    <w:p w14:paraId="7B6860B1" w14:textId="77777777" w:rsidR="008E1037" w:rsidRPr="00BA1D15" w:rsidRDefault="008E1037" w:rsidP="008E1037">
      <w:pPr>
        <w:pStyle w:val="Nivel1"/>
        <w:spacing w:before="120" w:line="240" w:lineRule="auto"/>
        <w:ind w:left="0" w:firstLine="0"/>
        <w:rPr>
          <w:rFonts w:ascii="Times New Roman" w:hAnsi="Times New Roman"/>
          <w:color w:val="auto"/>
          <w:sz w:val="24"/>
          <w:szCs w:val="24"/>
        </w:rPr>
      </w:pPr>
      <w:bookmarkStart w:id="13" w:name="_Toc135469231"/>
      <w:r w:rsidRPr="00BA1D15">
        <w:rPr>
          <w:rFonts w:ascii="Times New Roman" w:hAnsi="Times New Roman"/>
          <w:color w:val="auto"/>
          <w:sz w:val="24"/>
          <w:szCs w:val="24"/>
        </w:rPr>
        <w:t>DO TERMO DE CONTRATO OU INSTRUMENTO EQUIVALENTE</w:t>
      </w:r>
    </w:p>
    <w:p w14:paraId="6E524EF9"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66AC9D37"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07184371"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48DFEE36"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51C2753E"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2C18AD62"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49C0449E"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70154E31"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7C65A41C"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6255BF2E"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Após a homologação da licitação, em sendo realizada a contratação, será firmado Termo de Contrato ou emitido instrumento equivalente.</w:t>
      </w:r>
    </w:p>
    <w:p w14:paraId="0E942F0A"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 xml:space="preserve">O adjudicatário terá o prazo de </w:t>
      </w:r>
      <w:r w:rsidR="00BA1D15" w:rsidRPr="00BA1D15">
        <w:rPr>
          <w:rFonts w:ascii="Times New Roman" w:hAnsi="Times New Roman" w:cs="Times New Roman"/>
          <w:sz w:val="24"/>
          <w:lang w:eastAsia="en-US"/>
        </w:rPr>
        <w:t xml:space="preserve">15 </w:t>
      </w:r>
      <w:r w:rsidRPr="00BA1D15">
        <w:rPr>
          <w:rFonts w:ascii="Times New Roman" w:hAnsi="Times New Roman" w:cs="Times New Roman"/>
          <w:sz w:val="24"/>
          <w:lang w:eastAsia="en-US"/>
        </w:rPr>
        <w:t>(</w:t>
      </w:r>
      <w:r w:rsidR="00BA1D15" w:rsidRPr="00BA1D15">
        <w:rPr>
          <w:rFonts w:ascii="Times New Roman" w:hAnsi="Times New Roman" w:cs="Times New Roman"/>
          <w:sz w:val="24"/>
          <w:lang w:eastAsia="en-US"/>
        </w:rPr>
        <w:t>quinze</w:t>
      </w:r>
      <w:r w:rsidRPr="00BA1D15">
        <w:rPr>
          <w:rFonts w:ascii="Times New Roman" w:hAnsi="Times New Roman" w:cs="Times New Roman"/>
          <w:sz w:val="24"/>
          <w:lang w:eastAsia="en-US"/>
        </w:rPr>
        <w:t>) dias, contados a partir da data de sua convocação, para assinar o Termo de Contrato ou aceitar instrumento equivalente, conforme o caso (como carta-contrato, nota de empenho de despesa, autorização de compra ou ordem de execução de serviço), sob pena de decair do direito à contratação, sem prejuízo das sanções previstas em Lei.</w:t>
      </w:r>
    </w:p>
    <w:p w14:paraId="65DD589D"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 xml:space="preserve">No caso de opção do adjudicatário pela modalidade de garantia prevista no art. 96 §1º, II da Lei nº 14.133, de 2021 (seguro-garantia), o prazo estabelecido no subitem acima será de </w:t>
      </w:r>
      <w:r w:rsidR="00BA1D15" w:rsidRPr="00BA1D15">
        <w:rPr>
          <w:rFonts w:ascii="Times New Roman" w:hAnsi="Times New Roman" w:cs="Times New Roman"/>
          <w:sz w:val="24"/>
          <w:lang w:eastAsia="en-US"/>
        </w:rPr>
        <w:t>no</w:t>
      </w:r>
      <w:r w:rsidRPr="00BA1D15">
        <w:rPr>
          <w:rFonts w:ascii="Times New Roman" w:hAnsi="Times New Roman" w:cs="Times New Roman"/>
          <w:sz w:val="24"/>
          <w:lang w:eastAsia="en-US"/>
        </w:rPr>
        <w:t xml:space="preserve"> mínimo 1 mês contado da data de homologação da licitação.</w:t>
      </w:r>
    </w:p>
    <w:p w14:paraId="779D71E6"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O prazo de convocação poderá ser prorrogado 1 (uma) vez, por igual período, mediante solicitação da parte durante seu transcurso, devidamente justificada, e desde que o motivo apresentado seja aceito pela Administração.</w:t>
      </w:r>
    </w:p>
    <w:p w14:paraId="6E276FD9"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lastRenderedPageBreak/>
        <w:t>Antes de formalizar o Termo de Contrato ou emitir o instrumento equivalente, a  Administração deverá realizar consulta ao SICAF para verificar a regularidade fiscal exigida na licitação, bem como ao SICAF, ao Cadastro Nacional de Empresas Inidôneas e Suspensas – CEIS e ao Cadastro Nacional de Empresas Punidas – CNEP para identificar possível razão que impeça a participação em licitação, no âmbito do órgão ou entidade, proibição de contratar com o Poder Público, bem como ocorrências impeditivas indiretas, juntando aos autos as respectivas certidões negativas.</w:t>
      </w:r>
    </w:p>
    <w:p w14:paraId="79FADC3A"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Decorrido o prazo de validade da proposta sem convocação para a contratação, ficarão os licitantes liberados dos compromissos assumidos.</w:t>
      </w:r>
    </w:p>
    <w:p w14:paraId="27DF9BC7"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4867DAC3"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534050E4"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Na hipótese de nenhum dos licitantes aceitar a contratação nos termos do subitem anterior, a Administração, observados o valor estimado e sua eventual atualização nos termos do edital, poderá:</w:t>
      </w:r>
    </w:p>
    <w:p w14:paraId="656C23CD"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convocar os licitantes remanescentes para negociação, na ordem de classificação, com vistas à obtenção de preço melhor, mesmo que acima do preço do adjudicatário;</w:t>
      </w:r>
    </w:p>
    <w:p w14:paraId="00A65BAC"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adjudicar e celebrar o contrato nas condições ofertadas pelos licitantes remanescentes, atendida a ordem classificatória, quando frustrada a negociação de melhor condição.</w:t>
      </w:r>
    </w:p>
    <w:p w14:paraId="0917940E"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regra do subitem 9.5 não se aplicará aos licitantes remanescentes convocados na forma do subitem acima.</w:t>
      </w:r>
    </w:p>
    <w:p w14:paraId="689783E6" w14:textId="77777777" w:rsidR="00BA1D15" w:rsidRPr="006404D5" w:rsidRDefault="00BA1D15" w:rsidP="00BA1D15">
      <w:pPr>
        <w:spacing w:before="120" w:after="120"/>
        <w:contextualSpacing/>
        <w:jc w:val="both"/>
        <w:rPr>
          <w:rFonts w:ascii="Times New Roman" w:hAnsi="Times New Roman" w:cs="Times New Roman"/>
          <w:color w:val="FF0000"/>
          <w:sz w:val="24"/>
          <w:lang w:eastAsia="en-US"/>
        </w:rPr>
      </w:pPr>
    </w:p>
    <w:p w14:paraId="17ABF758" w14:textId="77777777" w:rsidR="008E1037" w:rsidRPr="00BA1D1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b/>
          <w:sz w:val="24"/>
        </w:rPr>
        <w:t>DA ATA DE REGISTRO DE PREÇOS</w:t>
      </w:r>
      <w:bookmarkEnd w:id="13"/>
    </w:p>
    <w:p w14:paraId="3B3CB29A"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Homologado o resultado da licitação, o licitante mais bem classificado terá o prazo de</w:t>
      </w:r>
      <w:r w:rsidR="00BA1D15" w:rsidRPr="00BA1D15">
        <w:rPr>
          <w:rFonts w:ascii="Times New Roman" w:hAnsi="Times New Roman" w:cs="Times New Roman"/>
          <w:sz w:val="24"/>
        </w:rPr>
        <w:t xml:space="preserve"> 10</w:t>
      </w:r>
      <w:r w:rsidRPr="00BA1D15">
        <w:rPr>
          <w:rFonts w:ascii="Times New Roman" w:hAnsi="Times New Roman" w:cs="Times New Roman"/>
          <w:sz w:val="24"/>
        </w:rPr>
        <w:t xml:space="preserve"> </w:t>
      </w:r>
      <w:r w:rsidRPr="00BA1D15">
        <w:rPr>
          <w:rFonts w:ascii="Times New Roman" w:hAnsi="Times New Roman" w:cs="Times New Roman"/>
          <w:color w:val="FF0000"/>
          <w:sz w:val="24"/>
        </w:rPr>
        <w:t>(</w:t>
      </w:r>
      <w:r w:rsidR="00BA1D15" w:rsidRPr="00BA1D15">
        <w:rPr>
          <w:rFonts w:ascii="Times New Roman" w:hAnsi="Times New Roman" w:cs="Times New Roman"/>
          <w:color w:val="FF0000"/>
          <w:sz w:val="24"/>
        </w:rPr>
        <w:t>dez</w:t>
      </w:r>
      <w:r w:rsidRPr="00BA1D15">
        <w:rPr>
          <w:rFonts w:ascii="Times New Roman" w:hAnsi="Times New Roman" w:cs="Times New Roman"/>
          <w:color w:val="FF0000"/>
          <w:sz w:val="24"/>
        </w:rPr>
        <w:t>)</w:t>
      </w:r>
      <w:r w:rsidRPr="00BA1D15">
        <w:rPr>
          <w:rFonts w:ascii="Times New Roman" w:hAnsi="Times New Roman" w:cs="Times New Roman"/>
          <w:sz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w:t>
      </w:r>
    </w:p>
    <w:p w14:paraId="229C8A4D"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prazo de convocação poderá ser prorrogado uma vez, por igual período, mediante solicitação do licitante mais bem classificado ou do fornecedor convocado, desde que:</w:t>
      </w:r>
    </w:p>
    <w:p w14:paraId="6A7262F8"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solicitação seja devidamente justificada e apresentada dentro do prazo; e</w:t>
      </w:r>
    </w:p>
    <w:p w14:paraId="414BAA5F"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justificativa apresentada seja aceita pela Administração.</w:t>
      </w:r>
    </w:p>
    <w:p w14:paraId="0ED3D608"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ata de registro de preços será assinada por meio de assinatura digital e disponibilizada no sistema de registro de preços.</w:t>
      </w:r>
    </w:p>
    <w:p w14:paraId="6FC6AA60"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 xml:space="preserve">Serão formalizadas tantas Atas de Registro de Preços quantas forem necessárias para o registro de todos os itens constantes no Termo de Referência, com a </w:t>
      </w:r>
      <w:r w:rsidRPr="00BA1D15">
        <w:rPr>
          <w:rFonts w:ascii="Times New Roman" w:hAnsi="Times New Roman" w:cs="Times New Roman"/>
          <w:sz w:val="24"/>
        </w:rPr>
        <w:lastRenderedPageBreak/>
        <w:t>indicação do licitante vencedor, a descrição do(s) item(</w:t>
      </w:r>
      <w:proofErr w:type="spellStart"/>
      <w:r w:rsidRPr="00BA1D15">
        <w:rPr>
          <w:rFonts w:ascii="Times New Roman" w:hAnsi="Times New Roman" w:cs="Times New Roman"/>
          <w:sz w:val="24"/>
        </w:rPr>
        <w:t>ns</w:t>
      </w:r>
      <w:proofErr w:type="spellEnd"/>
      <w:r w:rsidRPr="00BA1D15">
        <w:rPr>
          <w:rFonts w:ascii="Times New Roman" w:hAnsi="Times New Roman" w:cs="Times New Roman"/>
          <w:sz w:val="24"/>
        </w:rPr>
        <w:t>), as respectivas quantidades, preços registrados e demais condições.</w:t>
      </w:r>
    </w:p>
    <w:p w14:paraId="33830AEE"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preço registrado, com a indicação dos fornecedores, será divulgado no PNCP e disponibilizado durante a vigência da ata de registro de preços.</w:t>
      </w:r>
    </w:p>
    <w:p w14:paraId="45470F39"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1FD17A"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9B41202" w14:textId="77777777" w:rsidR="008E1037" w:rsidRPr="00BA1D15" w:rsidRDefault="008E1037" w:rsidP="008E1037">
      <w:pPr>
        <w:numPr>
          <w:ilvl w:val="0"/>
          <w:numId w:val="18"/>
        </w:numPr>
        <w:tabs>
          <w:tab w:val="left" w:pos="851"/>
        </w:tabs>
        <w:spacing w:before="120" w:after="120"/>
        <w:jc w:val="both"/>
        <w:rPr>
          <w:rFonts w:ascii="Times New Roman" w:hAnsi="Times New Roman" w:cs="Times New Roman"/>
          <w:b/>
          <w:sz w:val="24"/>
        </w:rPr>
      </w:pPr>
      <w:bookmarkStart w:id="14" w:name="_Toc135469232"/>
      <w:r w:rsidRPr="00BA1D15">
        <w:rPr>
          <w:rFonts w:ascii="Times New Roman" w:hAnsi="Times New Roman" w:cs="Times New Roman"/>
          <w:b/>
          <w:sz w:val="24"/>
        </w:rPr>
        <w:t>DA FORMAÇÃO DO CADASTRO DE RESERVA</w:t>
      </w:r>
      <w:bookmarkEnd w:id="14"/>
    </w:p>
    <w:p w14:paraId="7C23A4A6"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Após a homologação da licitação, será incluído na ata, na forma de anexo, o registro:</w:t>
      </w:r>
    </w:p>
    <w:p w14:paraId="7E7070E8"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 xml:space="preserve">dos licitantes </w:t>
      </w:r>
      <w:bookmarkStart w:id="15" w:name="_Hlk132991372"/>
      <w:r w:rsidRPr="00BA1D15">
        <w:rPr>
          <w:rFonts w:ascii="Times New Roman" w:hAnsi="Times New Roman" w:cs="Times New Roman"/>
          <w:sz w:val="24"/>
        </w:rPr>
        <w:t xml:space="preserve">que </w:t>
      </w:r>
      <w:bookmarkStart w:id="16" w:name="_Hlk132989696"/>
      <w:r w:rsidRPr="00BA1D15">
        <w:rPr>
          <w:rFonts w:ascii="Times New Roman" w:hAnsi="Times New Roman" w:cs="Times New Roman"/>
          <w:sz w:val="24"/>
        </w:rPr>
        <w:t>aceitarem cotar o objeto com preço igual ao do adjudicatári</w:t>
      </w:r>
      <w:bookmarkEnd w:id="15"/>
      <w:r w:rsidRPr="00BA1D15">
        <w:rPr>
          <w:rFonts w:ascii="Times New Roman" w:hAnsi="Times New Roman" w:cs="Times New Roman"/>
          <w:sz w:val="24"/>
        </w:rPr>
        <w:t>o</w:t>
      </w:r>
      <w:bookmarkEnd w:id="16"/>
      <w:r w:rsidRPr="00BA1D15">
        <w:rPr>
          <w:rFonts w:ascii="Times New Roman" w:hAnsi="Times New Roman" w:cs="Times New Roman"/>
          <w:sz w:val="24"/>
        </w:rPr>
        <w:t>, observada a classificação na licitação; e</w:t>
      </w:r>
    </w:p>
    <w:p w14:paraId="3AA8772E"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dos licitantes que mantiverem sua proposta original.</w:t>
      </w:r>
    </w:p>
    <w:p w14:paraId="6BF10623"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Será respeitada, nas contratações, a ordem de classificação dos licitantes ou fornecedores registrados na ata.</w:t>
      </w:r>
    </w:p>
    <w:p w14:paraId="1885522C"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apresentação de novas propostas na forma deste item não prejudicará o resultado do certame em relação ao licitante mais bem classificado.</w:t>
      </w:r>
    </w:p>
    <w:p w14:paraId="4DAE135D"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Para fins da ordem de classificação, os licitantes ou fornecedores que aceitarem cotar o objeto com preço igual ao do adjudicatário antecederão aqueles que mantiverem sua proposta original.</w:t>
      </w:r>
    </w:p>
    <w:p w14:paraId="2A29A529"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habilitação dos licitantes que comporão o cadastro de reserva será efetuada quando houver necessidade de contratação dos licitantes remanescentes, nas seguintes hipóteses:</w:t>
      </w:r>
    </w:p>
    <w:p w14:paraId="1AB1EF96"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quando o licitante vencedor não assinar a ata de registro de preços no prazo e nas condições estabelecidos no edital; ou</w:t>
      </w:r>
    </w:p>
    <w:p w14:paraId="3741113A"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quando houver o cancelamento do registro do fornecedor ou do registro de preços.</w:t>
      </w:r>
    </w:p>
    <w:p w14:paraId="563EBFB3"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04D29DE"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convocar os licitantes que mantiveram sua proposta original para negociação, na ordem de classificação, com vistas à obtenção de preço melhor, mesmo que acima do preço do adjudicatário; ou</w:t>
      </w:r>
    </w:p>
    <w:p w14:paraId="6B4BFC71"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lastRenderedPageBreak/>
        <w:t>adjudicar e firmar o contrato nas condições ofertadas pelos licitantes remanescentes, observada a ordem de classificação, quando frustrada a negociação de melhor condição.</w:t>
      </w:r>
    </w:p>
    <w:p w14:paraId="5D20703D"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DOS RECURSOS</w:t>
      </w:r>
    </w:p>
    <w:p w14:paraId="407EB14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interposição de recurso referente ao julgamento das propostas, à habilitação ou inabilitação de licitantes, à anulação ou revogação da licitação, observará o disposto no art. 165 da Lei nº 14.133, de 2021.</w:t>
      </w:r>
    </w:p>
    <w:p w14:paraId="576481FB"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recursal é de 3 (três) dias úteis, contados da data de intimação ou de lavratura da ata.</w:t>
      </w:r>
    </w:p>
    <w:p w14:paraId="45DB5E1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o recurso apresentado impugnar o julgamento das propostas ou o ato de habilitação ou inabilitação do licitante:</w:t>
      </w:r>
    </w:p>
    <w:p w14:paraId="0BB46A8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intenção de recorrer deverá ser manifestada imediatamente, sob pena de preclusão;</w:t>
      </w:r>
    </w:p>
    <w:p w14:paraId="236760F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 manifestação da intenção de recorrer não será inferior a 10 (dez) minutos.</w:t>
      </w:r>
    </w:p>
    <w:p w14:paraId="4FFE8AE3"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apresentação das razões recursais será iniciado na data de intimação ou de lavratura da ata de habilitação ou inabilitação;</w:t>
      </w:r>
    </w:p>
    <w:p w14:paraId="73230D0A"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adoção da inversão de fases prevista no § 1º do art. 17 da Lei nº 14.133, de 2021, o prazo para apresentação das razões recursais será iniciado na data de intimação da ata de julgamento.</w:t>
      </w:r>
    </w:p>
    <w:p w14:paraId="22B82C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recursos deverão ser encaminhados em campo próprio do sistema.</w:t>
      </w:r>
    </w:p>
    <w:p w14:paraId="0E7DB18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7106F9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recursos interpostos fora do prazo não serão conhecidos. </w:t>
      </w:r>
    </w:p>
    <w:p w14:paraId="1C95F51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E8F35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recurso e o pedido de reconsideração terão efeito suspensivo do ato ou da decisão recorrida até que sobrevenha decisão final da autoridade competente. </w:t>
      </w:r>
    </w:p>
    <w:p w14:paraId="66CB0A1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acolhimento do recurso invalida tão somente os atos insuscetíveis de aproveitamento. </w:t>
      </w:r>
    </w:p>
    <w:p w14:paraId="16501AB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autos do processo permanecerão com vista franqueada aos interessados no sítio eletrônico</w:t>
      </w:r>
      <w:r w:rsidR="004570D1">
        <w:rPr>
          <w:rFonts w:ascii="Times New Roman" w:hAnsi="Times New Roman" w:cs="Times New Roman"/>
          <w:bCs/>
          <w:iCs/>
          <w:sz w:val="24"/>
        </w:rPr>
        <w:t>.</w:t>
      </w:r>
    </w:p>
    <w:p w14:paraId="1A1E5F1D"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INFRAÇÕES ADMINISTRATIVAS E SANÇÕES</w:t>
      </w:r>
    </w:p>
    <w:p w14:paraId="1A33939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Comete infração administrativa, nos termos da lei, o licitante que, com dolo ou culpa: </w:t>
      </w:r>
    </w:p>
    <w:p w14:paraId="47B18FDF"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deixar de entregar a documentação exigida para o certame ou não entregar qualquer documento que tenha sido solicitado pelo pregoeiro durante o certame;</w:t>
      </w:r>
    </w:p>
    <w:p w14:paraId="01E9489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Salvo em decorrência de fato superveniente devidamente justificado, não mantiver a proposta em especial quando:</w:t>
      </w:r>
    </w:p>
    <w:p w14:paraId="6D917B06"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enviar a proposta adequada ao último lance ofertado ou após a negociação; </w:t>
      </w:r>
    </w:p>
    <w:p w14:paraId="012996AA"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recusar-se a enviar o detalhamento da proposta quando exigível; </w:t>
      </w:r>
    </w:p>
    <w:p w14:paraId="33859727"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pedir para ser desclassificado quando encerrada a etapa competitiva;  </w:t>
      </w:r>
    </w:p>
    <w:p w14:paraId="27049122"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deixar de apresentar amostra; ou</w:t>
      </w:r>
    </w:p>
    <w:p w14:paraId="75407BC9"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proposta ou amostra em desacordo com as especificações do edital; </w:t>
      </w:r>
    </w:p>
    <w:p w14:paraId="45D9B994"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celebrar o contrato, ou a ata de registro de preço, ou aceitar ou retirar o instrumento equivalente, ou não entregar a documentação exigida para a contratação, no prazo estabelecido pela Administração, quando convocado dentro do prazo de validade de sua proposta;</w:t>
      </w:r>
    </w:p>
    <w:p w14:paraId="4CB1460C"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apresentar declaração ou documentação falsa exigida para o certame ou prestar declaração falsa durante a licitação;</w:t>
      </w:r>
    </w:p>
    <w:p w14:paraId="47D907AF"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fraudar a licitação;</w:t>
      </w:r>
    </w:p>
    <w:p w14:paraId="6C08AFCB"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comportar-se de modo inidôneo ou cometer fraude de qualquer natureza, em especial quando:</w:t>
      </w:r>
    </w:p>
    <w:p w14:paraId="244CFC2E"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agir em conluio ou em desconformidade com a lei; </w:t>
      </w:r>
    </w:p>
    <w:p w14:paraId="387326E3"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induzir deliberadamente a erro no julgamento; </w:t>
      </w:r>
    </w:p>
    <w:p w14:paraId="34A79274"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amostra falsificada ou deteriorada; </w:t>
      </w:r>
    </w:p>
    <w:p w14:paraId="1BAA4AA1"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atos ilícitos com vistas a frustrar os objetivos da licitação;</w:t>
      </w:r>
    </w:p>
    <w:p w14:paraId="6EFDB7D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 lesivo previsto no art. 5º da Lei n.º 12.846, de 2013.</w:t>
      </w:r>
    </w:p>
    <w:p w14:paraId="1682732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Com fulcro na Lei nº 14.133, de 2021, a Administração poderá, garantida a prévia defesa, aplicar aos licitantes e/ou adjudicatários as seguintes sanções, sem prejuízo das responsabilidades civil e criminal: </w:t>
      </w:r>
    </w:p>
    <w:p w14:paraId="25891E27"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advertência; </w:t>
      </w:r>
    </w:p>
    <w:p w14:paraId="1856765E"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multa;</w:t>
      </w:r>
    </w:p>
    <w:p w14:paraId="4807B077"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impedimento de licitar e contratar; e</w:t>
      </w:r>
    </w:p>
    <w:p w14:paraId="6A09A789"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declaração de inidoneidade para licitar ou contratar, enquanto perdurarem os motivos determinantes da punição ou até que seja promovida sua reabilitação perante a própria autoridade que aplicou a penalidade.</w:t>
      </w:r>
    </w:p>
    <w:p w14:paraId="0F6D189A"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das sanções serão considerados:</w:t>
      </w:r>
    </w:p>
    <w:p w14:paraId="675579A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natureza e a gravidade da infração cometida;</w:t>
      </w:r>
    </w:p>
    <w:p w14:paraId="5528CDDD"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peculiaridades do caso concreto;</w:t>
      </w:r>
    </w:p>
    <w:p w14:paraId="196E7B18"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circunstâncias agravantes ou atenuantes;</w:t>
      </w:r>
    </w:p>
    <w:p w14:paraId="3E74F919"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danos que dela provierem para a Administração Pública;</w:t>
      </w:r>
    </w:p>
    <w:p w14:paraId="28850275"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a implantação ou o aperfeiçoamento de programa de integridade, conforme normas e orientações dos órgãos de controle.</w:t>
      </w:r>
    </w:p>
    <w:p w14:paraId="11BC1C32"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multa será recolhida em percentual de 0,5% (cinco décimos por cento) a 30% (trinta por cento) incidente sobre o valor do contrato licitado, recolhida no prazo máximo de </w:t>
      </w:r>
      <w:r w:rsidR="004570D1">
        <w:rPr>
          <w:rFonts w:ascii="Times New Roman" w:hAnsi="Times New Roman" w:cs="Times New Roman"/>
          <w:bCs/>
          <w:iCs/>
          <w:sz w:val="24"/>
        </w:rPr>
        <w:t xml:space="preserve">15 </w:t>
      </w:r>
      <w:r w:rsidRPr="006404D5">
        <w:rPr>
          <w:rFonts w:ascii="Times New Roman" w:hAnsi="Times New Roman" w:cs="Times New Roman"/>
          <w:bCs/>
          <w:iCs/>
          <w:color w:val="FF0000"/>
          <w:sz w:val="24"/>
        </w:rPr>
        <w:t>(</w:t>
      </w:r>
      <w:r w:rsidR="004570D1">
        <w:rPr>
          <w:rFonts w:ascii="Times New Roman" w:hAnsi="Times New Roman" w:cs="Times New Roman"/>
          <w:bCs/>
          <w:iCs/>
          <w:color w:val="FF0000"/>
          <w:sz w:val="24"/>
        </w:rPr>
        <w:t>quinze</w:t>
      </w:r>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 xml:space="preserve">dias úteis, a contar da comunicação oficial. </w:t>
      </w:r>
    </w:p>
    <w:p w14:paraId="78926DE5"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.1.3, a multa será de </w:t>
      </w:r>
      <w:r w:rsidRPr="006404D5">
        <w:rPr>
          <w:rFonts w:ascii="Times New Roman" w:hAnsi="Times New Roman" w:cs="Times New Roman"/>
          <w:bCs/>
          <w:iCs/>
          <w:color w:val="FF0000"/>
          <w:sz w:val="24"/>
        </w:rPr>
        <w:t xml:space="preserve">(...0,5% (cinco décimos por </w:t>
      </w:r>
      <w:proofErr w:type="gramStart"/>
      <w:r w:rsidRPr="006404D5">
        <w:rPr>
          <w:rFonts w:ascii="Times New Roman" w:hAnsi="Times New Roman" w:cs="Times New Roman"/>
          <w:bCs/>
          <w:iCs/>
          <w:color w:val="FF0000"/>
          <w:sz w:val="24"/>
        </w:rPr>
        <w:t>cento)...</w:t>
      </w:r>
      <w:proofErr w:type="gramEnd"/>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 xml:space="preserve">a </w:t>
      </w:r>
      <w:r w:rsidRPr="006404D5">
        <w:rPr>
          <w:rFonts w:ascii="Times New Roman" w:hAnsi="Times New Roman" w:cs="Times New Roman"/>
          <w:bCs/>
          <w:iCs/>
          <w:color w:val="FF0000"/>
          <w:sz w:val="24"/>
        </w:rPr>
        <w:t>(...15% (quinze por cento)...)</w:t>
      </w:r>
      <w:r w:rsidRPr="006404D5">
        <w:rPr>
          <w:rFonts w:ascii="Times New Roman" w:hAnsi="Times New Roman" w:cs="Times New Roman"/>
          <w:bCs/>
          <w:iCs/>
          <w:sz w:val="24"/>
        </w:rPr>
        <w:t xml:space="preserve"> do valor do contrato licitado.</w:t>
      </w:r>
    </w:p>
    <w:p w14:paraId="248EF23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.1.8, a multa será de </w:t>
      </w:r>
      <w:r w:rsidRPr="006404D5">
        <w:rPr>
          <w:rFonts w:ascii="Times New Roman" w:hAnsi="Times New Roman" w:cs="Times New Roman"/>
          <w:bCs/>
          <w:iCs/>
          <w:color w:val="FF0000"/>
          <w:sz w:val="24"/>
        </w:rPr>
        <w:t xml:space="preserve">(...15% (quinze por </w:t>
      </w:r>
      <w:proofErr w:type="gramStart"/>
      <w:r w:rsidRPr="006404D5">
        <w:rPr>
          <w:rFonts w:ascii="Times New Roman" w:hAnsi="Times New Roman" w:cs="Times New Roman"/>
          <w:bCs/>
          <w:iCs/>
          <w:color w:val="FF0000"/>
          <w:sz w:val="24"/>
        </w:rPr>
        <w:t>cento)...</w:t>
      </w:r>
      <w:proofErr w:type="gramEnd"/>
      <w:r w:rsidRPr="006404D5">
        <w:rPr>
          <w:rFonts w:ascii="Times New Roman" w:hAnsi="Times New Roman" w:cs="Times New Roman"/>
          <w:bCs/>
          <w:iCs/>
          <w:color w:val="FF0000"/>
          <w:sz w:val="24"/>
        </w:rPr>
        <w:t>)</w:t>
      </w:r>
      <w:r w:rsidRPr="006404D5">
        <w:rPr>
          <w:rFonts w:ascii="Times New Roman" w:hAnsi="Times New Roman" w:cs="Times New Roman"/>
          <w:bCs/>
          <w:iCs/>
          <w:sz w:val="24"/>
        </w:rPr>
        <w:t xml:space="preserve"> a </w:t>
      </w:r>
      <w:r w:rsidRPr="006404D5">
        <w:rPr>
          <w:rFonts w:ascii="Times New Roman" w:hAnsi="Times New Roman" w:cs="Times New Roman"/>
          <w:bCs/>
          <w:iCs/>
          <w:color w:val="FF0000"/>
          <w:sz w:val="24"/>
        </w:rPr>
        <w:t xml:space="preserve">(...30% (trinta por cento)...) </w:t>
      </w:r>
      <w:r w:rsidRPr="006404D5">
        <w:rPr>
          <w:rFonts w:ascii="Times New Roman" w:hAnsi="Times New Roman" w:cs="Times New Roman"/>
          <w:bCs/>
          <w:iCs/>
          <w:sz w:val="24"/>
        </w:rPr>
        <w:t>do valor do contrato licitado.</w:t>
      </w:r>
    </w:p>
    <w:p w14:paraId="1AEDE8F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sanções de advertência, impedimento de licitar e contratar e declaração de inidoneidade para licitar ou contratar poderão ser aplicadas, cumulativamente ou não, à penalidade de multa.</w:t>
      </w:r>
    </w:p>
    <w:p w14:paraId="34100BAD"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 sanção de multa será facultada a defesa do interessado no prazo de 15 (quinze) dias úteis, contado da data de sua intimação.</w:t>
      </w:r>
    </w:p>
    <w:p w14:paraId="669CB68D"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sanção de impedimento de licitar e contratar será aplicada ao responsável em decorrência das infrações administrativas relacionadas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1</w:t>
      </w:r>
      <w:r w:rsidR="006404D5" w:rsidRPr="006404D5">
        <w:rPr>
          <w:rFonts w:ascii="Times New Roman" w:hAnsi="Times New Roman" w:cs="Times New Roman"/>
          <w:bCs/>
          <w:iCs/>
          <w:sz w:val="24"/>
        </w:rPr>
        <w:t>3</w:t>
      </w:r>
      <w:r w:rsidRPr="006404D5">
        <w:rPr>
          <w:rFonts w:ascii="Times New Roman" w:hAnsi="Times New Roman" w:cs="Times New Roman"/>
          <w:bCs/>
          <w:iCs/>
          <w:sz w:val="24"/>
        </w:rPr>
        <w:t>.1.2 e 1</w:t>
      </w:r>
      <w:r w:rsidR="006404D5" w:rsidRPr="006404D5">
        <w:rPr>
          <w:rFonts w:ascii="Times New Roman" w:hAnsi="Times New Roman" w:cs="Times New Roman"/>
          <w:bCs/>
          <w:iCs/>
          <w:sz w:val="24"/>
        </w:rPr>
        <w:t>3</w:t>
      </w:r>
      <w:r w:rsidRPr="006404D5">
        <w:rPr>
          <w:rFonts w:ascii="Times New Roman" w:hAnsi="Times New Roman" w:cs="Times New Roman"/>
          <w:bCs/>
          <w:iCs/>
          <w:sz w:val="24"/>
        </w:rPr>
        <w:t>.1.3, quando não se justificar a imposição de penalidade mais grave, e impedirá o responsável de licitar e contratar no âmbito Administração Pública do Estado de Alagoas, pelo prazo máximo de 3 (três) anos.</w:t>
      </w:r>
    </w:p>
    <w:p w14:paraId="25141CB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Poderá ser aplicada ao responsável a sanção de declaração de inidoneidade para licitar ou contratar, em decorrência da prática das infrações dispostas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12.1.8, bem como pelas infrações administrativas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12.1.3 que justifiquem a imposição de penalidade mais grave que a sanção de impedimento de licitar e contratar, cuja duração observará o prazo previsto no art. 156, §5º, da Lei n.º 14.133, de 2021.</w:t>
      </w:r>
    </w:p>
    <w:p w14:paraId="0F9F262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recusa injustificada do adjudicatário em assinar o contrato ou a ata de registro de preço, ou em aceitar ou retirar o instrumento equivalente no prazo estabelecido pela Administração, descrita no item </w:t>
      </w:r>
      <w:r w:rsidR="00FC480D">
        <w:rPr>
          <w:rFonts w:ascii="Times New Roman" w:hAnsi="Times New Roman" w:cs="Times New Roman"/>
          <w:bCs/>
          <w:iCs/>
          <w:sz w:val="24"/>
        </w:rPr>
        <w:t>13.1.3</w:t>
      </w:r>
      <w:r w:rsidRPr="006404D5">
        <w:rPr>
          <w:rFonts w:ascii="Times New Roman" w:hAnsi="Times New Roman" w:cs="Times New Roman"/>
          <w:bCs/>
          <w:iCs/>
          <w:sz w:val="24"/>
        </w:rPr>
        <w:t xml:space="preserve">, caracterizará o descumprimento total da obrigação assumida e o sujeitará às penalidades e à imediata perda da garantia de proposta em favor do órgão ou entidade promotora da licitação. </w:t>
      </w:r>
    </w:p>
    <w:p w14:paraId="67874F14"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F192D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6404D5">
        <w:rPr>
          <w:rFonts w:ascii="Times New Roman" w:hAnsi="Times New Roman" w:cs="Times New Roman"/>
          <w:bCs/>
          <w:iCs/>
          <w:sz w:val="24"/>
        </w:rPr>
        <w:lastRenderedPageBreak/>
        <w:t>à autoridade superior, que deverá proferir sua decisão no prazo máximo de 20 (vinte) dias úteis, contado do recebimento dos autos.</w:t>
      </w:r>
    </w:p>
    <w:p w14:paraId="6A9B6DD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D1B73B"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e o pedido de reconsideração terão efeito suspensivo do ato ou da decisão recorrida até que sobrevenha decisão final da autoridade competente.</w:t>
      </w:r>
    </w:p>
    <w:p w14:paraId="736F426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aplicação das sanções previstas neste Edital não exclui, em hipótese alguma, a obrigação de reparação integral dos danos causados à Administração Pública do Estado de Alagoas.</w:t>
      </w:r>
    </w:p>
    <w:p w14:paraId="0E5244F4"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IMPUGNAÇÃO AO EDITAL E DO PEDIDO DE ESCLARECIMENTO</w:t>
      </w:r>
    </w:p>
    <w:p w14:paraId="052C03A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Qualquer pessoa é parte legítima para impugnar este Edital por irregularidade na aplicação da Lei nº 14.133, de 2021, devendo protocolar o pedido até 3 (três) dias úteis antes da data da abertura do certame.</w:t>
      </w:r>
    </w:p>
    <w:p w14:paraId="049514A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resposta à impugnação ou ao pedido de esclarecimento será divulgado em sítio eletrônico oficial no prazo de até 3 (três) dias úteis, limitado ao último dia útil anterior à data da abertura do certame.</w:t>
      </w:r>
    </w:p>
    <w:p w14:paraId="6646359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impugnação e o pedido de esclarecimento poderão ser realizados por forma eletrônica, </w:t>
      </w:r>
      <w:r w:rsidR="004570D1">
        <w:rPr>
          <w:rFonts w:ascii="Times New Roman" w:hAnsi="Times New Roman" w:cs="Times New Roman"/>
          <w:bCs/>
          <w:sz w:val="24"/>
        </w:rPr>
        <w:t>em campo próprio no sistema.</w:t>
      </w:r>
    </w:p>
    <w:p w14:paraId="2E82C36A"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As impugnações e pedidos de esclarecimentos não suspendem os prazos previstos no certame.</w:t>
      </w:r>
    </w:p>
    <w:p w14:paraId="698F8003"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concessão de efeito suspensivo à impugnação é medida excepcional e deverá ser motivada pelo pregoeiro, nos autos do processo de licitação.</w:t>
      </w:r>
    </w:p>
    <w:p w14:paraId="412EF05F"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Acolhida a impugnação, será definida e publicada nova data para a realização do certame.</w:t>
      </w:r>
    </w:p>
    <w:p w14:paraId="40C83AF6"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DISPOSIÇÕES GERAIS</w:t>
      </w:r>
    </w:p>
    <w:p w14:paraId="5C8AD0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Será divulgada ata da sessão pública no sistema eletrônico.</w:t>
      </w:r>
    </w:p>
    <w:p w14:paraId="545B5C2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EB4C8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Todas as referências de tempo neste Edital, no aviso e durante a sessão pública observarão o horário de Brasília - DF.</w:t>
      </w:r>
    </w:p>
    <w:p w14:paraId="10E4141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A homologação do resultado desta licitação não implicará direito à contratação.</w:t>
      </w:r>
    </w:p>
    <w:p w14:paraId="18E3748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8FAEF8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DC50C7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Na contagem dos prazos estabelecidos neste Edital e seus Anexos, excluir-se-á o dia do início e incluir-se-á o do vencimento. Só se iniciam e vencem os prazos em dias de expediente na Administração.</w:t>
      </w:r>
    </w:p>
    <w:p w14:paraId="0B7C81C2"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desatendimento de exigências formais não essenciais não importará o afastamento do licitante, desde que seja possível o aproveitamento do ato, observados os princípios da isonomia e do interesse público.</w:t>
      </w:r>
    </w:p>
    <w:p w14:paraId="428AB66F"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Em caso de divergência entre disposições deste Edital e de seus anexos ou demais peças que compõem o processo, prevalecerão as deste Edital.</w:t>
      </w:r>
    </w:p>
    <w:p w14:paraId="5E859AB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Edital e seus anexos estão disponíveis, na íntegra, no Portal Nacional de Contratações Públicas (PNCP).</w:t>
      </w:r>
    </w:p>
    <w:p w14:paraId="468C2E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Integram este Edital, para todos os fins e efeitos, os seguintes anexos:</w:t>
      </w:r>
    </w:p>
    <w:p w14:paraId="0ACE7F17"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 – Termo de Referência;</w:t>
      </w:r>
    </w:p>
    <w:p w14:paraId="2EEE3FD7" w14:textId="77777777" w:rsidR="008E1037" w:rsidRPr="00543C47" w:rsidRDefault="008E1037" w:rsidP="008E1037">
      <w:pPr>
        <w:numPr>
          <w:ilvl w:val="3"/>
          <w:numId w:val="18"/>
        </w:numPr>
        <w:tabs>
          <w:tab w:val="left" w:pos="426"/>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 xml:space="preserve"> Apêndice do Anexo I – Estudo Técnico Preliminar;</w:t>
      </w:r>
    </w:p>
    <w:p w14:paraId="0513F493"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 – Minuta de Termo de Contrato;</w:t>
      </w:r>
    </w:p>
    <w:p w14:paraId="699A5A3B"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III – Minuta de Ata de Registro de Preços;</w:t>
      </w:r>
    </w:p>
    <w:p w14:paraId="6184776D" w14:textId="77777777" w:rsidR="008E1037" w:rsidRPr="006404D5" w:rsidRDefault="008E1037" w:rsidP="008E1037">
      <w:pPr>
        <w:spacing w:before="120" w:after="120"/>
        <w:rPr>
          <w:rFonts w:ascii="Times New Roman" w:hAnsi="Times New Roman" w:cs="Times New Roman"/>
          <w:iCs/>
          <w:sz w:val="24"/>
        </w:rPr>
      </w:pPr>
    </w:p>
    <w:p w14:paraId="31E68350" w14:textId="6A5DCBCA" w:rsidR="008E1037" w:rsidRDefault="00543C47" w:rsidP="00543C47">
      <w:pPr>
        <w:spacing w:before="120" w:after="120"/>
        <w:jc w:val="center"/>
        <w:rPr>
          <w:rFonts w:ascii="Times New Roman" w:hAnsi="Times New Roman" w:cs="Times New Roman"/>
          <w:iCs/>
          <w:sz w:val="24"/>
        </w:rPr>
      </w:pPr>
      <w:r>
        <w:rPr>
          <w:rFonts w:ascii="Times New Roman" w:hAnsi="Times New Roman" w:cs="Times New Roman"/>
          <w:iCs/>
          <w:sz w:val="24"/>
        </w:rPr>
        <w:t xml:space="preserve">Murici – AL, </w:t>
      </w:r>
      <w:r w:rsidR="006354BA">
        <w:rPr>
          <w:rFonts w:ascii="Times New Roman" w:hAnsi="Times New Roman" w:cs="Times New Roman"/>
          <w:iCs/>
          <w:sz w:val="24"/>
        </w:rPr>
        <w:t>0</w:t>
      </w:r>
      <w:r w:rsidR="00BD6CAE">
        <w:rPr>
          <w:rFonts w:ascii="Times New Roman" w:hAnsi="Times New Roman" w:cs="Times New Roman"/>
          <w:iCs/>
          <w:sz w:val="24"/>
        </w:rPr>
        <w:t>6</w:t>
      </w:r>
      <w:r w:rsidR="006354BA">
        <w:rPr>
          <w:rFonts w:ascii="Times New Roman" w:hAnsi="Times New Roman" w:cs="Times New Roman"/>
          <w:iCs/>
          <w:sz w:val="24"/>
        </w:rPr>
        <w:t xml:space="preserve"> de </w:t>
      </w:r>
      <w:r w:rsidR="00BD6CAE">
        <w:rPr>
          <w:rFonts w:ascii="Times New Roman" w:hAnsi="Times New Roman" w:cs="Times New Roman"/>
          <w:iCs/>
          <w:sz w:val="24"/>
        </w:rPr>
        <w:t>setembro</w:t>
      </w:r>
      <w:r>
        <w:rPr>
          <w:rFonts w:ascii="Times New Roman" w:hAnsi="Times New Roman" w:cs="Times New Roman"/>
          <w:iCs/>
          <w:sz w:val="24"/>
        </w:rPr>
        <w:t xml:space="preserve"> de 2024.</w:t>
      </w:r>
    </w:p>
    <w:p w14:paraId="7348716C" w14:textId="77777777" w:rsidR="00543C47" w:rsidRDefault="00543C47" w:rsidP="00543C47">
      <w:pPr>
        <w:spacing w:before="120" w:after="120"/>
        <w:jc w:val="center"/>
        <w:rPr>
          <w:rFonts w:ascii="Times New Roman" w:hAnsi="Times New Roman" w:cs="Times New Roman"/>
          <w:iCs/>
          <w:sz w:val="24"/>
        </w:rPr>
      </w:pPr>
    </w:p>
    <w:p w14:paraId="3D342283" w14:textId="57B2D348" w:rsidR="00543C47" w:rsidRDefault="006354BA" w:rsidP="00543C47">
      <w:pPr>
        <w:spacing w:before="120" w:after="120"/>
        <w:jc w:val="center"/>
        <w:rPr>
          <w:rFonts w:ascii="Times New Roman" w:hAnsi="Times New Roman" w:cs="Times New Roman"/>
          <w:iCs/>
          <w:sz w:val="24"/>
        </w:rPr>
      </w:pPr>
      <w:r>
        <w:rPr>
          <w:rFonts w:ascii="Times New Roman" w:hAnsi="Times New Roman" w:cs="Times New Roman"/>
          <w:iCs/>
          <w:sz w:val="24"/>
        </w:rPr>
        <w:t>Celso Josué Soares da Silva</w:t>
      </w:r>
    </w:p>
    <w:p w14:paraId="141CD32F" w14:textId="16B05052" w:rsidR="006404D5" w:rsidRPr="006404D5" w:rsidRDefault="00543C47" w:rsidP="00543C47">
      <w:pPr>
        <w:spacing w:before="120" w:after="120"/>
        <w:jc w:val="center"/>
        <w:rPr>
          <w:rFonts w:ascii="Times New Roman" w:hAnsi="Times New Roman" w:cs="Times New Roman"/>
          <w:sz w:val="24"/>
        </w:rPr>
      </w:pPr>
      <w:r>
        <w:rPr>
          <w:rFonts w:ascii="Times New Roman" w:hAnsi="Times New Roman" w:cs="Times New Roman"/>
          <w:iCs/>
          <w:sz w:val="24"/>
        </w:rPr>
        <w:t xml:space="preserve">Agente de Contratação </w:t>
      </w:r>
      <w:bookmarkStart w:id="17" w:name="_GoBack"/>
      <w:bookmarkEnd w:id="17"/>
    </w:p>
    <w:sectPr w:rsidR="006404D5" w:rsidRPr="006404D5" w:rsidSect="00CB33D2">
      <w:headerReference w:type="default" r:id="rId7"/>
      <w:footerReference w:type="default" r:id="rId8"/>
      <w:pgSz w:w="11906" w:h="16838"/>
      <w:pgMar w:top="1417" w:right="184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06F39" w14:textId="77777777" w:rsidR="003563F5" w:rsidRDefault="003563F5" w:rsidP="0004300F">
      <w:r>
        <w:separator/>
      </w:r>
    </w:p>
  </w:endnote>
  <w:endnote w:type="continuationSeparator" w:id="0">
    <w:p w14:paraId="75C4F6C6" w14:textId="77777777" w:rsidR="003563F5" w:rsidRDefault="003563F5" w:rsidP="0004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FA2C6" w14:textId="77777777" w:rsidR="009C5F72" w:rsidRPr="006E3690" w:rsidRDefault="009C5F72" w:rsidP="009C5F72">
    <w:pPr>
      <w:pStyle w:val="Rodap"/>
      <w:jc w:val="right"/>
      <w:rPr>
        <w:rFonts w:ascii="Times New Roman" w:hAnsi="Times New Roman"/>
      </w:rPr>
    </w:pPr>
    <w:r w:rsidRPr="006E3690">
      <w:rPr>
        <w:rFonts w:ascii="Times New Roman" w:hAnsi="Times New Roman"/>
      </w:rPr>
      <w:t>Edital - Pregão - NLLC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B43C4" w14:textId="77777777" w:rsidR="003563F5" w:rsidRDefault="003563F5" w:rsidP="0004300F">
      <w:r>
        <w:separator/>
      </w:r>
    </w:p>
  </w:footnote>
  <w:footnote w:type="continuationSeparator" w:id="0">
    <w:p w14:paraId="55D401C6" w14:textId="77777777" w:rsidR="003563F5" w:rsidRDefault="003563F5" w:rsidP="00043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13AE" w14:textId="77777777" w:rsidR="009C5F72" w:rsidRPr="00BE2802" w:rsidRDefault="009C5F72" w:rsidP="009C5F72">
    <w:pPr>
      <w:pStyle w:val="Rodap"/>
      <w:tabs>
        <w:tab w:val="clear" w:pos="4252"/>
        <w:tab w:val="center" w:pos="0"/>
      </w:tabs>
      <w:jc w:val="center"/>
      <w:rPr>
        <w:rFonts w:ascii="Bookman Old Style" w:hAnsi="Bookman Old Style" w:cs="Arial"/>
        <w:sz w:val="16"/>
        <w:szCs w:val="16"/>
      </w:rPr>
    </w:pPr>
  </w:p>
  <w:p w14:paraId="11BFAEE4" w14:textId="77777777" w:rsidR="00AE1D41" w:rsidRDefault="00AE1D41" w:rsidP="00AE1D41">
    <w:pPr>
      <w:jc w:val="center"/>
      <w:rPr>
        <w:rFonts w:cs="Arial"/>
        <w:b/>
        <w:sz w:val="14"/>
        <w:szCs w:val="14"/>
      </w:rPr>
    </w:pPr>
    <w:r>
      <w:rPr>
        <w:noProof/>
      </w:rPr>
      <w:drawing>
        <wp:anchor distT="0" distB="0" distL="114300" distR="114300" simplePos="0" relativeHeight="251659264" behindDoc="0" locked="0" layoutInCell="1" allowOverlap="1" wp14:anchorId="086C87F0" wp14:editId="46A7AE52">
          <wp:simplePos x="0" y="0"/>
          <wp:positionH relativeFrom="margin">
            <wp:posOffset>2291715</wp:posOffset>
          </wp:positionH>
          <wp:positionV relativeFrom="paragraph">
            <wp:posOffset>-227330</wp:posOffset>
          </wp:positionV>
          <wp:extent cx="856615" cy="653415"/>
          <wp:effectExtent l="0" t="0" r="0" b="0"/>
          <wp:wrapNone/>
          <wp:docPr id="1" name="Imagem 1" descr="brasã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A5088B" w14:textId="77777777" w:rsidR="00AE1D41" w:rsidRDefault="00AE1D41" w:rsidP="00AE1D41">
    <w:pPr>
      <w:jc w:val="center"/>
      <w:rPr>
        <w:rFonts w:cs="Arial"/>
        <w:b/>
        <w:sz w:val="14"/>
        <w:szCs w:val="14"/>
      </w:rPr>
    </w:pPr>
  </w:p>
  <w:p w14:paraId="33457A50" w14:textId="77777777" w:rsidR="00AE1D41" w:rsidRDefault="00AE1D41" w:rsidP="00AE1D41">
    <w:pPr>
      <w:pStyle w:val="Cabealho"/>
      <w:tabs>
        <w:tab w:val="right" w:pos="2835"/>
      </w:tabs>
      <w:jc w:val="center"/>
      <w:rPr>
        <w:rFonts w:ascii="Arial" w:hAnsi="Arial" w:cs="Arial"/>
        <w:b/>
        <w:sz w:val="16"/>
        <w:szCs w:val="16"/>
      </w:rPr>
    </w:pPr>
  </w:p>
  <w:p w14:paraId="0B722349" w14:textId="77777777" w:rsidR="00AE1D41" w:rsidRDefault="00AE1D41" w:rsidP="00AE1D41">
    <w:pPr>
      <w:pStyle w:val="Cabealho"/>
      <w:tabs>
        <w:tab w:val="right" w:pos="2835"/>
      </w:tabs>
      <w:jc w:val="center"/>
      <w:rPr>
        <w:rFonts w:ascii="Arial" w:hAnsi="Arial" w:cs="Arial"/>
        <w:b/>
        <w:sz w:val="16"/>
        <w:szCs w:val="16"/>
      </w:rPr>
    </w:pPr>
  </w:p>
  <w:p w14:paraId="34C06CCB" w14:textId="77777777" w:rsidR="00AE1D41" w:rsidRDefault="00AE1D41" w:rsidP="00AE1D41">
    <w:pPr>
      <w:pStyle w:val="Cabealho"/>
      <w:tabs>
        <w:tab w:val="right" w:pos="2835"/>
      </w:tabs>
      <w:jc w:val="center"/>
      <w:rPr>
        <w:rFonts w:ascii="Arial" w:hAnsi="Arial" w:cs="Arial"/>
        <w:b/>
        <w:bCs/>
      </w:rPr>
    </w:pPr>
    <w:r>
      <w:rPr>
        <w:rFonts w:ascii="Arial" w:hAnsi="Arial" w:cs="Arial"/>
        <w:b/>
        <w:bCs/>
      </w:rPr>
      <w:t>PREFEITURA MUNICIPAL DE MURICI</w:t>
    </w:r>
  </w:p>
  <w:p w14:paraId="551A6B98" w14:textId="77777777" w:rsidR="009C5F72" w:rsidRPr="00943D82" w:rsidRDefault="00AE1D41" w:rsidP="00AE1D41">
    <w:pPr>
      <w:pStyle w:val="Cabealho"/>
      <w:tabs>
        <w:tab w:val="clear" w:pos="4252"/>
        <w:tab w:val="center" w:pos="0"/>
      </w:tabs>
      <w:jc w:val="center"/>
      <w:rPr>
        <w:rFonts w:ascii="Times New Roman" w:hAnsi="Times New Roman"/>
        <w:b/>
      </w:rPr>
    </w:pPr>
    <w:r>
      <w:rPr>
        <w:rFonts w:ascii="Times New Roman" w:hAnsi="Times New Roman"/>
        <w:b/>
      </w:rPr>
      <w:t>COMISSÃO PERMANENTE DE LICITAÇÃO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F3BC2"/>
    <w:multiLevelType w:val="multilevel"/>
    <w:tmpl w:val="EB408A52"/>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0665E4"/>
    <w:multiLevelType w:val="hybridMultilevel"/>
    <w:tmpl w:val="75969A54"/>
    <w:lvl w:ilvl="0" w:tplc="731C8F8A">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A2078A"/>
    <w:multiLevelType w:val="hybridMultilevel"/>
    <w:tmpl w:val="C9CAD05C"/>
    <w:lvl w:ilvl="0" w:tplc="26FCEE78">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466CAA"/>
    <w:multiLevelType w:val="multilevel"/>
    <w:tmpl w:val="6E0655F6"/>
    <w:lvl w:ilvl="0">
      <w:start w:val="10"/>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7914B1"/>
    <w:multiLevelType w:val="multilevel"/>
    <w:tmpl w:val="155A86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504A7F6E"/>
    <w:lvl w:ilvl="0">
      <w:start w:val="9"/>
      <w:numFmt w:val="decimal"/>
      <w:pStyle w:val="Nivel1"/>
      <w:lvlText w:val="%1."/>
      <w:lvlJc w:val="left"/>
      <w:pPr>
        <w:ind w:left="1920" w:hanging="360"/>
      </w:pPr>
      <w:rPr>
        <w:rFonts w:ascii="Times New Roman" w:hAnsi="Times New Roman" w:cs="Times New Roman" w:hint="default"/>
        <w:b/>
        <w:color w:val="auto"/>
        <w:sz w:val="24"/>
        <w:szCs w:val="24"/>
      </w:rPr>
    </w:lvl>
    <w:lvl w:ilvl="1">
      <w:start w:val="1"/>
      <w:numFmt w:val="decimal"/>
      <w:lvlText w:val="3.%2."/>
      <w:lvlJc w:val="left"/>
      <w:pPr>
        <w:ind w:left="3410" w:hanging="432"/>
      </w:pPr>
      <w:rPr>
        <w:rFonts w:hint="default"/>
        <w:b w:val="0"/>
        <w:i w:val="0"/>
        <w:strike w:val="0"/>
        <w:color w:val="auto"/>
      </w:rPr>
    </w:lvl>
    <w:lvl w:ilvl="2">
      <w:start w:val="1"/>
      <w:numFmt w:val="decimal"/>
      <w:lvlText w:val="%1.%2.%3."/>
      <w:lvlJc w:val="left"/>
      <w:pPr>
        <w:ind w:left="930" w:hanging="504"/>
      </w:pPr>
      <w:rPr>
        <w:rFonts w:hint="default"/>
        <w:b w:val="0"/>
        <w:i w:val="0"/>
        <w:color w:val="auto"/>
        <w:sz w:val="24"/>
        <w:szCs w:val="24"/>
      </w:rPr>
    </w:lvl>
    <w:lvl w:ilvl="3">
      <w:start w:val="1"/>
      <w:numFmt w:val="decimal"/>
      <w:lvlText w:val="%1.%2.%3.%4."/>
      <w:lvlJc w:val="left"/>
      <w:pPr>
        <w:ind w:left="2491"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202833"/>
    <w:multiLevelType w:val="multilevel"/>
    <w:tmpl w:val="AF8AB3F4"/>
    <w:lvl w:ilvl="0">
      <w:start w:val="4"/>
      <w:numFmt w:val="decimal"/>
      <w:lvlText w:val="%1."/>
      <w:lvlJc w:val="left"/>
      <w:pPr>
        <w:ind w:left="360" w:hanging="360"/>
      </w:pPr>
      <w:rPr>
        <w:rFonts w:hint="default"/>
        <w:color w:val="auto"/>
      </w:rPr>
    </w:lvl>
    <w:lvl w:ilvl="1">
      <w:start w:val="7"/>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5776AD"/>
    <w:multiLevelType w:val="multilevel"/>
    <w:tmpl w:val="C2220846"/>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EC44DE6"/>
    <w:multiLevelType w:val="multilevel"/>
    <w:tmpl w:val="7304CDD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F561F3"/>
    <w:multiLevelType w:val="hybridMultilevel"/>
    <w:tmpl w:val="E66A134E"/>
    <w:lvl w:ilvl="0" w:tplc="B10A6A62">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6A2E98"/>
    <w:multiLevelType w:val="hybridMultilevel"/>
    <w:tmpl w:val="FED864B4"/>
    <w:lvl w:ilvl="0" w:tplc="E1A4FD54">
      <w:start w:val="1"/>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4CA1E77"/>
    <w:multiLevelType w:val="multilevel"/>
    <w:tmpl w:val="D53E276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4E92DF5"/>
    <w:multiLevelType w:val="multilevel"/>
    <w:tmpl w:val="A15260EC"/>
    <w:lvl w:ilvl="0">
      <w:start w:val="4"/>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E35161"/>
    <w:multiLevelType w:val="multilevel"/>
    <w:tmpl w:val="11147982"/>
    <w:lvl w:ilvl="0">
      <w:start w:val="5"/>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E65600"/>
    <w:multiLevelType w:val="multilevel"/>
    <w:tmpl w:val="931ADD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0C2B30"/>
    <w:multiLevelType w:val="multilevel"/>
    <w:tmpl w:val="6A3613B8"/>
    <w:lvl w:ilvl="0">
      <w:start w:val="1"/>
      <w:numFmt w:val="decimal"/>
      <w:lvlText w:val="%1."/>
      <w:lvlJc w:val="left"/>
      <w:pPr>
        <w:ind w:left="360" w:hanging="360"/>
      </w:pPr>
      <w:rPr>
        <w:rFonts w:hint="default"/>
      </w:rPr>
    </w:lvl>
    <w:lvl w:ilvl="1">
      <w:start w:val="3"/>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80423EC"/>
    <w:multiLevelType w:val="multilevel"/>
    <w:tmpl w:val="B1128E54"/>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F5B4D7D"/>
    <w:multiLevelType w:val="multilevel"/>
    <w:tmpl w:val="3164591C"/>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color w:val="auto"/>
        <w:sz w:val="24"/>
        <w:szCs w:val="24"/>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0"/>
  </w:num>
  <w:num w:numId="3">
    <w:abstractNumId w:val="15"/>
  </w:num>
  <w:num w:numId="4">
    <w:abstractNumId w:val="1"/>
  </w:num>
  <w:num w:numId="5">
    <w:abstractNumId w:val="9"/>
  </w:num>
  <w:num w:numId="6">
    <w:abstractNumId w:val="2"/>
  </w:num>
  <w:num w:numId="7">
    <w:abstractNumId w:val="16"/>
  </w:num>
  <w:num w:numId="8">
    <w:abstractNumId w:val="7"/>
  </w:num>
  <w:num w:numId="9">
    <w:abstractNumId w:val="8"/>
  </w:num>
  <w:num w:numId="10">
    <w:abstractNumId w:val="12"/>
  </w:num>
  <w:num w:numId="11">
    <w:abstractNumId w:val="6"/>
  </w:num>
  <w:num w:numId="12">
    <w:abstractNumId w:val="13"/>
  </w:num>
  <w:num w:numId="13">
    <w:abstractNumId w:val="11"/>
  </w:num>
  <w:num w:numId="14">
    <w:abstractNumId w:val="0"/>
  </w:num>
  <w:num w:numId="15">
    <w:abstractNumId w:val="14"/>
  </w:num>
  <w:num w:numId="16">
    <w:abstractNumId w:val="4"/>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037"/>
    <w:rsid w:val="000373BD"/>
    <w:rsid w:val="0004300F"/>
    <w:rsid w:val="001B4631"/>
    <w:rsid w:val="0021187C"/>
    <w:rsid w:val="00214915"/>
    <w:rsid w:val="002D52B0"/>
    <w:rsid w:val="002E2A9D"/>
    <w:rsid w:val="003060FC"/>
    <w:rsid w:val="003563F5"/>
    <w:rsid w:val="00381BD5"/>
    <w:rsid w:val="003A7AE6"/>
    <w:rsid w:val="004570D1"/>
    <w:rsid w:val="00493A1F"/>
    <w:rsid w:val="00543C47"/>
    <w:rsid w:val="005951C9"/>
    <w:rsid w:val="005A2EB3"/>
    <w:rsid w:val="006354BA"/>
    <w:rsid w:val="006404D5"/>
    <w:rsid w:val="00670398"/>
    <w:rsid w:val="00710A17"/>
    <w:rsid w:val="00792507"/>
    <w:rsid w:val="007B32B2"/>
    <w:rsid w:val="00826001"/>
    <w:rsid w:val="008E1037"/>
    <w:rsid w:val="00902FAA"/>
    <w:rsid w:val="00917DE9"/>
    <w:rsid w:val="00923577"/>
    <w:rsid w:val="009C3939"/>
    <w:rsid w:val="009C5F72"/>
    <w:rsid w:val="00A73E16"/>
    <w:rsid w:val="00AE1D41"/>
    <w:rsid w:val="00BA1D15"/>
    <w:rsid w:val="00BB6F30"/>
    <w:rsid w:val="00BD6CAE"/>
    <w:rsid w:val="00C7335C"/>
    <w:rsid w:val="00CB33D2"/>
    <w:rsid w:val="00D02865"/>
    <w:rsid w:val="00D724FF"/>
    <w:rsid w:val="00DC0A88"/>
    <w:rsid w:val="00DE13F8"/>
    <w:rsid w:val="00F74417"/>
    <w:rsid w:val="00FC480D"/>
    <w:rsid w:val="00FF0C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22811"/>
  <w15:docId w15:val="{6A59282A-3999-429F-A574-4B6678E5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037"/>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E103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E1037"/>
    <w:pPr>
      <w:ind w:left="720"/>
      <w:contextualSpacing/>
    </w:pPr>
  </w:style>
  <w:style w:type="character" w:styleId="Hyperlink">
    <w:name w:val="Hyperlink"/>
    <w:uiPriority w:val="99"/>
    <w:rsid w:val="008E1037"/>
    <w:rPr>
      <w:color w:val="000080"/>
      <w:u w:val="single"/>
    </w:rPr>
  </w:style>
  <w:style w:type="paragraph" w:styleId="Citao">
    <w:name w:val="Quote"/>
    <w:aliases w:val="TCU,Citação AGU,NotaExplicativa"/>
    <w:basedOn w:val="Normal"/>
    <w:next w:val="Normal"/>
    <w:link w:val="CitaoChar"/>
    <w:uiPriority w:val="29"/>
    <w:qFormat/>
    <w:rsid w:val="008E10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imes New Roman"/>
      <w:i/>
      <w:iCs/>
      <w:color w:val="000000"/>
      <w:lang w:eastAsia="en-US"/>
    </w:rPr>
  </w:style>
  <w:style w:type="character" w:customStyle="1" w:styleId="CitaoChar">
    <w:name w:val="Citação Char"/>
    <w:aliases w:val="TCU Char,Citação AGU Char,NotaExplicativa Char"/>
    <w:basedOn w:val="Fontepargpadro"/>
    <w:link w:val="Citao"/>
    <w:uiPriority w:val="29"/>
    <w:qFormat/>
    <w:rsid w:val="008E1037"/>
    <w:rPr>
      <w:rFonts w:ascii="Ecofont_Spranq_eco_Sans" w:eastAsia="Calibri" w:hAnsi="Ecofont_Spranq_eco_Sans" w:cs="Times New Roman"/>
      <w:i/>
      <w:iCs/>
      <w:color w:val="000000"/>
      <w:sz w:val="20"/>
      <w:szCs w:val="24"/>
      <w:shd w:val="clear" w:color="auto" w:fill="FFFFCC"/>
    </w:rPr>
  </w:style>
  <w:style w:type="paragraph" w:styleId="Cabealho">
    <w:name w:val="header"/>
    <w:aliases w:val="Heading 1a,Cabeçalho superior,Cabeçalho superior Char Char Char Char,Cabeçalho superior Char Char Char,encabezado"/>
    <w:basedOn w:val="Normal"/>
    <w:link w:val="CabealhoChar"/>
    <w:unhideWhenUsed/>
    <w:rsid w:val="008E1037"/>
    <w:pPr>
      <w:tabs>
        <w:tab w:val="center" w:pos="4252"/>
        <w:tab w:val="right" w:pos="8504"/>
      </w:tabs>
    </w:pPr>
    <w:rPr>
      <w:rFonts w:ascii="Ecofont_Spranq_eco_Sans" w:hAnsi="Ecofont_Spranq_eco_Sans" w:cs="Times New Roman"/>
      <w:sz w:val="24"/>
    </w:rPr>
  </w:style>
  <w:style w:type="character" w:customStyle="1" w:styleId="CabealhoChar">
    <w:name w:val="Cabeçalho Char"/>
    <w:aliases w:val="Heading 1a Char,Cabeçalho superior Char,Cabeçalho superior Char Char Char Char Char,Cabeçalho superior Char Char Char Char1,encabezado Char"/>
    <w:basedOn w:val="Fontepargpadro"/>
    <w:link w:val="Cabealho"/>
    <w:rsid w:val="008E1037"/>
    <w:rPr>
      <w:rFonts w:ascii="Ecofont_Spranq_eco_Sans" w:eastAsia="Times New Roman" w:hAnsi="Ecofont_Spranq_eco_Sans" w:cs="Times New Roman"/>
      <w:sz w:val="24"/>
      <w:szCs w:val="24"/>
    </w:rPr>
  </w:style>
  <w:style w:type="paragraph" w:styleId="Rodap">
    <w:name w:val="footer"/>
    <w:basedOn w:val="Normal"/>
    <w:link w:val="RodapChar"/>
    <w:uiPriority w:val="99"/>
    <w:unhideWhenUsed/>
    <w:rsid w:val="008E1037"/>
    <w:pPr>
      <w:tabs>
        <w:tab w:val="center" w:pos="4252"/>
        <w:tab w:val="right" w:pos="8504"/>
      </w:tabs>
    </w:pPr>
    <w:rPr>
      <w:rFonts w:ascii="Ecofont_Spranq_eco_Sans" w:hAnsi="Ecofont_Spranq_eco_Sans" w:cs="Times New Roman"/>
      <w:sz w:val="24"/>
    </w:rPr>
  </w:style>
  <w:style w:type="character" w:customStyle="1" w:styleId="RodapChar">
    <w:name w:val="Rodapé Char"/>
    <w:basedOn w:val="Fontepargpadro"/>
    <w:link w:val="Rodap"/>
    <w:uiPriority w:val="99"/>
    <w:qFormat/>
    <w:rsid w:val="008E1037"/>
    <w:rPr>
      <w:rFonts w:ascii="Ecofont_Spranq_eco_Sans" w:eastAsia="Times New Roman" w:hAnsi="Ecofont_Spranq_eco_Sans" w:cs="Times New Roman"/>
      <w:sz w:val="24"/>
      <w:szCs w:val="24"/>
    </w:rPr>
  </w:style>
  <w:style w:type="paragraph" w:customStyle="1" w:styleId="Nivel1">
    <w:name w:val="Nivel1"/>
    <w:basedOn w:val="Ttulo1"/>
    <w:next w:val="Normal"/>
    <w:link w:val="Nivel1Char"/>
    <w:qFormat/>
    <w:rsid w:val="008E1037"/>
    <w:pPr>
      <w:numPr>
        <w:numId w:val="1"/>
      </w:numPr>
      <w:spacing w:after="120" w:line="276" w:lineRule="auto"/>
      <w:jc w:val="both"/>
    </w:pPr>
    <w:rPr>
      <w:rFonts w:ascii="Arial" w:eastAsia="Times New Roman" w:hAnsi="Arial" w:cs="Times New Roman"/>
      <w:bCs w:val="0"/>
      <w:color w:val="000000"/>
      <w:sz w:val="32"/>
      <w:szCs w:val="32"/>
    </w:rPr>
  </w:style>
  <w:style w:type="character" w:customStyle="1" w:styleId="Nivel1Char">
    <w:name w:val="Nivel1 Char"/>
    <w:link w:val="Nivel1"/>
    <w:rsid w:val="008E1037"/>
    <w:rPr>
      <w:rFonts w:ascii="Arial" w:eastAsia="Times New Roman" w:hAnsi="Arial" w:cs="Times New Roman"/>
      <w:b/>
      <w:color w:val="000000"/>
      <w:sz w:val="32"/>
      <w:szCs w:val="32"/>
    </w:rPr>
  </w:style>
  <w:style w:type="paragraph" w:customStyle="1" w:styleId="SombreamentoMdio1-nfase31">
    <w:name w:val="Sombreamento Médio 1 - Ênfase 31"/>
    <w:basedOn w:val="Normal"/>
    <w:next w:val="Normal"/>
    <w:rsid w:val="008E103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Ttulo1Char">
    <w:name w:val="Título 1 Char"/>
    <w:basedOn w:val="Fontepargpadro"/>
    <w:link w:val="Ttulo1"/>
    <w:uiPriority w:val="9"/>
    <w:rsid w:val="008E1037"/>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23</Pages>
  <Words>9520</Words>
  <Characters>51408</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ridina.leite</dc:creator>
  <cp:lastModifiedBy>NOTEBOOK</cp:lastModifiedBy>
  <cp:revision>3</cp:revision>
  <cp:lastPrinted>2024-07-31T14:10:00Z</cp:lastPrinted>
  <dcterms:created xsi:type="dcterms:W3CDTF">2024-07-31T14:11:00Z</dcterms:created>
  <dcterms:modified xsi:type="dcterms:W3CDTF">2024-09-09T14:54:00Z</dcterms:modified>
</cp:coreProperties>
</file>