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libri" w:hAnsi="Calibri"/>
          <w:sz w:val="24"/>
          <w:szCs w:val="24"/>
        </w:rPr>
      </w:pPr>
      <w:r>
        <w:rPr>
          <w:rFonts w:ascii="Calibri" w:hAnsi="Calibri"/>
          <w:sz w:val="24"/>
          <w:szCs w:val="24"/>
        </w:rPr>
      </w:r>
    </w:p>
    <w:p>
      <w:pPr>
        <w:pStyle w:val="Normal"/>
        <w:jc w:val="center"/>
        <w:rPr>
          <w:sz w:val="28"/>
          <w:szCs w:val="28"/>
        </w:rPr>
      </w:pPr>
      <w:r>
        <w:rPr>
          <w:rFonts w:cs="Calibri" w:ascii="Times New Roman" w:hAnsi="Times New Roman" w:cstheme="minorHAnsi"/>
          <w:b/>
          <w:bCs/>
          <w:iCs/>
          <w:sz w:val="28"/>
          <w:szCs w:val="28"/>
        </w:rPr>
        <w:t>TERMO DE REFERÊNCIA</w:t>
      </w:r>
    </w:p>
    <w:p>
      <w:pPr>
        <w:pStyle w:val="LO-normal"/>
        <w:jc w:val="center"/>
        <w:rPr>
          <w:sz w:val="28"/>
          <w:szCs w:val="28"/>
        </w:rPr>
      </w:pPr>
      <w:r>
        <w:rPr>
          <w:rFonts w:eastAsia="Calibri" w:cs="Calibri" w:ascii="Times New Roman" w:hAnsi="Times New Roman" w:cstheme="minorHAnsi"/>
          <w:b/>
          <w:bCs/>
          <w:iCs/>
          <w:sz w:val="28"/>
          <w:szCs w:val="28"/>
        </w:rPr>
        <w:t>Processo Administrativ</w:t>
      </w:r>
      <w:r>
        <w:rPr>
          <w:rFonts w:eastAsia="Calibri" w:cs="Calibri" w:ascii="Times New Roman" w:hAnsi="Times New Roman" w:cstheme="minorHAnsi"/>
          <w:b/>
          <w:bCs/>
          <w:iCs/>
          <w:color w:val="111111"/>
          <w:sz w:val="28"/>
          <w:szCs w:val="28"/>
        </w:rPr>
        <w:t>o nº 85.689</w:t>
      </w:r>
      <w:r>
        <w:rPr>
          <w:rStyle w:val="Strong"/>
          <w:rFonts w:eastAsia="Calibri" w:cs="Calibri" w:ascii="Times New Roman" w:hAnsi="Times New Roman" w:cstheme="minorHAnsi"/>
          <w:b/>
          <w:bCs/>
          <w:i w:val="false"/>
          <w:iCs/>
          <w:caps w:val="false"/>
          <w:smallCaps w:val="false"/>
          <w:color w:val="333333"/>
          <w:spacing w:val="0"/>
          <w:sz w:val="28"/>
          <w:szCs w:val="28"/>
        </w:rPr>
        <w:t>/2025</w:t>
      </w:r>
      <w:r>
        <w:rPr>
          <w:rFonts w:eastAsia="Calibri" w:cs="Calibri" w:ascii="Times New Roman" w:hAnsi="Times New Roman" w:cstheme="minorHAnsi"/>
          <w:b/>
          <w:bCs/>
          <w:iCs/>
          <w:color w:val="111111"/>
          <w:sz w:val="28"/>
          <w:szCs w:val="28"/>
        </w:rPr>
        <w:t xml:space="preserve"> </w:t>
      </w:r>
    </w:p>
    <w:p>
      <w:pPr>
        <w:pStyle w:val="Normal"/>
        <w:jc w:val="center"/>
        <w:rPr>
          <w:rFonts w:ascii="Times New Roman" w:hAnsi="Times New Roman" w:cs="Calibri" w:cstheme="minorHAnsi"/>
          <w:sz w:val="24"/>
          <w:szCs w:val="24"/>
        </w:rPr>
      </w:pPr>
      <w:r>
        <w:rPr>
          <w:rFonts w:cs="Calibri" w:cstheme="minorHAnsi" w:ascii="Times New Roman" w:hAnsi="Times New Roman"/>
          <w:sz w:val="24"/>
          <w:szCs w:val="24"/>
        </w:rPr>
      </w:r>
    </w:p>
    <w:p>
      <w:pPr>
        <w:pStyle w:val="ListParagraph"/>
        <w:suppressAutoHyphens w:val="false"/>
        <w:spacing w:before="0" w:after="0"/>
        <w:ind w:hanging="0" w:left="0"/>
        <w:contextualSpacing/>
        <w:jc w:val="both"/>
        <w:rPr>
          <w:rFonts w:ascii="Times New Roman" w:hAnsi="Times New Roman" w:cs="Calibri" w:cstheme="minorHAnsi"/>
          <w:b/>
          <w:bCs/>
          <w:iCs/>
          <w:sz w:val="24"/>
          <w:szCs w:val="24"/>
        </w:rPr>
      </w:pPr>
      <w:r>
        <w:rPr>
          <w:rFonts w:cs="Calibri" w:cstheme="minorHAnsi" w:ascii="Times New Roman" w:hAnsi="Times New Roman"/>
          <w:b/>
          <w:bCs/>
          <w:iCs/>
          <w:sz w:val="24"/>
          <w:szCs w:val="24"/>
        </w:rPr>
      </w:r>
    </w:p>
    <w:p>
      <w:pPr>
        <w:pStyle w:val="ListParagraph"/>
        <w:suppressAutoHyphens w:val="false"/>
        <w:spacing w:before="0" w:after="0"/>
        <w:ind w:hanging="0" w:left="0"/>
        <w:contextualSpacing/>
        <w:jc w:val="both"/>
        <w:rPr>
          <w:rFonts w:ascii="Times New Roman" w:hAnsi="Times New Roman"/>
          <w:sz w:val="24"/>
          <w:szCs w:val="24"/>
        </w:rPr>
      </w:pPr>
      <w:r>
        <w:rPr>
          <w:rFonts w:cs="Calibri" w:ascii="Times New Roman" w:hAnsi="Times New Roman" w:cstheme="minorHAnsi"/>
          <w:b/>
          <w:bCs/>
          <w:iCs/>
          <w:sz w:val="24"/>
          <w:szCs w:val="24"/>
        </w:rPr>
        <w:t>1. OBJETO</w:t>
      </w:r>
    </w:p>
    <w:p>
      <w:pPr>
        <w:pStyle w:val="Corpo"/>
        <w:ind w:hanging="0" w:left="435" w:right="-15"/>
        <w:jc w:val="both"/>
        <w:rPr>
          <w:rFonts w:ascii="Times New Roman" w:hAnsi="Times New Roman" w:cs="Calibri" w:cstheme="minorHAnsi"/>
          <w:iCs/>
          <w:sz w:val="24"/>
          <w:szCs w:val="24"/>
        </w:rPr>
      </w:pPr>
      <w:r>
        <w:rPr>
          <w:rFonts w:cs="Calibri" w:cstheme="minorHAnsi"/>
          <w:iCs/>
          <w:sz w:val="24"/>
          <w:szCs w:val="24"/>
        </w:rPr>
      </w:r>
    </w:p>
    <w:p>
      <w:pPr>
        <w:pStyle w:val="Corpo"/>
        <w:ind w:hanging="0" w:right="-15"/>
        <w:jc w:val="both"/>
        <w:rPr>
          <w:rFonts w:ascii="Times New Roman" w:hAnsi="Times New Roman"/>
          <w:sz w:val="24"/>
          <w:szCs w:val="24"/>
        </w:rPr>
      </w:pPr>
      <w:r>
        <w:rPr>
          <w:rFonts w:cs="Calibri" w:cstheme="minorHAnsi"/>
          <w:iCs/>
          <w:sz w:val="24"/>
          <w:szCs w:val="24"/>
        </w:rPr>
        <w:t xml:space="preserve">1.1. </w:t>
      </w:r>
      <w:r>
        <w:rPr>
          <w:rFonts w:eastAsia="Times New Roman" w:cs="Times New Roman"/>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t xml:space="preserve">Aquisição de uma cafeteira elétrica industrial 6L, conforme especificações para atender as necessidades da Escola de Governo e Administração Pública </w:t>
      </w:r>
      <w:r>
        <w:rPr>
          <w:rFonts w:cs="Calibri" w:cstheme="minorHAnsi"/>
          <w:iCs/>
          <w:color w:val="111111"/>
          <w:sz w:val="24"/>
          <w:szCs w:val="24"/>
        </w:rPr>
        <w:t xml:space="preserve">. </w:t>
      </w:r>
    </w:p>
    <w:p>
      <w:pPr>
        <w:pStyle w:val="Corpo"/>
        <w:ind w:hanging="0" w:right="-15"/>
        <w:jc w:val="both"/>
        <w:rPr>
          <w:rFonts w:ascii="Times New Roman" w:hAnsi="Times New Roman" w:cs="Calibri" w:cstheme="minorHAnsi"/>
          <w:iCs/>
          <w:sz w:val="24"/>
          <w:szCs w:val="24"/>
        </w:rPr>
      </w:pPr>
      <w:r>
        <w:rPr>
          <w:rFonts w:cs="Calibri" w:cstheme="minorHAnsi"/>
          <w:iCs/>
          <w:sz w:val="24"/>
          <w:szCs w:val="24"/>
        </w:rPr>
      </w:r>
      <w:bookmarkStart w:id="0" w:name="_Hlk130714822"/>
      <w:bookmarkStart w:id="1" w:name="_Hlk130714822"/>
      <w:bookmarkEnd w:id="1"/>
    </w:p>
    <w:p>
      <w:pPr>
        <w:pStyle w:val="Corpo"/>
        <w:ind w:hanging="0" w:right="-15"/>
        <w:jc w:val="both"/>
        <w:rPr>
          <w:rFonts w:ascii="Times New Roman" w:hAnsi="Times New Roman"/>
          <w:sz w:val="24"/>
          <w:szCs w:val="24"/>
        </w:rPr>
      </w:pPr>
      <w:r>
        <w:rPr>
          <w:rFonts w:cs="Calibri" w:cstheme="minorHAnsi"/>
          <w:iCs/>
          <w:color w:val="auto"/>
          <w:sz w:val="24"/>
          <w:szCs w:val="24"/>
          <w:lang w:eastAsia="pt-BR"/>
        </w:rPr>
        <w:t>1.</w:t>
      </w:r>
      <w:r>
        <w:rPr>
          <w:rFonts w:cs="Calibri" w:cstheme="minorHAnsi"/>
          <w:iCs/>
          <w:color w:val="111111"/>
          <w:sz w:val="24"/>
          <w:szCs w:val="24"/>
          <w:lang w:eastAsia="pt-BR"/>
        </w:rPr>
        <w:t>2. Natureza do objeto: Natureza Comum.</w:t>
      </w:r>
    </w:p>
    <w:p>
      <w:pPr>
        <w:pStyle w:val="Normal"/>
        <w:jc w:val="center"/>
        <w:rPr>
          <w:rFonts w:ascii="Times New Roman" w:hAnsi="Times New Roman" w:cs="Calibri" w:cstheme="minorHAnsi"/>
          <w:iCs/>
          <w:color w:val="111111"/>
          <w:sz w:val="24"/>
          <w:szCs w:val="24"/>
          <w:lang w:eastAsia="pt-BR"/>
        </w:rPr>
      </w:pPr>
      <w:r>
        <w:rPr>
          <w:rFonts w:cs="Calibri" w:cstheme="minorHAnsi" w:ascii="Times New Roman" w:hAnsi="Times New Roman"/>
          <w:iCs/>
          <w:color w:val="111111"/>
          <w:sz w:val="24"/>
          <w:szCs w:val="24"/>
          <w:lang w:eastAsia="pt-BR"/>
        </w:rPr>
      </w:r>
    </w:p>
    <w:p>
      <w:pPr>
        <w:pStyle w:val="Corpo"/>
        <w:tabs>
          <w:tab w:val="clear" w:pos="709"/>
          <w:tab w:val="left" w:pos="0" w:leader="none"/>
        </w:tabs>
        <w:spacing w:lineRule="auto" w:line="240" w:before="0" w:after="0"/>
        <w:jc w:val="both"/>
        <w:rPr>
          <w:rFonts w:ascii="Times New Roman" w:hAnsi="Times New Roman"/>
          <w:sz w:val="24"/>
          <w:szCs w:val="24"/>
        </w:rPr>
      </w:pPr>
      <w:r>
        <w:rPr>
          <w:rFonts w:cs="Calibri" w:cstheme="minorHAnsi"/>
          <w:bCs/>
          <w:color w:val="111111"/>
          <w:sz w:val="24"/>
          <w:szCs w:val="24"/>
        </w:rPr>
        <w:t>1.3. Critério de julgamento:</w:t>
      </w:r>
      <w:r>
        <w:rPr>
          <w:rFonts w:cs="Calibri" w:cstheme="minorHAnsi"/>
          <w:b/>
          <w:color w:val="111111"/>
          <w:sz w:val="24"/>
          <w:szCs w:val="24"/>
        </w:rPr>
        <w:t xml:space="preserve"> </w:t>
      </w:r>
      <w:bookmarkStart w:id="2" w:name="_Hlk106653510"/>
      <w:r>
        <w:rPr>
          <w:rFonts w:cs="Calibri" w:cstheme="minorHAnsi"/>
          <w:color w:val="111111"/>
          <w:sz w:val="24"/>
          <w:szCs w:val="24"/>
        </w:rPr>
        <w:t>Menor preço</w:t>
      </w:r>
      <w:bookmarkEnd w:id="2"/>
      <w:r>
        <w:rPr>
          <w:rFonts w:cs="Calibri" w:cstheme="minorHAnsi"/>
          <w:color w:val="111111"/>
          <w:sz w:val="24"/>
          <w:szCs w:val="24"/>
        </w:rPr>
        <w:t>.</w:t>
      </w:r>
    </w:p>
    <w:p>
      <w:pPr>
        <w:pStyle w:val="BodyText"/>
        <w:spacing w:lineRule="auto" w:line="240" w:before="0" w:after="0"/>
        <w:rPr>
          <w:rFonts w:ascii="Times New Roman" w:hAnsi="Times New Roman"/>
          <w:sz w:val="24"/>
          <w:szCs w:val="24"/>
        </w:rPr>
      </w:pPr>
      <w:r>
        <w:rPr>
          <w:rFonts w:ascii="Times New Roman" w:hAnsi="Times New Roman"/>
          <w:sz w:val="24"/>
          <w:szCs w:val="24"/>
        </w:rPr>
      </w:r>
    </w:p>
    <w:p>
      <w:pPr>
        <w:pStyle w:val="Default"/>
        <w:spacing w:lineRule="auto" w:line="240" w:before="0" w:after="0"/>
        <w:rPr>
          <w:rFonts w:ascii="Times New Roman" w:hAnsi="Times New Roman"/>
          <w:sz w:val="24"/>
          <w:szCs w:val="24"/>
        </w:rPr>
      </w:pPr>
      <w:r>
        <w:rPr>
          <w:rFonts w:cs="Calibri" w:ascii="Times New Roman" w:hAnsi="Times New Roman" w:cstheme="minorHAnsi"/>
          <w:b/>
          <w:bCs/>
          <w:iCs/>
          <w:color w:val="auto"/>
          <w:sz w:val="24"/>
          <w:szCs w:val="24"/>
        </w:rPr>
        <w:t>2. JUSTIFICATIVA E FUNDAMENTO DA CONTRATAÇÃO</w:t>
      </w:r>
    </w:p>
    <w:p>
      <w:pPr>
        <w:pStyle w:val="BodyText"/>
        <w:rPr>
          <w:rFonts w:ascii="Times New Roman" w:hAnsi="Times New Roman" w:cs="Calibri" w:cstheme="minorHAnsi"/>
          <w:b/>
          <w:bCs/>
          <w:iCs/>
          <w:color w:val="auto"/>
          <w:sz w:val="24"/>
          <w:szCs w:val="24"/>
        </w:rPr>
      </w:pPr>
      <w:r>
        <w:rPr>
          <w:rFonts w:cs="Calibri" w:cstheme="minorHAnsi" w:ascii="Times New Roman" w:hAnsi="Times New Roman"/>
          <w:b/>
          <w:bCs/>
          <w:iCs/>
          <w:color w:val="auto"/>
          <w:sz w:val="24"/>
          <w:szCs w:val="24"/>
        </w:rPr>
      </w:r>
    </w:p>
    <w:p>
      <w:pPr>
        <w:pStyle w:val="BodyText"/>
        <w:jc w:val="both"/>
        <w:rPr/>
      </w:pPr>
      <w:r>
        <w:rPr>
          <w:rFonts w:cs="Calibri" w:ascii="Times New Roman" w:hAnsi="Times New Roman" w:cstheme="minorHAnsi"/>
          <w:b w:val="false"/>
          <w:bCs w:val="false"/>
          <w:iCs/>
          <w:color w:val="auto"/>
          <w:sz w:val="24"/>
          <w:szCs w:val="24"/>
        </w:rPr>
        <w:t>A aquisição de uma nova cafeteira para a Escola de Governo da SEPLOG se faz necessária para atender à demanda dos cursos, oficinas, reuniões e demais atividades formativas promovidas regularmente pelo setor.</w:t>
      </w:r>
    </w:p>
    <w:p>
      <w:pPr>
        <w:pStyle w:val="BodyText"/>
        <w:ind w:hanging="0" w:left="0" w:right="0"/>
        <w:jc w:val="both"/>
        <w:rPr/>
      </w:pPr>
      <w:r>
        <w:rPr>
          <w:rFonts w:ascii="Times New Roman" w:hAnsi="Times New Roman"/>
        </w:rPr>
        <w:t>Durante essas ações, é prática recorrente oferecer café como forma de acolher os participantes, promover um ambiente mais receptivo e contribuir para o bem-estar dos servidores, o que impacta positivamente no aproveitamento das formações.</w:t>
      </w:r>
    </w:p>
    <w:p>
      <w:pPr>
        <w:pStyle w:val="BodyText"/>
        <w:ind w:hanging="0" w:left="0" w:right="0"/>
        <w:jc w:val="both"/>
        <w:rPr/>
      </w:pPr>
      <w:r>
        <w:rPr>
          <w:rFonts w:ascii="Times New Roman" w:hAnsi="Times New Roman"/>
        </w:rPr>
        <w:t>A cafeteira anteriormente utilizada encontra-se inoperante, sem possibilidade de conserto, o que compromete a qualidade da recepção e a rotina de funcionamento da Escola de Governo.</w:t>
      </w:r>
    </w:p>
    <w:p>
      <w:pPr>
        <w:pStyle w:val="BodyText"/>
        <w:ind w:hanging="0" w:left="0" w:right="0"/>
        <w:jc w:val="both"/>
        <w:rPr/>
      </w:pPr>
      <w:r>
        <w:rPr>
          <w:rFonts w:ascii="Times New Roman" w:hAnsi="Times New Roman"/>
        </w:rPr>
        <w:t>Diante disso, a compra de uma nova cafeteira é fundamental para garantir o bom andamento das atividades institucionais e manter o padrão de qualidade no atendimento aos servidores e convidados.</w:t>
      </w:r>
    </w:p>
    <w:p>
      <w:pPr>
        <w:pStyle w:val="Default"/>
        <w:rPr>
          <w:rFonts w:ascii="Times New Roman" w:hAnsi="Times New Roman" w:cs="Calibri" w:cstheme="minorHAnsi"/>
          <w:b/>
          <w:bCs/>
          <w:iCs/>
          <w:color w:val="auto"/>
          <w:sz w:val="24"/>
          <w:szCs w:val="24"/>
        </w:rPr>
      </w:pPr>
      <w:r>
        <w:rPr>
          <w:rFonts w:cs="Calibri" w:cstheme="minorHAnsi" w:ascii="Times New Roman" w:hAnsi="Times New Roman"/>
          <w:b/>
          <w:bCs/>
          <w:iCs/>
          <w:color w:val="auto"/>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b/>
          <w:bCs/>
          <w:iCs/>
          <w:sz w:val="24"/>
          <w:szCs w:val="24"/>
          <w:lang w:eastAsia="pt-BR"/>
        </w:rPr>
        <w:t>3. MODELO DE ELABORAÇÃO DA PROPOSTA DE PREÇOS</w:t>
      </w:r>
    </w:p>
    <w:p>
      <w:pPr>
        <w:pStyle w:val="Normal"/>
        <w:suppressAutoHyphens w:val="false"/>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Normal"/>
        <w:jc w:val="both"/>
        <w:rPr>
          <w:rFonts w:ascii="Times New Roman" w:hAnsi="Times New Roman"/>
          <w:sz w:val="24"/>
          <w:szCs w:val="24"/>
        </w:rPr>
      </w:pPr>
      <w:r>
        <w:rPr>
          <w:rFonts w:ascii="Times New Roman" w:hAnsi="Times New Roman"/>
          <w:b w:val="false"/>
          <w:i w:val="false"/>
          <w:caps w:val="false"/>
          <w:smallCaps w:val="false"/>
          <w:strike w:val="false"/>
          <w:dstrike w:val="false"/>
          <w:color w:val="111111"/>
          <w:sz w:val="24"/>
          <w:szCs w:val="24"/>
          <w:u w:val="none"/>
          <w:effect w:val="none"/>
          <w:shd w:fill="auto" w:val="clear"/>
        </w:rPr>
        <w:t xml:space="preserve">3.1. </w:t>
      </w:r>
      <w:r>
        <w:rPr>
          <w:rFonts w:cs="Times New Roman" w:ascii="Times New Roman" w:hAnsi="Times New Roman"/>
          <w:b w:val="false"/>
          <w:bCs w:val="false"/>
          <w:i w:val="false"/>
          <w:caps w:val="false"/>
          <w:smallCaps w:val="false"/>
          <w:strike w:val="false"/>
          <w:dstrike w:val="false"/>
          <w:color w:val="1C1C1C"/>
          <w:spacing w:val="8"/>
          <w:sz w:val="24"/>
          <w:szCs w:val="24"/>
          <w:u w:val="none"/>
          <w:effect w:val="none"/>
          <w:shd w:fill="auto" w:val="clear"/>
          <w:lang w:val="pt-BR"/>
        </w:rPr>
        <w:t>A proposta comercial deve ser elaborada em conformidade com este Termo de Referência e as informações contidas na Tabela 1. O Fornecedor deverá ofertar preço global, incluindo todas as despesas em geral, como taxas, impostos, custos diretos e indiretos, e todos os demais custos envolvidos dessa aquisição.</w:t>
      </w:r>
    </w:p>
    <w:p>
      <w:pPr>
        <w:pStyle w:val="Normal"/>
        <w:suppressAutoHyphens w:val="false"/>
        <w:jc w:val="both"/>
        <w:rPr>
          <w:rFonts w:ascii="Times New Roman" w:hAnsi="Times New Roman" w:cs="Calibri" w:cstheme="minorHAnsi"/>
          <w:b/>
          <w:bCs/>
          <w:iCs/>
          <w:sz w:val="24"/>
          <w:szCs w:val="24"/>
          <w:lang w:eastAsia="pt-BR"/>
        </w:rPr>
      </w:pPr>
      <w:r>
        <w:rPr>
          <w:rFonts w:cs="Calibri" w:cstheme="minorHAnsi" w:ascii="Times New Roman" w:hAnsi="Times New Roman"/>
          <w:b/>
          <w:bCs/>
          <w:iCs/>
          <w:sz w:val="24"/>
          <w:szCs w:val="24"/>
          <w:lang w:eastAsia="pt-BR"/>
        </w:rPr>
      </w:r>
    </w:p>
    <w:tbl>
      <w:tblPr>
        <w:tblW w:w="14612" w:type="dxa"/>
        <w:jc w:val="left"/>
        <w:tblInd w:w="-960" w:type="dxa"/>
        <w:tblLayout w:type="fixed"/>
        <w:tblCellMar>
          <w:top w:w="0" w:type="dxa"/>
          <w:left w:w="108" w:type="dxa"/>
          <w:bottom w:w="0" w:type="dxa"/>
          <w:right w:w="108" w:type="dxa"/>
        </w:tblCellMar>
      </w:tblPr>
      <w:tblGrid>
        <w:gridCol w:w="733"/>
        <w:gridCol w:w="2266"/>
        <w:gridCol w:w="1583"/>
        <w:gridCol w:w="1534"/>
        <w:gridCol w:w="1634"/>
        <w:gridCol w:w="6861"/>
      </w:tblGrid>
      <w:tr>
        <w:trPr/>
        <w:tc>
          <w:tcPr>
            <w:tcW w:w="733" w:type="dxa"/>
            <w:tcBorders>
              <w:top w:val="single" w:sz="4" w:space="0" w:color="000000"/>
              <w:left w:val="single" w:sz="4" w:space="0" w:color="000000"/>
              <w:bottom w:val="single" w:sz="4" w:space="0" w:color="000000"/>
              <w:right w:val="single" w:sz="4" w:space="0" w:color="000000"/>
            </w:tcBorders>
            <w:shd w:fill="DDDDDD" w:val="clear"/>
            <w:vAlign w:val="center"/>
          </w:tcPr>
          <w:p>
            <w:pPr>
              <w:pStyle w:val="Normal"/>
              <w:widowControl w:val="false"/>
              <w:spacing w:before="57" w:after="57"/>
              <w:jc w:val="center"/>
              <w:rPr>
                <w:rFonts w:ascii="Times New Roman" w:hAnsi="Times New Roman"/>
                <w:sz w:val="24"/>
                <w:szCs w:val="24"/>
              </w:rPr>
            </w:pPr>
            <w:r>
              <w:rPr>
                <w:rFonts w:ascii="Times New Roman" w:hAnsi="Times New Roman"/>
                <w:b/>
                <w:bCs/>
                <w:sz w:val="24"/>
                <w:szCs w:val="24"/>
              </w:rPr>
              <w:t>ITEM</w:t>
            </w:r>
          </w:p>
        </w:tc>
        <w:tc>
          <w:tcPr>
            <w:tcW w:w="2266" w:type="dxa"/>
            <w:tcBorders>
              <w:top w:val="single" w:sz="4" w:space="0" w:color="000000"/>
              <w:left w:val="single" w:sz="4" w:space="0" w:color="000000"/>
              <w:bottom w:val="single" w:sz="4" w:space="0" w:color="000000"/>
              <w:right w:val="single" w:sz="4" w:space="0" w:color="000000"/>
            </w:tcBorders>
            <w:shd w:fill="DDDDDD" w:val="clear"/>
            <w:vAlign w:val="center"/>
          </w:tcPr>
          <w:p>
            <w:pPr>
              <w:pStyle w:val="Normal"/>
              <w:widowControl w:val="false"/>
              <w:spacing w:before="57" w:after="57"/>
              <w:jc w:val="center"/>
              <w:rPr/>
            </w:pPr>
            <w:r>
              <w:rPr>
                <w:rFonts w:ascii="Times New Roman" w:hAnsi="Times New Roman"/>
                <w:b/>
                <w:bCs/>
                <w:sz w:val="24"/>
                <w:szCs w:val="24"/>
              </w:rPr>
              <w:t>ESPECIFICAÇÃO</w:t>
            </w:r>
          </w:p>
        </w:tc>
        <w:tc>
          <w:tcPr>
            <w:tcW w:w="1583" w:type="dxa"/>
            <w:tcBorders>
              <w:top w:val="single" w:sz="4" w:space="0" w:color="000000"/>
              <w:left w:val="single" w:sz="4" w:space="0" w:color="000000"/>
              <w:bottom w:val="single" w:sz="4" w:space="0" w:color="000000"/>
            </w:tcBorders>
            <w:shd w:fill="DDDDDD" w:val="clear"/>
            <w:vAlign w:val="center"/>
          </w:tcPr>
          <w:p>
            <w:pPr>
              <w:pStyle w:val="Normal"/>
              <w:widowControl w:val="false"/>
              <w:spacing w:before="57" w:after="57"/>
              <w:jc w:val="center"/>
              <w:rPr/>
            </w:pPr>
            <w:r>
              <w:rPr>
                <w:rFonts w:ascii="Times New Roman" w:hAnsi="Times New Roman"/>
                <w:b/>
                <w:bCs/>
                <w:sz w:val="24"/>
                <w:szCs w:val="24"/>
              </w:rPr>
              <w:t>CÓDIGO DO ITEM</w:t>
            </w:r>
          </w:p>
        </w:tc>
        <w:tc>
          <w:tcPr>
            <w:tcW w:w="1534" w:type="dxa"/>
            <w:tcBorders>
              <w:top w:val="single" w:sz="4" w:space="0" w:color="000000"/>
              <w:left w:val="single" w:sz="4" w:space="0" w:color="000000"/>
              <w:bottom w:val="single" w:sz="4" w:space="0" w:color="000000"/>
            </w:tcBorders>
            <w:shd w:fill="DDDDDD" w:val="clear"/>
            <w:vAlign w:val="center"/>
          </w:tcPr>
          <w:p>
            <w:pPr>
              <w:pStyle w:val="Normal"/>
              <w:widowControl w:val="false"/>
              <w:spacing w:before="57" w:after="57"/>
              <w:jc w:val="center"/>
              <w:rPr/>
            </w:pPr>
            <w:r>
              <w:rPr>
                <w:rFonts w:ascii="Times New Roman" w:hAnsi="Times New Roman"/>
                <w:b/>
                <w:bCs/>
                <w:sz w:val="24"/>
                <w:szCs w:val="24"/>
              </w:rPr>
              <w:t>QUANTIDADE</w:t>
            </w:r>
          </w:p>
        </w:tc>
        <w:tc>
          <w:tcPr>
            <w:tcW w:w="1634" w:type="dxa"/>
            <w:tcBorders>
              <w:top w:val="single" w:sz="4" w:space="0" w:color="000000"/>
              <w:left w:val="single" w:sz="4" w:space="0" w:color="000000"/>
              <w:bottom w:val="single" w:sz="4" w:space="0" w:color="000000"/>
            </w:tcBorders>
            <w:shd w:fill="DDDDDD" w:val="clear"/>
            <w:vAlign w:val="center"/>
          </w:tcPr>
          <w:p>
            <w:pPr>
              <w:pStyle w:val="Normal"/>
              <w:widowControl w:val="false"/>
              <w:spacing w:before="57" w:after="57"/>
              <w:jc w:val="center"/>
              <w:rPr/>
            </w:pPr>
            <w:r>
              <w:rPr>
                <w:rFonts w:ascii="Times New Roman" w:hAnsi="Times New Roman"/>
                <w:b/>
                <w:bCs/>
                <w:sz w:val="24"/>
                <w:szCs w:val="24"/>
              </w:rPr>
              <w:t>VALOR</w:t>
            </w:r>
          </w:p>
          <w:p>
            <w:pPr>
              <w:pStyle w:val="Normal"/>
              <w:widowControl w:val="false"/>
              <w:spacing w:before="57" w:after="57"/>
              <w:jc w:val="center"/>
              <w:rPr/>
            </w:pPr>
            <w:r>
              <w:rPr>
                <w:rFonts w:ascii="Times New Roman" w:hAnsi="Times New Roman"/>
                <w:b/>
                <w:bCs/>
                <w:sz w:val="24"/>
                <w:szCs w:val="24"/>
              </w:rPr>
              <w:t>UNITÁRIO ESTIMADO R$</w:t>
            </w:r>
          </w:p>
        </w:tc>
        <w:tc>
          <w:tcPr>
            <w:tcW w:w="6861" w:type="dxa"/>
            <w:tcBorders>
              <w:top w:val="single" w:sz="4" w:space="0" w:color="000000"/>
              <w:left w:val="single" w:sz="4" w:space="0" w:color="000000"/>
              <w:bottom w:val="single" w:sz="4" w:space="0" w:color="000000"/>
              <w:right w:val="single" w:sz="4" w:space="0" w:color="000000"/>
            </w:tcBorders>
            <w:shd w:fill="DDDDDD" w:val="clear"/>
            <w:vAlign w:val="center"/>
          </w:tcPr>
          <w:p>
            <w:pPr>
              <w:pStyle w:val="Normal"/>
              <w:widowControl w:val="false"/>
              <w:suppressAutoHyphens w:val="true"/>
              <w:bidi w:val="0"/>
              <w:spacing w:before="57" w:after="57"/>
              <w:ind w:hanging="0" w:left="113" w:right="2551"/>
              <w:jc w:val="center"/>
              <w:rPr/>
            </w:pPr>
            <w:r>
              <w:rPr>
                <w:rFonts w:ascii="Times New Roman" w:hAnsi="Times New Roman"/>
                <w:b/>
                <w:bCs/>
                <w:sz w:val="24"/>
                <w:szCs w:val="24"/>
              </w:rPr>
              <w:t>VALOR TOTAL</w:t>
            </w:r>
          </w:p>
          <w:p>
            <w:pPr>
              <w:pStyle w:val="Normal"/>
              <w:widowControl w:val="false"/>
              <w:suppressAutoHyphens w:val="true"/>
              <w:bidi w:val="0"/>
              <w:spacing w:before="57" w:after="57"/>
              <w:ind w:hanging="0" w:left="113" w:right="2551"/>
              <w:jc w:val="center"/>
              <w:rPr/>
            </w:pPr>
            <w:r>
              <w:rPr>
                <w:rFonts w:ascii="Times New Roman" w:hAnsi="Times New Roman"/>
                <w:b/>
                <w:bCs/>
                <w:sz w:val="24"/>
                <w:szCs w:val="24"/>
              </w:rPr>
              <w:t>ESTIMADO</w:t>
            </w:r>
          </w:p>
          <w:p>
            <w:pPr>
              <w:pStyle w:val="Normal"/>
              <w:widowControl w:val="false"/>
              <w:suppressAutoHyphens w:val="true"/>
              <w:bidi w:val="0"/>
              <w:spacing w:before="57" w:after="57"/>
              <w:ind w:hanging="0" w:left="113" w:right="2551"/>
              <w:jc w:val="center"/>
              <w:rPr/>
            </w:pPr>
            <w:r>
              <w:rPr>
                <w:rFonts w:ascii="Times New Roman" w:hAnsi="Times New Roman"/>
                <w:b/>
                <w:bCs/>
                <w:sz w:val="24"/>
                <w:szCs w:val="24"/>
              </w:rPr>
              <w:t>R$</w:t>
            </w:r>
          </w:p>
        </w:tc>
      </w:tr>
      <w:tr>
        <w:trPr>
          <w:trHeight w:val="169" w:hRule="atLeast"/>
        </w:trPr>
        <w:tc>
          <w:tcPr>
            <w:tcW w:w="7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before="57" w:after="57"/>
              <w:jc w:val="center"/>
              <w:rPr/>
            </w:pPr>
            <w:bookmarkStart w:id="3" w:name="__DdeLink__959_2298422523"/>
            <w:r>
              <w:rPr>
                <w:rFonts w:ascii="Times New Roman" w:hAnsi="Times New Roman"/>
                <w:sz w:val="24"/>
                <w:szCs w:val="24"/>
              </w:rPr>
              <w:t>0</w:t>
            </w:r>
            <w:bookmarkEnd w:id="3"/>
            <w:r>
              <w:rPr>
                <w:rFonts w:ascii="Times New Roman" w:hAnsi="Times New Roman"/>
                <w:sz w:val="24"/>
                <w:szCs w:val="24"/>
              </w:rPr>
              <w:t>1</w:t>
            </w:r>
          </w:p>
        </w:tc>
        <w:tc>
          <w:tcPr>
            <w:tcW w:w="2266" w:type="dxa"/>
            <w:tcBorders>
              <w:top w:val="single" w:sz="4" w:space="0" w:color="000000"/>
              <w:left w:val="single" w:sz="4" w:space="0" w:color="000000"/>
              <w:bottom w:val="single" w:sz="4" w:space="0" w:color="000000"/>
              <w:right w:val="single" w:sz="4" w:space="0" w:color="000000"/>
            </w:tcBorders>
            <w:shd w:fill="auto" w:val="clear"/>
            <w:vAlign w:val="center"/>
          </w:tcPr>
          <w:p>
            <w:pPr>
              <w:pStyle w:val="LO-normal"/>
              <w:widowControl w:val="false"/>
              <w:spacing w:before="0" w:after="0"/>
              <w:jc w:val="center"/>
              <w:rPr/>
            </w:pPr>
            <w:r>
              <w:rPr>
                <w:rStyle w:val="Markedcontent"/>
                <w:rFonts w:eastAsia="Calibri" w:cs="Arial" w:ascii="Times New Roman" w:hAnsi="Times New Roman"/>
                <w:b w:val="false"/>
                <w:bCs w:val="false"/>
                <w:i w:val="false"/>
                <w:iCs w:val="false"/>
                <w:caps w:val="false"/>
                <w:smallCaps w:val="false"/>
                <w:strike w:val="false"/>
                <w:dstrike w:val="false"/>
                <w:color w:val="111111"/>
                <w:spacing w:val="0"/>
                <w:kern w:val="0"/>
                <w:sz w:val="24"/>
                <w:szCs w:val="24"/>
                <w:u w:val="none"/>
                <w:shd w:fill="auto" w:val="clear"/>
                <w:lang w:val="pt-BR" w:eastAsia="zh-CN" w:bidi="hi-IN"/>
              </w:rPr>
              <w:t>Cafeteira Elétrica Industrial Tradicional 6 litros</w:t>
            </w:r>
          </w:p>
        </w:tc>
        <w:tc>
          <w:tcPr>
            <w:tcW w:w="1583" w:type="dxa"/>
            <w:tcBorders>
              <w:top w:val="single" w:sz="4" w:space="0" w:color="000000"/>
              <w:left w:val="single" w:sz="4" w:space="0" w:color="000000"/>
              <w:bottom w:val="single" w:sz="4" w:space="0" w:color="000000"/>
            </w:tcBorders>
            <w:shd w:fill="auto" w:val="clear"/>
            <w:vAlign w:val="center"/>
          </w:tcPr>
          <w:p>
            <w:pPr>
              <w:pStyle w:val="Normal"/>
              <w:widowControl w:val="false"/>
              <w:spacing w:before="57" w:after="57"/>
              <w:jc w:val="center"/>
              <w:rPr>
                <w:color w:val="000000"/>
              </w:rPr>
            </w:pPr>
            <w:r>
              <w:rPr>
                <w:rFonts w:ascii="Times New Roman" w:hAnsi="Times New Roman"/>
                <w:b w:val="false"/>
                <w:i w:val="false"/>
                <w:caps w:val="false"/>
                <w:smallCaps w:val="false"/>
                <w:color w:val="000000"/>
                <w:spacing w:val="0"/>
                <w:sz w:val="24"/>
                <w:szCs w:val="24"/>
              </w:rPr>
              <w:t>59814</w:t>
            </w:r>
          </w:p>
        </w:tc>
        <w:tc>
          <w:tcPr>
            <w:tcW w:w="1534" w:type="dxa"/>
            <w:tcBorders>
              <w:top w:val="single" w:sz="4" w:space="0" w:color="000000"/>
              <w:left w:val="single" w:sz="4" w:space="0" w:color="000000"/>
              <w:bottom w:val="single" w:sz="4" w:space="0" w:color="000000"/>
            </w:tcBorders>
            <w:shd w:fill="auto" w:val="clear"/>
            <w:vAlign w:val="center"/>
          </w:tcPr>
          <w:p>
            <w:pPr>
              <w:pStyle w:val="Normal"/>
              <w:widowControl w:val="false"/>
              <w:spacing w:before="57" w:after="57"/>
              <w:jc w:val="center"/>
              <w:rPr/>
            </w:pPr>
            <w:r>
              <w:rPr>
                <w:rFonts w:eastAsia="Times New Roman" w:cs="Times New Roman" w:ascii="Times New Roman" w:hAnsi="Times New Roman"/>
                <w:color w:val="000000"/>
                <w:kern w:val="0"/>
                <w:sz w:val="24"/>
                <w:szCs w:val="24"/>
                <w:lang w:val="pt-PT" w:eastAsia="pt-PT" w:bidi="pt-PT"/>
              </w:rPr>
              <w:t>1</w:t>
            </w:r>
          </w:p>
        </w:tc>
        <w:tc>
          <w:tcPr>
            <w:tcW w:w="1634" w:type="dxa"/>
            <w:tcBorders>
              <w:top w:val="single" w:sz="4" w:space="0" w:color="000000"/>
              <w:left w:val="single" w:sz="4" w:space="0" w:color="000000"/>
              <w:bottom w:val="single" w:sz="4" w:space="0" w:color="000000"/>
            </w:tcBorders>
            <w:shd w:fill="auto" w:val="clear"/>
            <w:vAlign w:val="center"/>
          </w:tcPr>
          <w:p>
            <w:pPr>
              <w:pStyle w:val="Normal"/>
              <w:widowControl w:val="false"/>
              <w:spacing w:before="57" w:after="57"/>
              <w:jc w:val="center"/>
              <w:rPr>
                <w:rFonts w:ascii="Times New Roman" w:hAnsi="Times New Roman" w:eastAsia="Times New Roman" w:cs="Times New Roman"/>
                <w:kern w:val="0"/>
                <w:sz w:val="24"/>
                <w:szCs w:val="24"/>
                <w:lang w:val="pt-PT" w:eastAsia="pt-PT" w:bidi="pt-PT"/>
              </w:rPr>
            </w:pPr>
            <w:r>
              <w:rPr>
                <w:rFonts w:eastAsia="Times New Roman" w:cs="Times New Roman" w:ascii="Times New Roman" w:hAnsi="Times New Roman"/>
                <w:color w:val="000000"/>
                <w:kern w:val="0"/>
                <w:sz w:val="24"/>
                <w:szCs w:val="24"/>
                <w:lang w:val="pt-PT" w:eastAsia="pt-PT" w:bidi="pt-PT"/>
              </w:rPr>
              <w:t xml:space="preserve">R$ </w:t>
            </w:r>
            <w:r>
              <w:rPr>
                <w:rFonts w:eastAsia="Times New Roman" w:cs="Times New Roman" w:ascii="Times New Roman" w:hAnsi="Times New Roman"/>
                <w:b w:val="false"/>
                <w:bCs w:val="false"/>
                <w:color w:val="000000"/>
                <w:kern w:val="0"/>
                <w:sz w:val="24"/>
                <w:szCs w:val="24"/>
                <w:lang w:val="pt-PT" w:eastAsia="pt-PT" w:bidi="pt-PT"/>
              </w:rPr>
              <w:t>1.164,41</w:t>
            </w:r>
          </w:p>
        </w:tc>
        <w:tc>
          <w:tcPr>
            <w:tcW w:w="68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before="57" w:after="57"/>
              <w:ind w:hanging="0" w:left="227" w:right="3402"/>
              <w:jc w:val="center"/>
              <w:rPr>
                <w:rFonts w:ascii="Times New Roman" w:hAnsi="Times New Roman" w:eastAsia="Times New Roman" w:cs="Times New Roman"/>
                <w:kern w:val="0"/>
                <w:sz w:val="24"/>
                <w:szCs w:val="24"/>
                <w:lang w:val="pt-PT" w:eastAsia="pt-PT" w:bidi="pt-PT"/>
              </w:rPr>
            </w:pPr>
            <w:r>
              <w:rPr>
                <w:rFonts w:eastAsia="Times New Roman" w:cs="Times New Roman" w:ascii="Times New Roman" w:hAnsi="Times New Roman"/>
                <w:color w:val="000000"/>
                <w:kern w:val="0"/>
                <w:sz w:val="24"/>
                <w:szCs w:val="24"/>
                <w:lang w:val="pt-PT" w:eastAsia="pt-PT" w:bidi="pt-PT"/>
              </w:rPr>
              <w:t xml:space="preserve">R$ </w:t>
            </w:r>
            <w:r>
              <w:rPr>
                <w:rFonts w:eastAsia="Times New Roman" w:cs="Times New Roman" w:ascii="Times New Roman" w:hAnsi="Times New Roman"/>
                <w:b w:val="false"/>
                <w:bCs w:val="false"/>
                <w:color w:val="000000"/>
                <w:kern w:val="0"/>
                <w:sz w:val="24"/>
                <w:szCs w:val="24"/>
                <w:lang w:val="pt-PT" w:eastAsia="pt-PT" w:bidi="pt-PT"/>
              </w:rPr>
              <w:t>1.164,41</w:t>
            </w:r>
          </w:p>
        </w:tc>
      </w:tr>
      <w:tr>
        <w:trPr>
          <w:trHeight w:val="355" w:hRule="atLeast"/>
        </w:trPr>
        <w:tc>
          <w:tcPr>
            <w:tcW w:w="14611" w:type="dxa"/>
            <w:gridSpan w:val="6"/>
            <w:tcBorders>
              <w:left w:val="single" w:sz="4" w:space="0" w:color="000000"/>
              <w:bottom w:val="single" w:sz="4" w:space="0" w:color="000000"/>
              <w:right w:val="single" w:sz="4" w:space="0" w:color="000000"/>
            </w:tcBorders>
            <w:shd w:fill="auto" w:val="clear"/>
            <w:vAlign w:val="center"/>
          </w:tcPr>
          <w:p>
            <w:pPr>
              <w:pStyle w:val="Normal"/>
              <w:widowControl w:val="false"/>
              <w:spacing w:before="57" w:after="57"/>
              <w:jc w:val="left"/>
              <w:rPr>
                <w:rFonts w:ascii="Times New Roman" w:hAnsi="Times New Roman"/>
                <w:sz w:val="24"/>
                <w:szCs w:val="24"/>
              </w:rPr>
            </w:pPr>
            <w:r>
              <w:rPr>
                <w:rFonts w:ascii="Times New Roman" w:hAnsi="Times New Roman"/>
                <w:sz w:val="24"/>
                <w:szCs w:val="24"/>
              </w:rPr>
            </w:r>
          </w:p>
        </w:tc>
      </w:tr>
    </w:tbl>
    <w:p>
      <w:pPr>
        <w:pStyle w:val="Normal"/>
        <w:spacing w:lineRule="auto" w:line="240" w:before="0" w:after="0"/>
        <w:jc w:val="both"/>
        <w:rPr>
          <w:rFonts w:eastAsia="Times New Roman" w:cs="Times New Roman"/>
          <w:b/>
          <w:bCs/>
          <w:i w:val="false"/>
          <w:i w:val="false"/>
          <w:iCs w:val="false"/>
          <w:color w:val="111111"/>
          <w:kern w:val="0"/>
          <w:lang w:val="pt-BR" w:eastAsia="en-US" w:bidi="hi-IN"/>
        </w:rPr>
      </w:pPr>
      <w:r>
        <w:rPr>
          <w:rFonts w:eastAsia="Times New Roman" w:cs="Times New Roman"/>
          <w:b/>
          <w:bCs/>
          <w:i w:val="false"/>
          <w:iCs w:val="false"/>
          <w:color w:val="111111"/>
          <w:kern w:val="0"/>
          <w:lang w:val="pt-BR" w:eastAsia="en-US" w:bidi="hi-IN"/>
        </w:rPr>
      </w:r>
    </w:p>
    <w:p>
      <w:pPr>
        <w:pStyle w:val="Normal"/>
        <w:jc w:val="both"/>
        <w:rPr>
          <w:rFonts w:ascii="Times New Roman" w:hAnsi="Times New Roman"/>
          <w:sz w:val="24"/>
          <w:szCs w:val="24"/>
        </w:rPr>
      </w:pPr>
      <w:r>
        <w:rPr>
          <w:rFonts w:cs="Calibri" w:ascii="Times New Roman" w:hAnsi="Times New Roman" w:cstheme="minorHAnsi"/>
          <w:sz w:val="24"/>
          <w:szCs w:val="24"/>
        </w:rPr>
        <w:t xml:space="preserve">3.1. Para participar do grupo o fornecedor deverá </w:t>
      </w:r>
      <w:r>
        <w:rPr>
          <w:rFonts w:cs="Calibri" w:ascii="Times New Roman" w:hAnsi="Times New Roman" w:cstheme="minorHAnsi"/>
          <w:b/>
          <w:sz w:val="24"/>
          <w:szCs w:val="24"/>
        </w:rPr>
        <w:t>cotar todos os itens</w:t>
      </w:r>
      <w:r>
        <w:rPr>
          <w:rFonts w:cs="Calibri" w:ascii="Times New Roman" w:hAnsi="Times New Roman" w:cstheme="minorHAnsi"/>
          <w:sz w:val="24"/>
          <w:szCs w:val="24"/>
        </w:rPr>
        <w:t>.</w:t>
      </w:r>
      <w:bookmarkStart w:id="4" w:name="_Hlk118358700"/>
      <w:bookmarkEnd w:id="4"/>
    </w:p>
    <w:p>
      <w:pPr>
        <w:pStyle w:val="Corpo1"/>
        <w:spacing w:before="0" w:after="0"/>
        <w:jc w:val="both"/>
        <w:rPr>
          <w:rFonts w:ascii="Times New Roman" w:hAnsi="Times New Roman" w:cs="Calibri" w:cstheme="minorHAnsi"/>
          <w:color w:val="0000FF"/>
          <w:sz w:val="24"/>
          <w:szCs w:val="24"/>
        </w:rPr>
      </w:pPr>
      <w:r>
        <w:rPr>
          <w:rFonts w:cs="Calibri" w:cstheme="minorHAnsi"/>
          <w:color w:val="0000FF"/>
          <w:sz w:val="24"/>
          <w:szCs w:val="24"/>
        </w:rPr>
      </w:r>
    </w:p>
    <w:p>
      <w:pPr>
        <w:pStyle w:val="Corpo1"/>
        <w:spacing w:before="0" w:after="0"/>
        <w:jc w:val="both"/>
        <w:rPr>
          <w:rFonts w:ascii="Times New Roman" w:hAnsi="Times New Roman"/>
          <w:sz w:val="24"/>
          <w:szCs w:val="24"/>
        </w:rPr>
      </w:pPr>
      <w:r>
        <w:rPr>
          <w:rFonts w:cs="Calibri" w:cstheme="minorHAnsi"/>
          <w:color w:val="111111"/>
          <w:sz w:val="24"/>
          <w:szCs w:val="24"/>
        </w:rPr>
        <w:t>3.2.</w:t>
      </w:r>
      <w:r>
        <w:rPr>
          <w:rFonts w:cs="Calibri" w:cstheme="minorHAnsi"/>
          <w:color w:val="FF0000"/>
          <w:sz w:val="24"/>
          <w:szCs w:val="24"/>
        </w:rPr>
        <w:t xml:space="preserve"> </w:t>
      </w:r>
      <w:bookmarkStart w:id="5" w:name="_Hlk111559558"/>
      <w:r>
        <w:rPr>
          <w:rFonts w:cs="Calibri" w:cstheme="minorHAnsi"/>
          <w:color w:val="1C1C1C"/>
          <w:sz w:val="24"/>
          <w:szCs w:val="24"/>
          <w:u w:val="none"/>
        </w:rPr>
        <w:t>Somente p</w:t>
      </w:r>
      <w:r>
        <w:rPr>
          <w:rFonts w:cs="Calibri" w:cstheme="minorHAnsi"/>
          <w:color w:val="111111"/>
          <w:sz w:val="24"/>
          <w:szCs w:val="24"/>
          <w:u w:val="none"/>
        </w:rPr>
        <w:t>oderão participar deste processo de contratação as microempresas, empresas de pequeno porte, microempreendedores individuais e cooperativas, por força do disposto no artigo 48, inciso I da Lei Complementar 123/2006</w:t>
      </w:r>
      <w:bookmarkEnd w:id="5"/>
      <w:r>
        <w:rPr>
          <w:rFonts w:cs="Calibri" w:cstheme="minorHAnsi"/>
          <w:color w:val="111111"/>
          <w:sz w:val="24"/>
          <w:szCs w:val="24"/>
          <w:u w:val="none"/>
        </w:rPr>
        <w:t xml:space="preserve"> em concomitante com a artigo 11 do Decreto n° 7.177/2023 aonde menciona que nas dispensas de licitação a que se trata o artigo I e II do Artigo 75 da 14.133/2021, a contratação deverá ser feita, preferencialmente, com microempresa, empresa de pequeno porte ou microempreendedor individual.</w:t>
      </w:r>
    </w:p>
    <w:p>
      <w:pPr>
        <w:pStyle w:val="Corpo1"/>
        <w:spacing w:before="0" w:after="0"/>
        <w:jc w:val="both"/>
        <w:rPr>
          <w:rFonts w:ascii="Times New Roman" w:hAnsi="Times New Roman" w:cs="Calibri" w:cstheme="minorHAnsi"/>
          <w:color w:val="FF0000"/>
          <w:sz w:val="24"/>
          <w:szCs w:val="24"/>
          <w:u w:val="single"/>
        </w:rPr>
      </w:pPr>
      <w:r>
        <w:rPr>
          <w:rFonts w:cs="Calibri" w:cstheme="minorHAnsi"/>
          <w:color w:val="FF0000"/>
          <w:sz w:val="24"/>
          <w:szCs w:val="24"/>
          <w:u w:val="single"/>
        </w:rPr>
      </w:r>
    </w:p>
    <w:p>
      <w:pPr>
        <w:pStyle w:val="Corpo1"/>
        <w:spacing w:before="0" w:after="0"/>
        <w:jc w:val="both"/>
        <w:rPr>
          <w:rFonts w:ascii="Times New Roman" w:hAnsi="Times New Roman"/>
          <w:sz w:val="24"/>
          <w:szCs w:val="24"/>
        </w:rPr>
      </w:pPr>
      <w:r>
        <w:rPr>
          <w:rFonts w:cs="Calibri" w:cstheme="minorHAnsi"/>
          <w:color w:val="FF0000"/>
          <w:sz w:val="24"/>
          <w:szCs w:val="24"/>
        </w:rPr>
        <w:tab/>
      </w:r>
      <w:r>
        <w:rPr>
          <w:rFonts w:cs="Calibri" w:cstheme="minorHAnsi"/>
          <w:color w:val="111111"/>
          <w:sz w:val="24"/>
          <w:szCs w:val="24"/>
        </w:rPr>
        <w:t xml:space="preserve">3.2.1. </w:t>
      </w:r>
      <w:r>
        <w:rPr>
          <w:rFonts w:cs="Calibri Light" w:cstheme="majorHAnsi"/>
          <w:color w:val="111111"/>
          <w:sz w:val="24"/>
          <w:szCs w:val="24"/>
        </w:rPr>
        <w:t>A obtenção do benefício a que se refere o item 3.2 fica limitado às microempresas, às empresas de pequeno porte, aos microempreendedores individuais e às cooperativas que, no ano-calendário de realização do processo de contratação, ainda não tenham celebrado contratos com a Administração Pública cujos valores somados extrapolem a receita bruta máxima admitida para fins de enquadramento como empresa de pequeno porte.</w:t>
      </w:r>
    </w:p>
    <w:p>
      <w:pPr>
        <w:pStyle w:val="Normal"/>
        <w:jc w:val="center"/>
        <w:rPr>
          <w:rFonts w:ascii="Times New Roman" w:hAnsi="Times New Roman" w:cs="Calibri" w:cstheme="minorHAnsi"/>
          <w:b/>
          <w:bCs/>
          <w:sz w:val="24"/>
          <w:szCs w:val="24"/>
        </w:rPr>
      </w:pPr>
      <w:r>
        <w:rPr>
          <w:rFonts w:cs="Calibri" w:cstheme="minorHAnsi" w:ascii="Times New Roman" w:hAnsi="Times New Roman"/>
          <w:b/>
          <w:bCs/>
          <w:sz w:val="24"/>
          <w:szCs w:val="24"/>
        </w:rPr>
      </w:r>
    </w:p>
    <w:p>
      <w:pPr>
        <w:pStyle w:val="BodyText"/>
        <w:spacing w:lineRule="auto" w:line="240" w:before="0" w:after="0"/>
        <w:jc w:val="both"/>
        <w:rPr>
          <w:rFonts w:ascii="Times New Roman" w:hAnsi="Times New Roman"/>
          <w:sz w:val="24"/>
          <w:szCs w:val="24"/>
        </w:rPr>
      </w:pPr>
      <w:bookmarkStart w:id="6" w:name="docs-internal-guid-a40fcfc6-7fff-7455-e4"/>
      <w:bookmarkEnd w:id="6"/>
      <w:r>
        <w:rPr>
          <w:rFonts w:ascii="Times New Roman" w:hAnsi="Times New Roman"/>
          <w:b w:val="false"/>
          <w:bCs w:val="false"/>
          <w:i w:val="false"/>
          <w:caps w:val="false"/>
          <w:smallCaps w:val="false"/>
          <w:strike w:val="false"/>
          <w:dstrike w:val="false"/>
          <w:color w:val="111111"/>
          <w:sz w:val="24"/>
          <w:szCs w:val="24"/>
          <w:u w:val="none"/>
          <w:effect w:val="none"/>
          <w:shd w:fill="auto" w:val="clear"/>
        </w:rPr>
        <w:t>3.3. Não poderão participar direta ou indiretamente desta licitação os fornecedores que se enquadrem em uma ou mais das situações a seguir:</w:t>
      </w:r>
    </w:p>
    <w:p>
      <w:pPr>
        <w:pStyle w:val="BodyText"/>
        <w:spacing w:lineRule="auto" w:line="240" w:before="0" w:after="0"/>
        <w:rPr>
          <w:rFonts w:ascii="Times New Roman" w:hAnsi="Times New Roman"/>
          <w:color w:val="111111"/>
          <w:sz w:val="24"/>
          <w:szCs w:val="24"/>
          <w:shd w:fill="auto" w:val="clear"/>
        </w:rPr>
      </w:pPr>
      <w:r>
        <w:rPr>
          <w:rFonts w:ascii="Times New Roman" w:hAnsi="Times New Roman"/>
          <w:color w:val="111111"/>
          <w:sz w:val="24"/>
          <w:szCs w:val="24"/>
          <w:shd w:fill="auto" w:val="clear"/>
        </w:rPr>
      </w:r>
    </w:p>
    <w:p>
      <w:pPr>
        <w:pStyle w:val="BodyText"/>
        <w:widowControl/>
        <w:suppressAutoHyphens w:val="true"/>
        <w:bidi w:val="0"/>
        <w:spacing w:lineRule="auto" w:line="240" w:before="0" w:after="0"/>
        <w:ind w:hanging="0" w:left="0" w:right="0"/>
        <w:jc w:val="both"/>
        <w:rPr>
          <w:rFonts w:ascii="Times New Roman" w:hAnsi="Times New Roman"/>
          <w:sz w:val="24"/>
          <w:szCs w:val="24"/>
        </w:rPr>
      </w:pPr>
      <w:r>
        <w:rPr>
          <w:rFonts w:ascii="Times New Roman" w:hAnsi="Times New Roman"/>
          <w:b w:val="false"/>
          <w:i w:val="false"/>
          <w:caps w:val="false"/>
          <w:smallCaps w:val="false"/>
          <w:strike w:val="false"/>
          <w:dstrike w:val="false"/>
          <w:color w:val="111111"/>
          <w:sz w:val="24"/>
          <w:szCs w:val="24"/>
          <w:u w:val="none"/>
          <w:effect w:val="none"/>
          <w:shd w:fill="auto" w:val="clear"/>
        </w:rPr>
        <w:tab/>
        <w:t>3.3.1. Constituídos sob a forma de consórcio;</w:t>
      </w:r>
    </w:p>
    <w:p>
      <w:pPr>
        <w:pStyle w:val="BodyText"/>
        <w:bidi w:val="0"/>
        <w:spacing w:lineRule="auto" w:line="240" w:before="0" w:after="0"/>
        <w:jc w:val="both"/>
        <w:rPr>
          <w:rFonts w:ascii="Times New Roman" w:hAnsi="Times New Roman"/>
          <w:caps w:val="false"/>
          <w:smallCaps w:val="false"/>
          <w:strike w:val="false"/>
          <w:dstrike w:val="false"/>
          <w:color w:val="111111"/>
          <w:sz w:val="24"/>
          <w:szCs w:val="24"/>
          <w:u w:val="none"/>
          <w:effect w:val="none"/>
          <w:shd w:fill="auto" w:val="clear"/>
        </w:rPr>
      </w:pPr>
      <w:r>
        <w:rPr>
          <w:rFonts w:ascii="Times New Roman" w:hAnsi="Times New Roman"/>
          <w:caps w:val="false"/>
          <w:smallCaps w:val="false"/>
          <w:strike w:val="false"/>
          <w:dstrike w:val="false"/>
          <w:color w:val="111111"/>
          <w:sz w:val="24"/>
          <w:szCs w:val="24"/>
          <w:u w:val="none"/>
          <w:effect w:val="none"/>
          <w:shd w:fill="auto" w:val="clear"/>
        </w:rPr>
      </w:r>
    </w:p>
    <w:p>
      <w:pPr>
        <w:pStyle w:val="BodyText"/>
        <w:bidi w:val="0"/>
        <w:spacing w:lineRule="auto" w:line="240" w:before="0" w:after="0"/>
        <w:jc w:val="both"/>
        <w:rPr>
          <w:rFonts w:ascii="Times New Roman" w:hAnsi="Times New Roman"/>
          <w:sz w:val="24"/>
          <w:szCs w:val="24"/>
        </w:rPr>
      </w:pPr>
      <w:r>
        <w:rPr>
          <w:rFonts w:ascii="Times New Roman" w:hAnsi="Times New Roman"/>
          <w:b w:val="false"/>
          <w:i w:val="false"/>
          <w:caps w:val="false"/>
          <w:smallCaps w:val="false"/>
          <w:strike w:val="false"/>
          <w:dstrike w:val="false"/>
          <w:color w:val="111111"/>
          <w:sz w:val="24"/>
          <w:szCs w:val="24"/>
          <w:u w:val="none"/>
          <w:effect w:val="none"/>
          <w:shd w:fill="auto" w:val="clear"/>
        </w:rPr>
        <w:tab/>
        <w:t>3.3.2. Pessoas físicas;</w:t>
      </w:r>
    </w:p>
    <w:p>
      <w:pPr>
        <w:pStyle w:val="BodyText"/>
        <w:bidi w:val="0"/>
        <w:spacing w:lineRule="auto" w:line="240" w:before="0" w:after="0"/>
        <w:jc w:val="both"/>
        <w:rPr>
          <w:rFonts w:ascii="Times New Roman" w:hAnsi="Times New Roman"/>
          <w:caps w:val="false"/>
          <w:smallCaps w:val="false"/>
          <w:strike w:val="false"/>
          <w:dstrike w:val="false"/>
          <w:color w:val="auto"/>
          <w:sz w:val="24"/>
          <w:szCs w:val="24"/>
          <w:u w:val="none"/>
          <w:effect w:val="none"/>
          <w:shd w:fill="auto" w:val="clear"/>
        </w:rPr>
      </w:pPr>
      <w:r>
        <w:rPr>
          <w:rFonts w:ascii="Times New Roman" w:hAnsi="Times New Roman"/>
          <w:caps w:val="false"/>
          <w:smallCaps w:val="false"/>
          <w:strike w:val="false"/>
          <w:dstrike w:val="false"/>
          <w:color w:val="000000"/>
          <w:sz w:val="24"/>
          <w:szCs w:val="24"/>
          <w:u w:val="none"/>
          <w:effect w:val="none"/>
          <w:shd w:fill="auto" w:val="clear"/>
        </w:rPr>
      </w:r>
    </w:p>
    <w:p>
      <w:pPr>
        <w:pStyle w:val="Normal"/>
        <w:jc w:val="both"/>
        <w:rPr>
          <w:rFonts w:ascii="Times New Roman" w:hAnsi="Times New Roman"/>
          <w:sz w:val="24"/>
          <w:szCs w:val="24"/>
        </w:rPr>
      </w:pPr>
      <w:r>
        <w:rPr>
          <w:rFonts w:cs="Calibri" w:ascii="Times New Roman" w:hAnsi="Times New Roman" w:cstheme="minorHAnsi"/>
          <w:b/>
          <w:bCs/>
          <w:sz w:val="24"/>
          <w:szCs w:val="24"/>
        </w:rPr>
        <w:t>4. DESCRIÇÃO DA SOLUÇÃO COMO UM TODO E REQUISITOS DA CONTRATAÇÃO</w:t>
      </w:r>
    </w:p>
    <w:p>
      <w:pPr>
        <w:pStyle w:val="Normal"/>
        <w:jc w:val="both"/>
        <w:rPr>
          <w:rFonts w:ascii="Times New Roman" w:hAnsi="Times New Roman"/>
          <w:sz w:val="24"/>
          <w:szCs w:val="24"/>
        </w:rPr>
      </w:pPr>
      <w:r>
        <w:rPr>
          <w:rFonts w:ascii="Times New Roman" w:hAnsi="Times New Roman"/>
          <w:sz w:val="24"/>
          <w:szCs w:val="24"/>
        </w:rPr>
      </w:r>
    </w:p>
    <w:p>
      <w:pPr>
        <w:pStyle w:val="Normal"/>
        <w:jc w:val="both"/>
        <w:rPr>
          <w:rFonts w:ascii="Times New Roman" w:hAnsi="Times New Roman"/>
          <w:sz w:val="24"/>
          <w:szCs w:val="24"/>
        </w:rPr>
      </w:pPr>
      <w:r>
        <w:rPr>
          <w:rFonts w:ascii="Times New Roman" w:hAnsi="Times New Roman"/>
          <w:b/>
          <w:bCs/>
          <w:sz w:val="24"/>
          <w:szCs w:val="24"/>
        </w:rPr>
        <w:t xml:space="preserve">4.1 – Serviços: </w:t>
      </w:r>
      <w:r>
        <w:rPr>
          <w:rFonts w:eastAsia="Times New Roman" w:cs="Times New Roman" w:ascii="Times New Roman" w:hAnsi="Times New Roman"/>
          <w:b w:val="false"/>
          <w:bCs w:val="false"/>
          <w:i w:val="false"/>
          <w:iCs w:val="false"/>
          <w:caps w:val="false"/>
          <w:smallCaps w:val="false"/>
          <w:strike w:val="false"/>
          <w:dstrike w:val="false"/>
          <w:color w:val="111111"/>
          <w:spacing w:val="0"/>
          <w:kern w:val="0"/>
          <w:position w:val="0"/>
          <w:sz w:val="24"/>
          <w:sz w:val="24"/>
          <w:szCs w:val="24"/>
          <w:u w:val="none"/>
          <w:shd w:fill="FFFFFF" w:val="clear"/>
          <w:vertAlign w:val="baseline"/>
          <w:lang w:val="pt-BR" w:eastAsia="en-US" w:bidi="hi-IN"/>
        </w:rPr>
        <w:t>Aquisição de uma cafeteira elétrica industrial, conforme especificações para atender as necessidades da Escola de Governo e Administração Pública.</w:t>
      </w:r>
    </w:p>
    <w:p>
      <w:pPr>
        <w:pStyle w:val="Normal"/>
        <w:jc w:val="both"/>
        <w:rPr>
          <w:rFonts w:ascii="Times New Roman" w:hAnsi="Times New Roman"/>
          <w:sz w:val="24"/>
          <w:szCs w:val="24"/>
        </w:rPr>
      </w:pPr>
      <w:r>
        <w:rPr>
          <w:rFonts w:ascii="Times New Roman" w:hAnsi="Times New Roman"/>
          <w:sz w:val="24"/>
          <w:szCs w:val="24"/>
        </w:rPr>
      </w:r>
    </w:p>
    <w:p>
      <w:pPr>
        <w:pStyle w:val="Normal"/>
        <w:widowControl w:val="false"/>
        <w:suppressAutoHyphens w:val="true"/>
        <w:overflowPunct w:val="false"/>
        <w:bidi w:val="0"/>
        <w:spacing w:before="0" w:after="0"/>
        <w:ind w:hanging="0" w:left="283" w:right="0"/>
        <w:jc w:val="both"/>
        <w:rPr>
          <w:rFonts w:ascii="Times New Roman" w:hAnsi="Times New Roman"/>
          <w:sz w:val="24"/>
          <w:szCs w:val="24"/>
        </w:rPr>
      </w:pPr>
      <w:r>
        <w:rPr>
          <w:rFonts w:cs="Calibri" w:ascii="Times New Roman" w:hAnsi="Times New Roman"/>
          <w:b/>
          <w:bCs/>
          <w:i w:val="false"/>
          <w:iCs/>
          <w:color w:val="000000"/>
          <w:sz w:val="24"/>
          <w:szCs w:val="24"/>
        </w:rPr>
        <w:t xml:space="preserve">ESPECIFICAÇÕES: </w:t>
      </w:r>
      <w:r>
        <w:rPr>
          <w:rStyle w:val="Markedcontent"/>
          <w:rFonts w:eastAsia="Calibri" w:cs="Arial" w:ascii="Times New Roman" w:hAnsi="Times New Roman"/>
          <w:b w:val="false"/>
          <w:bCs w:val="false"/>
          <w:i w:val="false"/>
          <w:iCs w:val="false"/>
          <w:caps w:val="false"/>
          <w:smallCaps w:val="false"/>
          <w:strike w:val="false"/>
          <w:dstrike w:val="false"/>
          <w:color w:val="111111"/>
          <w:spacing w:val="0"/>
          <w:kern w:val="0"/>
          <w:sz w:val="24"/>
          <w:szCs w:val="24"/>
          <w:u w:val="none"/>
          <w:shd w:fill="auto" w:val="clear"/>
          <w:lang w:val="pt-BR" w:eastAsia="zh-CN" w:bidi="hi-IN"/>
        </w:rPr>
        <w:t>Cafeteira industrial, 6L, dimensões 62x36x27cm (AxLxP), Potência 1.300kw, aço inox.</w:t>
      </w:r>
    </w:p>
    <w:p>
      <w:pPr>
        <w:pStyle w:val="Normal"/>
        <w:suppressAutoHyphens w:val="false"/>
        <w:jc w:val="both"/>
        <w:rPr>
          <w:rFonts w:ascii="Times New Roman" w:hAnsi="Times New Roman"/>
          <w:sz w:val="24"/>
          <w:szCs w:val="24"/>
        </w:rPr>
      </w:pPr>
      <w:r>
        <w:rPr>
          <w:rFonts w:ascii="Times New Roman" w:hAnsi="Times New Roman"/>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iCs/>
          <w:color w:val="111111"/>
          <w:sz w:val="24"/>
          <w:szCs w:val="24"/>
        </w:rPr>
        <w:t>4.2. A contratada obriga-se a garantir o produto pelo prazo de 90 (noventa) dias, a partir da data de entrega e instalação, contra defeitos, vícios ou falhas de execução, inclusive decorrentes de materiais empregados.</w:t>
      </w:r>
    </w:p>
    <w:p>
      <w:pPr>
        <w:pStyle w:val="Normal"/>
        <w:suppressAutoHyphens w:val="false"/>
        <w:jc w:val="both"/>
        <w:rPr>
          <w:rFonts w:ascii="Times New Roman" w:hAnsi="Times New Roman" w:cs="Calibri" w:cstheme="minorHAnsi"/>
          <w:iCs/>
          <w:color w:val="111111"/>
          <w:sz w:val="24"/>
          <w:szCs w:val="24"/>
        </w:rPr>
      </w:pPr>
      <w:r>
        <w:rPr>
          <w:rFonts w:cs="Calibri" w:cstheme="minorHAnsi" w:ascii="Times New Roman" w:hAnsi="Times New Roman"/>
          <w:iCs/>
          <w:color w:val="111111"/>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iCs/>
          <w:color w:val="111111"/>
          <w:sz w:val="24"/>
          <w:szCs w:val="24"/>
        </w:rPr>
        <w:tab/>
        <w:t>4.2.1. Uma vez notificada, a Contratada realizará a troca do produto em desconformidade com este Termo de Referência no prazo de até 02 (dois) dias úteis, contados a partir da data de notificação do não aceite do mesmo, sob pena das sanções previstas em lei e/ou no termo contratual ou instrumento equivalente.</w:t>
      </w:r>
    </w:p>
    <w:p>
      <w:pPr>
        <w:pStyle w:val="Normal"/>
        <w:suppressAutoHyphens w:val="false"/>
        <w:jc w:val="both"/>
        <w:rPr>
          <w:rFonts w:ascii="Times New Roman" w:hAnsi="Times New Roman" w:cs="Calibri" w:cstheme="minorHAnsi"/>
          <w:iCs/>
          <w:color w:val="111111"/>
          <w:sz w:val="24"/>
          <w:szCs w:val="24"/>
        </w:rPr>
      </w:pPr>
      <w:r>
        <w:rPr>
          <w:rFonts w:cs="Calibri" w:cstheme="minorHAnsi" w:ascii="Times New Roman" w:hAnsi="Times New Roman"/>
          <w:iCs/>
          <w:color w:val="111111"/>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iCs/>
          <w:color w:val="111111"/>
          <w:sz w:val="24"/>
          <w:szCs w:val="24"/>
        </w:rPr>
        <w:tab/>
        <w:t>4.2.2. O prazo indicado no subitem 4.2.1, durante seu transcurso, poderá ser prorrogado uma única vez, por igual período, mediante solicitação escrita e justificada da Contratada, aceita pela Contratante.</w:t>
      </w:r>
    </w:p>
    <w:p>
      <w:pPr>
        <w:pStyle w:val="Normal"/>
        <w:suppressAutoHyphens w:val="false"/>
        <w:jc w:val="both"/>
        <w:rPr>
          <w:rFonts w:ascii="Times New Roman" w:hAnsi="Times New Roman" w:cs="Calibri" w:cstheme="minorHAnsi"/>
          <w:iCs/>
          <w:color w:val="111111"/>
          <w:sz w:val="24"/>
          <w:szCs w:val="24"/>
        </w:rPr>
      </w:pPr>
      <w:r>
        <w:rPr>
          <w:rFonts w:cs="Calibri" w:cstheme="minorHAnsi" w:ascii="Times New Roman" w:hAnsi="Times New Roman"/>
          <w:iCs/>
          <w:color w:val="111111"/>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iCs/>
          <w:color w:val="111111"/>
          <w:sz w:val="24"/>
          <w:szCs w:val="24"/>
        </w:rPr>
        <w:tab/>
        <w:t xml:space="preserve">4.2.3. Decorrido o prazo para correção sem o atendimento da solicitação da Contratante ou a apresentação de justificativas pela Contratada, fica a Contratante autorizada a contratar empresa diversa para executar os reparos, ajustes ou a correção do produto, bem como a exigir da Contratada o reembolso pelos custos respectivos, sem que tal fato acarrete a perda da garantia do </w:t>
      </w:r>
      <w:r>
        <w:rPr>
          <w:rFonts w:cs="Calibri" w:ascii="Times New Roman" w:hAnsi="Times New Roman" w:cstheme="minorHAnsi"/>
          <w:iCs/>
          <w:color w:val="111111"/>
          <w:sz w:val="24"/>
          <w:szCs w:val="24"/>
        </w:rPr>
        <w:t>produto</w:t>
      </w:r>
      <w:r>
        <w:rPr>
          <w:rFonts w:cs="Calibri" w:ascii="Times New Roman" w:hAnsi="Times New Roman" w:cstheme="minorHAnsi"/>
          <w:iCs/>
          <w:color w:val="111111"/>
          <w:sz w:val="24"/>
          <w:szCs w:val="24"/>
        </w:rPr>
        <w:t>.</w:t>
      </w:r>
    </w:p>
    <w:p>
      <w:pPr>
        <w:pStyle w:val="Normal"/>
        <w:suppressAutoHyphens w:val="false"/>
        <w:jc w:val="both"/>
        <w:rPr>
          <w:rFonts w:ascii="Times New Roman" w:hAnsi="Times New Roman" w:cs="Calibri" w:cstheme="minorHAnsi"/>
          <w:iCs/>
          <w:color w:val="111111"/>
          <w:sz w:val="24"/>
          <w:szCs w:val="24"/>
        </w:rPr>
      </w:pPr>
      <w:r>
        <w:rPr>
          <w:rFonts w:cs="Calibri" w:cstheme="minorHAnsi" w:ascii="Times New Roman" w:hAnsi="Times New Roman"/>
          <w:iCs/>
          <w:color w:val="111111"/>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iCs/>
          <w:color w:val="111111"/>
          <w:sz w:val="24"/>
          <w:szCs w:val="24"/>
        </w:rPr>
        <w:tab/>
        <w:t>4.2.4. A garantia legal ou contratual do objeto tem prazo de vigência próprio e desvinculado da vigência do contrato ou instrumento equivalente, permitindo eventual aplicação de penalidades em caso de descumprimento de alguma de suas condições, mesmo depois de expirada a vigência contratual.</w:t>
      </w:r>
    </w:p>
    <w:p>
      <w:pPr>
        <w:pStyle w:val="Default"/>
        <w:jc w:val="both"/>
        <w:rPr>
          <w:rFonts w:ascii="Times New Roman" w:hAnsi="Times New Roman" w:cs="Calibri" w:cstheme="minorHAnsi"/>
          <w:iCs/>
          <w:color w:val="111111"/>
          <w:sz w:val="24"/>
          <w:szCs w:val="24"/>
        </w:rPr>
      </w:pPr>
      <w:r>
        <w:rPr>
          <w:rFonts w:cs="Calibri" w:cstheme="minorHAnsi" w:ascii="Times New Roman" w:hAnsi="Times New Roman"/>
          <w:iCs/>
          <w:color w:val="111111"/>
          <w:sz w:val="24"/>
          <w:szCs w:val="24"/>
        </w:rPr>
      </w:r>
    </w:p>
    <w:p>
      <w:pPr>
        <w:pStyle w:val="Default"/>
        <w:suppressAutoHyphens w:val="false"/>
        <w:jc w:val="both"/>
        <w:rPr>
          <w:rFonts w:ascii="Times New Roman" w:hAnsi="Times New Roman"/>
          <w:sz w:val="24"/>
          <w:szCs w:val="24"/>
        </w:rPr>
      </w:pPr>
      <w:r>
        <w:rPr>
          <w:rFonts w:cs="Calibri" w:ascii="Times New Roman" w:hAnsi="Times New Roman" w:cstheme="minorHAnsi"/>
          <w:color w:val="111111"/>
          <w:sz w:val="24"/>
          <w:szCs w:val="24"/>
        </w:rPr>
        <w:t>4.3. Não haverá exigência de garantia contratual da execução a que se refere o artigo 96 e seguintes da Lei nº 14.133/2021, em razão da especificidade do objeto.</w:t>
      </w:r>
    </w:p>
    <w:p>
      <w:pPr>
        <w:pStyle w:val="Default"/>
        <w:suppressAutoHyphens w:val="false"/>
        <w:jc w:val="both"/>
        <w:rPr>
          <w:rFonts w:ascii="Times New Roman" w:hAnsi="Times New Roman" w:cs="Calibri" w:cstheme="minorHAnsi"/>
          <w:iCs/>
          <w:color w:val="111111"/>
          <w:sz w:val="24"/>
          <w:szCs w:val="24"/>
        </w:rPr>
      </w:pPr>
      <w:r>
        <w:rPr>
          <w:rFonts w:cs="Calibri" w:cstheme="minorHAnsi" w:ascii="Times New Roman" w:hAnsi="Times New Roman"/>
          <w:iCs/>
          <w:color w:val="111111"/>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b/>
          <w:bCs/>
          <w:iCs/>
          <w:color w:val="000000"/>
          <w:sz w:val="24"/>
          <w:szCs w:val="24"/>
          <w:shd w:fill="auto" w:val="clear"/>
        </w:rPr>
        <w:t>6. CRITÉRIOS DE SELEÇÃO DO FORNECEDOR</w:t>
      </w:r>
    </w:p>
    <w:p>
      <w:pPr>
        <w:pStyle w:val="Normal"/>
        <w:suppressAutoHyphens w:val="false"/>
        <w:jc w:val="both"/>
        <w:rPr>
          <w:rFonts w:ascii="Times New Roman" w:hAnsi="Times New Roman" w:cs="Calibri" w:cstheme="minorHAnsi"/>
          <w:b/>
          <w:bCs/>
          <w:iCs/>
          <w:color w:val="000000"/>
          <w:sz w:val="24"/>
          <w:szCs w:val="24"/>
          <w:highlight w:val="none"/>
          <w:shd w:fill="auto" w:val="clear"/>
        </w:rPr>
      </w:pPr>
      <w:r>
        <w:rPr>
          <w:rFonts w:cs="Calibri" w:cstheme="minorHAnsi" w:ascii="Times New Roman" w:hAnsi="Times New Roman"/>
          <w:b/>
          <w:bCs/>
          <w:iCs/>
          <w:color w:val="000000"/>
          <w:sz w:val="24"/>
          <w:szCs w:val="24"/>
          <w:shd w:fill="auto" w:val="clear"/>
        </w:rPr>
      </w:r>
    </w:p>
    <w:p>
      <w:pPr>
        <w:pStyle w:val="NormalWeb"/>
        <w:suppressAutoHyphens w:val="false"/>
        <w:spacing w:before="0" w:after="0"/>
        <w:ind w:hanging="0" w:right="-30"/>
        <w:jc w:val="both"/>
        <w:rPr>
          <w:rFonts w:ascii="Times New Roman" w:hAnsi="Times New Roman"/>
          <w:sz w:val="24"/>
          <w:szCs w:val="24"/>
        </w:rPr>
      </w:pPr>
      <w:r>
        <w:rPr>
          <w:rFonts w:cs="Calibri" w:cstheme="minorHAnsi"/>
          <w:color w:val="000000"/>
          <w:sz w:val="24"/>
          <w:szCs w:val="24"/>
          <w:shd w:fill="auto" w:val="clear"/>
        </w:rPr>
        <w:t xml:space="preserve">6.1. Será selecionado o fornecedor que apresente proposta com menor preço para cada </w:t>
      </w:r>
      <w:r>
        <w:rPr>
          <w:rFonts w:cs="Calibri" w:cstheme="minorHAnsi"/>
          <w:color w:val="000000"/>
          <w:sz w:val="24"/>
          <w:szCs w:val="24"/>
          <w:shd w:fill="auto" w:val="clear"/>
        </w:rPr>
        <w:t>item</w:t>
      </w:r>
      <w:r>
        <w:rPr>
          <w:rFonts w:cs="Calibri" w:cstheme="minorHAnsi"/>
          <w:color w:val="000000"/>
          <w:sz w:val="24"/>
          <w:szCs w:val="24"/>
          <w:shd w:fill="auto" w:val="clear"/>
        </w:rPr>
        <w:t xml:space="preserve">, e que cumpra as exigências relativas ao objeto constantes neste Termo de Referência e ANEXO I, bem como os critérios de habilitação elencados no </w:t>
      </w:r>
      <w:r>
        <w:rPr>
          <w:rFonts w:cs="Calibri" w:cstheme="minorHAnsi"/>
          <w:iCs/>
          <w:color w:val="000000"/>
          <w:sz w:val="24"/>
          <w:szCs w:val="24"/>
          <w:shd w:fill="auto" w:val="clear"/>
        </w:rPr>
        <w:t xml:space="preserve">Aviso de Contratação Direta </w:t>
      </w:r>
      <w:r>
        <w:rPr>
          <w:rFonts w:cs="Calibri" w:cstheme="minorHAnsi"/>
          <w:color w:val="000000"/>
          <w:sz w:val="24"/>
          <w:szCs w:val="24"/>
          <w:shd w:fill="auto" w:val="clear"/>
        </w:rPr>
        <w:t>e neste Termo de Referência.</w:t>
      </w:r>
    </w:p>
    <w:p>
      <w:pPr>
        <w:pStyle w:val="NormalWeb"/>
        <w:suppressAutoHyphens w:val="false"/>
        <w:spacing w:before="0" w:after="0"/>
        <w:ind w:hanging="0" w:right="-30"/>
        <w:jc w:val="both"/>
        <w:rPr>
          <w:rFonts w:ascii="Times New Roman" w:hAnsi="Times New Roman" w:cs="Calibri" w:cstheme="minorHAnsi"/>
          <w:color w:val="000000"/>
          <w:sz w:val="24"/>
          <w:szCs w:val="24"/>
          <w:highlight w:val="none"/>
          <w:shd w:fill="auto" w:val="clear"/>
        </w:rPr>
      </w:pPr>
      <w:r>
        <w:rPr>
          <w:rFonts w:cs="Calibri" w:cstheme="minorHAnsi"/>
          <w:color w:val="000000"/>
          <w:sz w:val="24"/>
          <w:szCs w:val="24"/>
          <w:shd w:fill="auto" w:val="clear"/>
        </w:rPr>
      </w:r>
    </w:p>
    <w:p>
      <w:pPr>
        <w:pStyle w:val="ListParagraph"/>
        <w:suppressAutoHyphens w:val="false"/>
        <w:spacing w:before="0" w:after="0"/>
        <w:ind w:hanging="0" w:left="0" w:right="-30"/>
        <w:contextualSpacing/>
        <w:rPr>
          <w:rFonts w:ascii="Times New Roman" w:hAnsi="Times New Roman"/>
          <w:sz w:val="24"/>
          <w:szCs w:val="24"/>
        </w:rPr>
      </w:pPr>
      <w:r>
        <w:rPr>
          <w:rFonts w:cs="Calibri" w:ascii="Times New Roman" w:hAnsi="Times New Roman" w:cstheme="minorHAnsi"/>
          <w:color w:val="000000"/>
          <w:sz w:val="24"/>
          <w:szCs w:val="24"/>
          <w:shd w:fill="auto" w:val="clear"/>
        </w:rPr>
        <w:t>6.2. As exigências de habilitação jurídica, de regularidade fiscal e de regularidade trabalhista são as usuais para a generalidade dos objetos, conforme disciplinado neste Termo de Referência.</w:t>
      </w:r>
    </w:p>
    <w:p>
      <w:pPr>
        <w:pStyle w:val="ListParagraph"/>
        <w:suppressAutoHyphens w:val="false"/>
        <w:spacing w:before="0" w:after="0"/>
        <w:ind w:hanging="0" w:left="0" w:right="-30"/>
        <w:contextualSpacing/>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ListParagraph"/>
        <w:suppressAutoHyphens w:val="false"/>
        <w:spacing w:before="0" w:after="0"/>
        <w:ind w:hanging="0" w:left="0" w:right="-30"/>
        <w:contextualSpacing/>
        <w:rPr>
          <w:rFonts w:ascii="Times New Roman" w:hAnsi="Times New Roman"/>
          <w:sz w:val="24"/>
          <w:szCs w:val="24"/>
        </w:rPr>
      </w:pPr>
      <w:r>
        <w:rPr>
          <w:rFonts w:cs="Calibri" w:ascii="Times New Roman" w:hAnsi="Times New Roman" w:cstheme="minorHAnsi"/>
          <w:color w:val="000000"/>
          <w:sz w:val="24"/>
          <w:szCs w:val="24"/>
          <w:shd w:fill="auto" w:val="clear"/>
        </w:rPr>
        <w:t xml:space="preserve">6.3. Os </w:t>
      </w:r>
      <w:r>
        <w:rPr>
          <w:rFonts w:cs="Calibri" w:ascii="Times New Roman" w:hAnsi="Times New Roman" w:cstheme="minorHAnsi"/>
          <w:b/>
          <w:bCs/>
          <w:color w:val="000000"/>
          <w:sz w:val="24"/>
          <w:szCs w:val="24"/>
          <w:shd w:fill="auto" w:val="clear"/>
        </w:rPr>
        <w:t>critérios de qualificação econômico-financeira</w:t>
      </w:r>
      <w:r>
        <w:rPr>
          <w:rFonts w:cs="Calibri" w:ascii="Times New Roman" w:hAnsi="Times New Roman" w:cstheme="minorHAnsi"/>
          <w:color w:val="000000"/>
          <w:sz w:val="24"/>
          <w:szCs w:val="24"/>
          <w:shd w:fill="auto" w:val="clear"/>
        </w:rPr>
        <w:t xml:space="preserve"> a serem atendidos pelo fornecedor são:</w:t>
      </w:r>
    </w:p>
    <w:p>
      <w:pPr>
        <w:pStyle w:val="Normal"/>
        <w:tabs>
          <w:tab w:val="clear" w:pos="709"/>
          <w:tab w:val="left" w:pos="0" w:leader="none"/>
        </w:tabs>
        <w:snapToGrid w:val="false"/>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ListParagraph"/>
        <w:tabs>
          <w:tab w:val="clear" w:pos="709"/>
          <w:tab w:val="left" w:pos="0" w:leader="none"/>
        </w:tabs>
        <w:suppressAutoHyphens w:val="false"/>
        <w:snapToGrid w:val="false"/>
        <w:spacing w:before="0" w:after="0"/>
        <w:ind w:hanging="0" w:left="0"/>
        <w:contextualSpacing/>
        <w:jc w:val="both"/>
        <w:rPr>
          <w:rFonts w:ascii="Times New Roman" w:hAnsi="Times New Roman"/>
          <w:sz w:val="24"/>
          <w:szCs w:val="24"/>
        </w:rPr>
      </w:pPr>
      <w:r>
        <w:rPr>
          <w:rFonts w:cs="Calibri" w:ascii="Times New Roman" w:hAnsi="Times New Roman" w:cstheme="minorHAnsi"/>
          <w:color w:val="000000"/>
          <w:sz w:val="24"/>
          <w:szCs w:val="24"/>
          <w:shd w:fill="auto" w:val="clear"/>
        </w:rPr>
        <w:tab/>
        <w:t>6.3.1. Certidão negativa de feitos sobre falência expedida pelo distribuidor da sede do fornecedor até 90 (noventa) dias antes da data de abertura da sessão;</w:t>
      </w:r>
    </w:p>
    <w:p>
      <w:pPr>
        <w:pStyle w:val="ListParagraph"/>
        <w:suppressAutoHyphens w:val="false"/>
        <w:spacing w:before="0" w:after="0"/>
        <w:ind w:hanging="0" w:left="0" w:right="-30"/>
        <w:contextualSpacing/>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ListParagraph"/>
        <w:suppressAutoHyphens w:val="false"/>
        <w:spacing w:before="0" w:after="0"/>
        <w:ind w:hanging="0" w:left="0" w:right="-30"/>
        <w:contextualSpacing/>
        <w:jc w:val="both"/>
        <w:rPr>
          <w:rFonts w:ascii="Times New Roman" w:hAnsi="Times New Roman"/>
          <w:sz w:val="24"/>
          <w:szCs w:val="24"/>
        </w:rPr>
      </w:pPr>
      <w:r>
        <w:rPr>
          <w:rFonts w:cs="Calibri" w:ascii="Times New Roman" w:hAnsi="Times New Roman" w:cstheme="minorHAnsi"/>
          <w:color w:val="000000"/>
          <w:sz w:val="24"/>
          <w:szCs w:val="24"/>
          <w:shd w:fill="auto" w:val="clear"/>
        </w:rPr>
        <w:tab/>
        <w:t>6.3.2. Balanço patrimonial, demonstração de resultado de exercício e demais demonstrações contábeis dos 2 (dois) últimos exercícios sociais, observado o disposto no artigo 3º da Instrução Normativa RFB nº 1420/2013 quanto à obrigatoriedade de utilização da Escrituração Contábil Digital – ECD, ou a Certidão Simplificada da Junta Comercial do Estado do Fornecedor;</w:t>
      </w:r>
    </w:p>
    <w:p>
      <w:pPr>
        <w:pStyle w:val="ListParagraph"/>
        <w:tabs>
          <w:tab w:val="clear" w:pos="709"/>
          <w:tab w:val="left" w:pos="0" w:leader="none"/>
        </w:tabs>
        <w:snapToGrid w:val="false"/>
        <w:spacing w:before="0" w:after="0"/>
        <w:ind w:hanging="0" w:left="0"/>
        <w:contextualSpacing/>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ListParagraph"/>
        <w:tabs>
          <w:tab w:val="clear" w:pos="709"/>
          <w:tab w:val="left" w:pos="0" w:leader="none"/>
        </w:tabs>
        <w:snapToGrid w:val="false"/>
        <w:spacing w:before="0" w:after="0"/>
        <w:ind w:hanging="0" w:left="0"/>
        <w:contextualSpacing/>
        <w:jc w:val="both"/>
        <w:rPr>
          <w:rFonts w:ascii="Times New Roman" w:hAnsi="Times New Roman"/>
          <w:sz w:val="24"/>
          <w:szCs w:val="24"/>
        </w:rPr>
      </w:pPr>
      <w:r>
        <w:rPr>
          <w:rFonts w:cs="Calibri" w:ascii="Times New Roman" w:hAnsi="Times New Roman" w:cstheme="minorHAnsi"/>
          <w:color w:val="000000"/>
          <w:sz w:val="24"/>
          <w:szCs w:val="24"/>
          <w:shd w:fill="auto" w:val="clear"/>
        </w:rPr>
        <w:tab/>
        <w:tab/>
        <w:t>6.3.2.1. Os documentos referidos no item 6.3.2 limitar-se-ão ao último exercício no caso de a pessoa jurídica ter sido constituída há menos de 2 (dois) anos.</w:t>
      </w:r>
    </w:p>
    <w:p>
      <w:pPr>
        <w:pStyle w:val="ListParagraph"/>
        <w:tabs>
          <w:tab w:val="clear" w:pos="709"/>
          <w:tab w:val="left" w:pos="0" w:leader="none"/>
        </w:tabs>
        <w:snapToGrid w:val="false"/>
        <w:spacing w:before="0" w:after="0"/>
        <w:ind w:hanging="0" w:left="0"/>
        <w:contextualSpacing/>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Normal"/>
        <w:tabs>
          <w:tab w:val="clear" w:pos="709"/>
          <w:tab w:val="left" w:pos="0" w:leader="none"/>
        </w:tabs>
        <w:snapToGrid w:val="false"/>
        <w:jc w:val="both"/>
        <w:rPr>
          <w:rFonts w:ascii="Times New Roman" w:hAnsi="Times New Roman"/>
          <w:sz w:val="24"/>
          <w:szCs w:val="24"/>
        </w:rPr>
      </w:pPr>
      <w:r>
        <w:rPr>
          <w:rFonts w:cs="Calibri" w:ascii="Times New Roman" w:hAnsi="Times New Roman" w:cstheme="minorHAnsi"/>
          <w:color w:val="000000"/>
          <w:sz w:val="24"/>
          <w:szCs w:val="24"/>
          <w:shd w:fill="auto" w:val="clear"/>
        </w:rPr>
        <w:tab/>
        <w:tab/>
        <w:t>6.3.2.2. É admissível o balanço intermediário, se decorrer de lei ou contrato/ estatuto social. (vide Acórdão TCU nº 484-12-2007 – Plenário)</w:t>
      </w:r>
    </w:p>
    <w:p>
      <w:pPr>
        <w:pStyle w:val="ListParagraph"/>
        <w:tabs>
          <w:tab w:val="clear" w:pos="709"/>
          <w:tab w:val="left" w:pos="0" w:leader="none"/>
        </w:tabs>
        <w:snapToGrid w:val="false"/>
        <w:spacing w:before="0" w:after="0"/>
        <w:ind w:hanging="0" w:left="0"/>
        <w:contextualSpacing/>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ListParagraph"/>
        <w:tabs>
          <w:tab w:val="clear" w:pos="709"/>
          <w:tab w:val="left" w:pos="0" w:leader="none"/>
        </w:tabs>
        <w:snapToGrid w:val="false"/>
        <w:spacing w:before="0" w:after="0"/>
        <w:ind w:hanging="0" w:left="0"/>
        <w:contextualSpacing/>
        <w:jc w:val="both"/>
        <w:rPr>
          <w:rFonts w:ascii="Times New Roman" w:hAnsi="Times New Roman"/>
          <w:sz w:val="24"/>
          <w:szCs w:val="24"/>
        </w:rPr>
      </w:pPr>
      <w:r>
        <w:rPr>
          <w:rFonts w:cs="Calibri" w:ascii="Times New Roman" w:hAnsi="Times New Roman" w:cstheme="minorHAnsi"/>
          <w:color w:val="000000"/>
          <w:sz w:val="24"/>
          <w:szCs w:val="24"/>
          <w:shd w:fill="auto" w:val="clear"/>
        </w:rPr>
        <w:tab/>
        <w:tab/>
        <w:t>6.3.2.3. Caso o fornecedor seja classificado como cooperativa, tais documentos deverão ser acompanhados da última auditoria contábil-financeira, conforme dispõe o artigo 112 da Lei nº 5.764/1971, ou de uma declaração, sob as penas da lei, de que tal auditoria não foi exigida pelo órgão fiscalizador.</w:t>
      </w:r>
    </w:p>
    <w:p>
      <w:pPr>
        <w:pStyle w:val="ListParagraph"/>
        <w:tabs>
          <w:tab w:val="clear" w:pos="709"/>
          <w:tab w:val="left" w:pos="0" w:leader="none"/>
        </w:tabs>
        <w:snapToGrid w:val="false"/>
        <w:spacing w:before="0" w:after="0"/>
        <w:ind w:hanging="0" w:left="0"/>
        <w:contextualSpacing/>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ListParagraph"/>
        <w:tabs>
          <w:tab w:val="clear" w:pos="709"/>
          <w:tab w:val="left" w:pos="0" w:leader="none"/>
        </w:tabs>
        <w:snapToGrid w:val="false"/>
        <w:spacing w:before="0" w:after="0"/>
        <w:ind w:hanging="0" w:left="0"/>
        <w:contextualSpacing/>
        <w:jc w:val="both"/>
        <w:rPr>
          <w:rFonts w:ascii="Times New Roman" w:hAnsi="Times New Roman"/>
          <w:sz w:val="24"/>
          <w:szCs w:val="24"/>
        </w:rPr>
      </w:pPr>
      <w:r>
        <w:rPr>
          <w:rFonts w:cs="Calibri" w:ascii="Times New Roman" w:hAnsi="Times New Roman" w:cstheme="minorHAnsi"/>
          <w:color w:val="000000"/>
          <w:sz w:val="24"/>
          <w:szCs w:val="24"/>
          <w:shd w:fill="auto" w:val="clear"/>
        </w:rPr>
        <w:tab/>
        <w:tab/>
        <w:t>6.3.2.4. No caso de Microempreendedor Individual – MEI, deverá ser apresentada Declaração Anual do Faturamento emitido pelo Portal do Empreendedor, no que couber.</w:t>
      </w:r>
    </w:p>
    <w:p>
      <w:pPr>
        <w:pStyle w:val="ListParagraph"/>
        <w:tabs>
          <w:tab w:val="clear" w:pos="709"/>
          <w:tab w:val="left" w:pos="0" w:leader="none"/>
        </w:tabs>
        <w:snapToGrid w:val="false"/>
        <w:spacing w:before="0" w:after="0"/>
        <w:ind w:hanging="0" w:left="0"/>
        <w:contextualSpacing/>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ListParagraph"/>
        <w:suppressAutoHyphens w:val="false"/>
        <w:spacing w:before="0" w:after="0"/>
        <w:ind w:hanging="0" w:left="0" w:right="-30"/>
        <w:contextualSpacing/>
        <w:rPr>
          <w:rFonts w:ascii="Times New Roman" w:hAnsi="Times New Roman"/>
          <w:sz w:val="24"/>
          <w:szCs w:val="24"/>
        </w:rPr>
      </w:pPr>
      <w:r>
        <w:rPr>
          <w:rFonts w:cs="Calibri" w:ascii="Times New Roman" w:hAnsi="Times New Roman" w:cstheme="minorHAnsi"/>
          <w:color w:val="000000"/>
          <w:sz w:val="24"/>
          <w:szCs w:val="24"/>
          <w:shd w:fill="auto" w:val="clear"/>
        </w:rPr>
        <w:t xml:space="preserve">6.4. Os </w:t>
      </w:r>
      <w:r>
        <w:rPr>
          <w:rFonts w:cs="Calibri" w:ascii="Times New Roman" w:hAnsi="Times New Roman" w:cstheme="minorHAnsi"/>
          <w:b/>
          <w:bCs/>
          <w:color w:val="000000"/>
          <w:sz w:val="24"/>
          <w:szCs w:val="24"/>
          <w:shd w:fill="auto" w:val="clear"/>
        </w:rPr>
        <w:t>critérios de qualificação técnica</w:t>
      </w:r>
      <w:r>
        <w:rPr>
          <w:rFonts w:cs="Calibri" w:ascii="Times New Roman" w:hAnsi="Times New Roman" w:cstheme="minorHAnsi"/>
          <w:color w:val="000000"/>
          <w:sz w:val="24"/>
          <w:szCs w:val="24"/>
          <w:shd w:fill="auto" w:val="clear"/>
        </w:rPr>
        <w:t xml:space="preserve"> a serem atendidos pelo fornecedor são:</w:t>
      </w:r>
    </w:p>
    <w:p>
      <w:pPr>
        <w:pStyle w:val="ListParagraph"/>
        <w:suppressAutoHyphens w:val="false"/>
        <w:spacing w:before="0" w:after="0"/>
        <w:ind w:hanging="0" w:left="0" w:right="-30"/>
        <w:contextualSpacing/>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bookmarkStart w:id="7" w:name="__DdeLink__4041_375305669"/>
      <w:bookmarkStart w:id="8" w:name="__DdeLink__4041_375305669"/>
      <w:bookmarkEnd w:id="8"/>
    </w:p>
    <w:p>
      <w:pPr>
        <w:pStyle w:val="Corpo1"/>
        <w:spacing w:before="0" w:after="0"/>
        <w:jc w:val="both"/>
        <w:rPr>
          <w:rFonts w:ascii="Times New Roman" w:hAnsi="Times New Roman"/>
          <w:sz w:val="24"/>
          <w:szCs w:val="24"/>
        </w:rPr>
      </w:pPr>
      <w:r>
        <w:rPr>
          <w:rFonts w:cs="Calibri" w:cstheme="minorHAnsi"/>
          <w:color w:val="000000"/>
          <w:sz w:val="24"/>
          <w:szCs w:val="24"/>
          <w:shd w:fill="auto" w:val="clear"/>
        </w:rPr>
        <w:tab/>
        <w:t>6.4.1. Comprovação de aptidão para a execução dos serviços similares de complexidade tecnológica e operacional equivalente ou superior ao objeto da contratação, ou com o item ou grupo pertinente, mediante a apresentação de certidão(ões) ou atestado(s) fornecido(s) por pessoas jurídicas de direito público ou privado.</w:t>
      </w:r>
    </w:p>
    <w:p>
      <w:pPr>
        <w:pStyle w:val="Corpo1"/>
        <w:spacing w:before="0" w:after="0"/>
        <w:jc w:val="both"/>
        <w:rPr>
          <w:rFonts w:ascii="Times New Roman" w:hAnsi="Times New Roman" w:cs="Calibri" w:cstheme="minorHAnsi"/>
          <w:color w:val="000000"/>
          <w:sz w:val="24"/>
          <w:szCs w:val="24"/>
          <w:highlight w:val="none"/>
          <w:shd w:fill="auto" w:val="clear"/>
        </w:rPr>
      </w:pPr>
      <w:r>
        <w:rPr>
          <w:rFonts w:cs="Calibri" w:cstheme="minorHAnsi"/>
          <w:color w:val="000000"/>
          <w:sz w:val="24"/>
          <w:szCs w:val="24"/>
          <w:shd w:fill="auto" w:val="clear"/>
        </w:rPr>
      </w:r>
    </w:p>
    <w:p>
      <w:pPr>
        <w:pStyle w:val="Corpo1"/>
        <w:spacing w:before="0" w:after="0"/>
        <w:jc w:val="both"/>
        <w:rPr>
          <w:rFonts w:ascii="Times New Roman" w:hAnsi="Times New Roman"/>
          <w:sz w:val="24"/>
          <w:szCs w:val="24"/>
        </w:rPr>
      </w:pPr>
      <w:r>
        <w:rPr>
          <w:rFonts w:cs="Calibri" w:cstheme="minorHAnsi"/>
          <w:color w:val="000000"/>
          <w:sz w:val="24"/>
          <w:szCs w:val="24"/>
          <w:shd w:fill="auto" w:val="clear"/>
        </w:rPr>
        <w:tab/>
        <w:tab/>
        <w:t>6.4.1.1. Será admitida, para fins de comprovação de quantitativo mínimo do serviço, a apresentação de diferentes atestados de serviços executados de forma concomitante, pois essa situação se equivale, para fins de comprovação de capacitação técnico-operacional, a uma única contratação.</w:t>
      </w:r>
    </w:p>
    <w:p>
      <w:pPr>
        <w:pStyle w:val="Corpo1"/>
        <w:spacing w:before="0" w:after="0"/>
        <w:jc w:val="both"/>
        <w:rPr>
          <w:rFonts w:ascii="Times New Roman" w:hAnsi="Times New Roman" w:cs="Calibri" w:cstheme="minorHAnsi"/>
          <w:color w:val="000000"/>
          <w:sz w:val="24"/>
          <w:szCs w:val="24"/>
          <w:highlight w:val="none"/>
          <w:shd w:fill="auto" w:val="clear"/>
        </w:rPr>
      </w:pPr>
      <w:r>
        <w:rPr>
          <w:rFonts w:cs="Calibri" w:cstheme="minorHAnsi"/>
          <w:color w:val="000000"/>
          <w:sz w:val="24"/>
          <w:szCs w:val="24"/>
          <w:shd w:fill="auto" w:val="clear"/>
        </w:rPr>
      </w:r>
    </w:p>
    <w:p>
      <w:pPr>
        <w:pStyle w:val="Corpo1"/>
        <w:spacing w:before="0" w:after="0"/>
        <w:jc w:val="both"/>
        <w:rPr>
          <w:rFonts w:ascii="Times New Roman" w:hAnsi="Times New Roman"/>
          <w:sz w:val="24"/>
          <w:szCs w:val="24"/>
        </w:rPr>
      </w:pPr>
      <w:r>
        <w:rPr>
          <w:rFonts w:cs="Calibri" w:cstheme="minorHAnsi"/>
          <w:color w:val="000000"/>
          <w:sz w:val="24"/>
          <w:szCs w:val="24"/>
          <w:shd w:fill="auto" w:val="clear"/>
        </w:rPr>
        <w:tab/>
        <w:tab/>
        <w:t>6.4.1.2. O fornecedor disponibilizará, caso solicitado pelo agente público, todas as informações necessárias à comprovação da legitimidade dos atestados apresentados, encaminhando, dentre outros documentos, cópia do contrato que lastreou a contratação, endereço atual da Contratante e local em que foi executado o objeto.</w:t>
      </w:r>
    </w:p>
    <w:p>
      <w:pPr>
        <w:pStyle w:val="ListParagraph"/>
        <w:suppressAutoHyphens w:val="false"/>
        <w:spacing w:before="0" w:after="0"/>
        <w:ind w:hanging="0" w:left="0" w:right="-30"/>
        <w:contextualSpacing/>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PADRO"/>
        <w:widowControl/>
        <w:shd w:val="clear" w:fill="FFFFFF"/>
        <w:spacing w:lineRule="auto" w:line="240" w:before="0" w:after="0"/>
        <w:ind w:hanging="0"/>
        <w:rPr>
          <w:rFonts w:ascii="Times New Roman" w:hAnsi="Times New Roman"/>
          <w:sz w:val="24"/>
          <w:szCs w:val="24"/>
        </w:rPr>
      </w:pPr>
      <w:r>
        <w:rPr>
          <w:rFonts w:cs="Calibri" w:ascii="Times New Roman" w:hAnsi="Times New Roman" w:cstheme="minorHAnsi"/>
          <w:color w:val="000000"/>
          <w:sz w:val="24"/>
          <w:szCs w:val="24"/>
          <w:shd w:fill="auto" w:val="clear"/>
        </w:rPr>
        <w:tab/>
        <w:t>6.4.2. Em relação às fornecedoras cooperativas será, ainda, exigida a seguinte documentação complementar:</w:t>
      </w:r>
    </w:p>
    <w:p>
      <w:pPr>
        <w:pStyle w:val="PADRO"/>
        <w:keepNext w:val="false"/>
        <w:widowControl/>
        <w:shd w:val="clear" w:fill="FFFFFF"/>
        <w:spacing w:lineRule="auto" w:line="240" w:before="0" w:after="0"/>
        <w:ind w:hanging="0"/>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PADRO"/>
        <w:keepNext w:val="false"/>
        <w:widowControl/>
        <w:shd w:val="clear" w:fill="FFFFFF"/>
        <w:spacing w:lineRule="auto" w:line="240" w:before="0" w:after="0"/>
        <w:ind w:hanging="0"/>
        <w:rPr>
          <w:rFonts w:ascii="Times New Roman" w:hAnsi="Times New Roman"/>
          <w:sz w:val="24"/>
          <w:szCs w:val="24"/>
        </w:rPr>
      </w:pPr>
      <w:r>
        <w:rPr>
          <w:rFonts w:cs="Calibri" w:ascii="Times New Roman" w:hAnsi="Times New Roman" w:cstheme="minorHAnsi"/>
          <w:color w:val="000000"/>
          <w:sz w:val="24"/>
          <w:szCs w:val="24"/>
          <w:shd w:fill="auto" w:val="clear"/>
        </w:rPr>
        <w:tab/>
        <w:tab/>
        <w:t>6.4.7.1. A relação dos cooperados que atendem aos requisitos técnicos exigidos para a contratação e que executarão o contrato, com as respectivas atas de inscrição e a comprovação de que estão domiciliados na localidade da sede da cooperativa, respeitado o disposto no inciso XI do artigo 4º, inciso I do artigo 21, e §§ 2º a 6º do artigo 42 da Lei nº 5.764/1971;</w:t>
      </w:r>
    </w:p>
    <w:p>
      <w:pPr>
        <w:pStyle w:val="PADRO"/>
        <w:keepNext w:val="false"/>
        <w:widowControl/>
        <w:shd w:val="clear" w:fill="FFFFFF"/>
        <w:spacing w:lineRule="auto" w:line="240" w:before="0" w:after="0"/>
        <w:ind w:hanging="0"/>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PADRO"/>
        <w:keepNext w:val="false"/>
        <w:widowControl/>
        <w:shd w:val="clear" w:fill="FFFFFF"/>
        <w:spacing w:lineRule="auto" w:line="240" w:before="0" w:after="0"/>
        <w:ind w:hanging="0"/>
        <w:rPr>
          <w:rFonts w:ascii="Times New Roman" w:hAnsi="Times New Roman"/>
          <w:sz w:val="24"/>
          <w:szCs w:val="24"/>
        </w:rPr>
      </w:pPr>
      <w:r>
        <w:rPr>
          <w:rFonts w:cs="Calibri" w:ascii="Times New Roman" w:hAnsi="Times New Roman" w:cstheme="minorHAnsi"/>
          <w:color w:val="000000"/>
          <w:sz w:val="24"/>
          <w:szCs w:val="24"/>
          <w:shd w:fill="auto" w:val="clear"/>
        </w:rPr>
        <w:tab/>
        <w:tab/>
        <w:t>6.4.7.2. A declaração de regularidade de situação do contribuinte individual – DRSCI, para cada um dos cooperados indicados;</w:t>
      </w:r>
    </w:p>
    <w:p>
      <w:pPr>
        <w:pStyle w:val="PADRO"/>
        <w:keepNext w:val="false"/>
        <w:widowControl/>
        <w:shd w:val="clear" w:fill="FFFFFF"/>
        <w:spacing w:lineRule="auto" w:line="240" w:before="0" w:after="0"/>
        <w:ind w:hanging="0"/>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PADRO"/>
        <w:keepNext w:val="false"/>
        <w:widowControl/>
        <w:shd w:val="clear" w:fill="FFFFFF"/>
        <w:spacing w:lineRule="auto" w:line="240" w:before="0" w:after="0"/>
        <w:ind w:hanging="0"/>
        <w:rPr>
          <w:rFonts w:ascii="Times New Roman" w:hAnsi="Times New Roman"/>
          <w:sz w:val="24"/>
          <w:szCs w:val="24"/>
        </w:rPr>
      </w:pPr>
      <w:r>
        <w:rPr>
          <w:rFonts w:cs="Calibri" w:ascii="Times New Roman" w:hAnsi="Times New Roman" w:cstheme="minorHAnsi"/>
          <w:color w:val="000000"/>
          <w:sz w:val="24"/>
          <w:szCs w:val="24"/>
          <w:shd w:fill="auto" w:val="clear"/>
        </w:rPr>
        <w:tab/>
        <w:tab/>
        <w:t xml:space="preserve">6.4.7.3. A comprovação do capital social proporcional ao número de cooperados necessários à prestação do serviço; </w:t>
      </w:r>
    </w:p>
    <w:p>
      <w:pPr>
        <w:pStyle w:val="PADRO"/>
        <w:keepNext w:val="false"/>
        <w:widowControl/>
        <w:shd w:val="clear" w:fill="FFFFFF"/>
        <w:spacing w:lineRule="auto" w:line="240" w:before="0" w:after="0"/>
        <w:ind w:hanging="0"/>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PADRO"/>
        <w:keepNext w:val="false"/>
        <w:widowControl/>
        <w:shd w:val="clear" w:fill="FFFFFF"/>
        <w:spacing w:lineRule="auto" w:line="240" w:before="0" w:after="0"/>
        <w:ind w:hanging="0"/>
        <w:rPr>
          <w:rFonts w:ascii="Times New Roman" w:hAnsi="Times New Roman"/>
          <w:sz w:val="24"/>
          <w:szCs w:val="24"/>
        </w:rPr>
      </w:pPr>
      <w:r>
        <w:rPr>
          <w:rFonts w:cs="Calibri" w:ascii="Times New Roman" w:hAnsi="Times New Roman" w:cstheme="minorHAnsi"/>
          <w:color w:val="000000"/>
          <w:sz w:val="24"/>
          <w:szCs w:val="24"/>
          <w:shd w:fill="auto" w:val="clear"/>
        </w:rPr>
        <w:tab/>
        <w:tab/>
        <w:t>6.4.7.4. O registro previsto no art. 107 da Lei n. 5.764/1971; e</w:t>
      </w:r>
    </w:p>
    <w:p>
      <w:pPr>
        <w:pStyle w:val="PADRO"/>
        <w:keepNext w:val="false"/>
        <w:widowControl/>
        <w:shd w:val="clear" w:fill="FFFFFF"/>
        <w:spacing w:lineRule="auto" w:line="240" w:before="0" w:after="0"/>
        <w:ind w:hanging="0"/>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PADRO"/>
        <w:keepNext w:val="false"/>
        <w:widowControl/>
        <w:shd w:val="clear" w:fill="FFFFFF"/>
        <w:spacing w:lineRule="auto" w:line="240" w:before="0" w:after="0"/>
        <w:ind w:hanging="0"/>
        <w:rPr>
          <w:rFonts w:ascii="Times New Roman" w:hAnsi="Times New Roman"/>
          <w:sz w:val="24"/>
          <w:szCs w:val="24"/>
        </w:rPr>
      </w:pPr>
      <w:r>
        <w:rPr>
          <w:rFonts w:cs="Calibri" w:ascii="Times New Roman" w:hAnsi="Times New Roman" w:cstheme="minorHAnsi"/>
          <w:color w:val="000000"/>
          <w:sz w:val="24"/>
          <w:szCs w:val="24"/>
          <w:shd w:fill="auto" w:val="clear"/>
        </w:rPr>
        <w:tab/>
        <w:tab/>
        <w:t>6.4.7.5. A comprovação de integração das respectivas quotas-partes por parte dos cooperados que executarão o contrato.</w:t>
      </w:r>
    </w:p>
    <w:p>
      <w:pPr>
        <w:pStyle w:val="Normal"/>
        <w:tabs>
          <w:tab w:val="clear" w:pos="709"/>
          <w:tab w:val="left" w:pos="0" w:leader="none"/>
        </w:tabs>
        <w:snapToGrid w:val="false"/>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Corpo1"/>
        <w:spacing w:before="0" w:after="0"/>
        <w:jc w:val="both"/>
        <w:rPr>
          <w:rFonts w:ascii="Times New Roman" w:hAnsi="Times New Roman"/>
          <w:sz w:val="24"/>
          <w:szCs w:val="24"/>
        </w:rPr>
      </w:pPr>
      <w:r>
        <w:rPr>
          <w:rFonts w:cs="Calibri" w:cstheme="minorHAnsi"/>
          <w:b/>
          <w:color w:val="000000"/>
          <w:sz w:val="24"/>
          <w:szCs w:val="24"/>
          <w:shd w:fill="auto" w:val="clear"/>
        </w:rPr>
        <w:t>7. CONTRATAÇÃO:</w:t>
      </w:r>
      <w:bookmarkStart w:id="9" w:name="_Hlk103546849"/>
      <w:bookmarkEnd w:id="9"/>
    </w:p>
    <w:p>
      <w:pPr>
        <w:pStyle w:val="Corpo1"/>
        <w:spacing w:before="0" w:after="0"/>
        <w:jc w:val="both"/>
        <w:rPr>
          <w:rFonts w:ascii="Times New Roman" w:hAnsi="Times New Roman" w:cs="Calibri" w:cstheme="minorHAnsi"/>
          <w:color w:val="000000"/>
          <w:sz w:val="24"/>
          <w:szCs w:val="24"/>
          <w:highlight w:val="none"/>
          <w:shd w:fill="auto" w:val="clear"/>
        </w:rPr>
      </w:pPr>
      <w:r>
        <w:rPr>
          <w:rFonts w:cs="Calibri" w:cstheme="minorHAnsi"/>
          <w:color w:val="000000"/>
          <w:sz w:val="24"/>
          <w:szCs w:val="24"/>
          <w:shd w:fill="auto" w:val="clear"/>
        </w:rPr>
      </w:r>
    </w:p>
    <w:p>
      <w:pPr>
        <w:pStyle w:val="Corpo1"/>
        <w:spacing w:before="0" w:after="0"/>
        <w:jc w:val="both"/>
        <w:rPr>
          <w:rFonts w:ascii="Times New Roman" w:hAnsi="Times New Roman"/>
          <w:sz w:val="24"/>
          <w:szCs w:val="24"/>
        </w:rPr>
      </w:pPr>
      <w:r>
        <w:rPr>
          <w:rFonts w:cs="Calibri" w:cstheme="minorHAnsi"/>
          <w:color w:val="000000"/>
          <w:sz w:val="24"/>
          <w:szCs w:val="24"/>
          <w:shd w:fill="auto" w:val="clear"/>
        </w:rPr>
        <w:t>7.1. É DISPENSÁVEL o Termo de Contrato e facultada a substituição por carta-contrato, nota de empenho de despesa, autorização de compra, ordem de serviço ou outros instrumentos hábeis, na forma do artigo 95 da Lei nº 14.133/2021.</w:t>
      </w:r>
    </w:p>
    <w:p>
      <w:pPr>
        <w:pStyle w:val="Corpo1"/>
        <w:spacing w:before="0" w:after="0"/>
        <w:jc w:val="both"/>
        <w:rPr>
          <w:rFonts w:ascii="Times New Roman" w:hAnsi="Times New Roman" w:cs="Calibri" w:cstheme="minorHAnsi"/>
          <w:color w:val="000000"/>
          <w:sz w:val="24"/>
          <w:szCs w:val="24"/>
          <w:highlight w:val="none"/>
          <w:shd w:fill="auto" w:val="clear"/>
        </w:rPr>
      </w:pPr>
      <w:r>
        <w:rPr>
          <w:rFonts w:cs="Calibri" w:cstheme="minorHAnsi"/>
          <w:color w:val="000000"/>
          <w:sz w:val="24"/>
          <w:szCs w:val="24"/>
          <w:shd w:fill="auto" w:val="clear"/>
        </w:rPr>
      </w:r>
    </w:p>
    <w:p>
      <w:pPr>
        <w:pStyle w:val="Default"/>
        <w:rPr>
          <w:rFonts w:ascii="Times New Roman" w:hAnsi="Times New Roman"/>
          <w:sz w:val="24"/>
          <w:szCs w:val="24"/>
        </w:rPr>
      </w:pPr>
      <w:r>
        <w:rPr>
          <w:rFonts w:cs="Calibri" w:ascii="Times New Roman" w:hAnsi="Times New Roman" w:cstheme="minorHAnsi"/>
          <w:b/>
          <w:bCs/>
          <w:iCs/>
          <w:color w:val="000000"/>
          <w:sz w:val="24"/>
          <w:szCs w:val="24"/>
          <w:shd w:fill="auto" w:val="clear"/>
        </w:rPr>
        <w:t>8. OBRIGAÇÕES DA CONTRATANTE</w:t>
      </w:r>
    </w:p>
    <w:p>
      <w:pPr>
        <w:pStyle w:val="Default"/>
        <w:rPr>
          <w:rFonts w:ascii="Times New Roman" w:hAnsi="Times New Roman" w:cs="Calibri" w:cstheme="minorHAnsi"/>
          <w:b/>
          <w:bCs/>
          <w:iCs/>
          <w:color w:val="000000"/>
          <w:sz w:val="24"/>
          <w:szCs w:val="24"/>
          <w:highlight w:val="none"/>
          <w:shd w:fill="auto" w:val="clear"/>
        </w:rPr>
      </w:pPr>
      <w:r>
        <w:rPr>
          <w:rFonts w:cs="Calibri" w:cstheme="minorHAnsi" w:ascii="Times New Roman" w:hAnsi="Times New Roman"/>
          <w:b/>
          <w:bCs/>
          <w:iCs/>
          <w:color w:val="000000"/>
          <w:sz w:val="24"/>
          <w:szCs w:val="24"/>
          <w:shd w:fill="auto" w:val="clear"/>
        </w:rPr>
      </w:r>
    </w:p>
    <w:p>
      <w:pPr>
        <w:pStyle w:val="Corpo1"/>
        <w:tabs>
          <w:tab w:val="clear" w:pos="709"/>
          <w:tab w:val="left" w:pos="1440" w:leader="none"/>
        </w:tabs>
        <w:suppressAutoHyphens w:val="false"/>
        <w:spacing w:before="0" w:after="0"/>
        <w:jc w:val="both"/>
        <w:rPr>
          <w:rFonts w:ascii="Times New Roman" w:hAnsi="Times New Roman"/>
          <w:sz w:val="24"/>
          <w:szCs w:val="24"/>
        </w:rPr>
      </w:pPr>
      <w:r>
        <w:rPr>
          <w:rFonts w:cs="Calibri" w:cstheme="minorHAnsi"/>
          <w:iCs/>
          <w:color w:val="000000"/>
          <w:sz w:val="24"/>
          <w:szCs w:val="24"/>
          <w:shd w:fill="auto" w:val="clear"/>
        </w:rPr>
        <w:t>8.1. Efetuar o pagamento à Contratada nas condições e preços pactuados;</w:t>
      </w:r>
    </w:p>
    <w:p>
      <w:pPr>
        <w:pStyle w:val="Corpo1"/>
        <w:tabs>
          <w:tab w:val="clear" w:pos="709"/>
          <w:tab w:val="left" w:pos="1440" w:leader="none"/>
        </w:tabs>
        <w:suppressAutoHyphens w:val="false"/>
        <w:spacing w:before="0" w:after="0"/>
        <w:jc w:val="both"/>
        <w:rPr>
          <w:rFonts w:ascii="Times New Roman" w:hAnsi="Times New Roman" w:cs="Calibri" w:cstheme="minorHAnsi"/>
          <w:iCs/>
          <w:color w:val="000000"/>
          <w:sz w:val="24"/>
          <w:szCs w:val="24"/>
          <w:highlight w:val="none"/>
          <w:shd w:fill="auto" w:val="clear"/>
        </w:rPr>
      </w:pPr>
      <w:r>
        <w:rPr>
          <w:rFonts w:cs="Calibri" w:cstheme="minorHAnsi"/>
          <w:iCs/>
          <w:color w:val="000000"/>
          <w:sz w:val="24"/>
          <w:szCs w:val="24"/>
          <w:shd w:fill="auto" w:val="clear"/>
        </w:rPr>
      </w:r>
    </w:p>
    <w:p>
      <w:pPr>
        <w:pStyle w:val="Corpo1"/>
        <w:tabs>
          <w:tab w:val="clear" w:pos="709"/>
          <w:tab w:val="left" w:pos="1440" w:leader="none"/>
        </w:tabs>
        <w:spacing w:before="0" w:after="0"/>
        <w:jc w:val="both"/>
        <w:rPr>
          <w:rFonts w:ascii="Times New Roman" w:hAnsi="Times New Roman"/>
          <w:sz w:val="24"/>
          <w:szCs w:val="24"/>
        </w:rPr>
      </w:pPr>
      <w:r>
        <w:rPr>
          <w:rFonts w:cs="Calibri" w:cstheme="minorHAnsi"/>
          <w:color w:val="000000"/>
          <w:sz w:val="24"/>
          <w:szCs w:val="24"/>
          <w:shd w:fill="auto" w:val="clear"/>
        </w:rPr>
        <w:t>8.2. Assegurar o livre acesso dos empregados da Contratada a todos os locais onde se fizerem necessários para a execução dos serviços;</w:t>
      </w:r>
    </w:p>
    <w:p>
      <w:pPr>
        <w:pStyle w:val="Corpo1"/>
        <w:tabs>
          <w:tab w:val="clear" w:pos="709"/>
          <w:tab w:val="left" w:pos="1440" w:leader="none"/>
        </w:tabs>
        <w:spacing w:before="0" w:after="0"/>
        <w:jc w:val="both"/>
        <w:rPr>
          <w:rFonts w:ascii="Times New Roman" w:hAnsi="Times New Roman" w:cs="Calibri" w:cstheme="minorHAnsi"/>
          <w:color w:val="000000"/>
          <w:sz w:val="24"/>
          <w:szCs w:val="24"/>
          <w:highlight w:val="none"/>
          <w:shd w:fill="auto" w:val="clear"/>
        </w:rPr>
      </w:pPr>
      <w:r>
        <w:rPr>
          <w:rFonts w:cs="Calibri" w:cstheme="minorHAnsi"/>
          <w:color w:val="000000"/>
          <w:sz w:val="24"/>
          <w:szCs w:val="24"/>
          <w:shd w:fill="auto" w:val="clear"/>
        </w:rPr>
      </w:r>
    </w:p>
    <w:p>
      <w:pPr>
        <w:pStyle w:val="Corpo1"/>
        <w:tabs>
          <w:tab w:val="clear" w:pos="709"/>
          <w:tab w:val="left" w:pos="1440" w:leader="none"/>
        </w:tabs>
        <w:spacing w:before="0" w:after="0"/>
        <w:jc w:val="both"/>
        <w:rPr>
          <w:rFonts w:ascii="Times New Roman" w:hAnsi="Times New Roman"/>
          <w:sz w:val="24"/>
          <w:szCs w:val="24"/>
        </w:rPr>
      </w:pPr>
      <w:r>
        <w:rPr>
          <w:rFonts w:cs="Calibri" w:cstheme="minorHAnsi"/>
          <w:color w:val="000000"/>
          <w:sz w:val="24"/>
          <w:szCs w:val="24"/>
          <w:shd w:fill="auto" w:val="clear"/>
        </w:rPr>
        <w:t xml:space="preserve">8.3. Acompanhar, fiscalizar e avaliar </w:t>
      </w:r>
      <w:r>
        <w:rPr>
          <w:rFonts w:cs="Calibri" w:cstheme="minorHAnsi"/>
          <w:color w:val="000000"/>
          <w:sz w:val="24"/>
          <w:szCs w:val="24"/>
          <w:shd w:fill="auto" w:val="clear"/>
          <w:lang w:eastAsia="en-US"/>
        </w:rPr>
        <w:t>o cumprimento das obrigações da Contratada, através de servidor especialmente designado</w:t>
      </w:r>
      <w:r>
        <w:rPr>
          <w:rFonts w:cs="Calibri" w:cstheme="minorHAnsi"/>
          <w:color w:val="000000"/>
          <w:sz w:val="24"/>
          <w:szCs w:val="24"/>
          <w:shd w:fill="auto" w:val="clear"/>
        </w:rPr>
        <w:t>;</w:t>
      </w:r>
    </w:p>
    <w:p>
      <w:pPr>
        <w:pStyle w:val="Corpo1"/>
        <w:tabs>
          <w:tab w:val="clear" w:pos="709"/>
          <w:tab w:val="left" w:pos="1440" w:leader="none"/>
        </w:tabs>
        <w:spacing w:before="0" w:after="0"/>
        <w:jc w:val="both"/>
        <w:rPr>
          <w:rFonts w:ascii="Times New Roman" w:hAnsi="Times New Roman" w:cs="Calibri" w:cstheme="minorHAnsi"/>
          <w:color w:val="000000"/>
          <w:sz w:val="24"/>
          <w:szCs w:val="24"/>
          <w:highlight w:val="none"/>
          <w:shd w:fill="auto" w:val="clear"/>
        </w:rPr>
      </w:pPr>
      <w:r>
        <w:rPr>
          <w:rFonts w:cs="Calibri" w:cstheme="minorHAnsi"/>
          <w:color w:val="000000"/>
          <w:sz w:val="24"/>
          <w:szCs w:val="24"/>
          <w:shd w:fill="auto" w:val="clear"/>
        </w:rPr>
      </w:r>
    </w:p>
    <w:p>
      <w:pPr>
        <w:pStyle w:val="Normal"/>
        <w:jc w:val="both"/>
        <w:rPr>
          <w:rFonts w:ascii="Times New Roman" w:hAnsi="Times New Roman"/>
          <w:sz w:val="24"/>
          <w:szCs w:val="24"/>
        </w:rPr>
      </w:pPr>
      <w:r>
        <w:rPr>
          <w:rFonts w:cs="Calibri" w:ascii="Times New Roman" w:hAnsi="Times New Roman" w:cstheme="minorHAnsi"/>
          <w:color w:val="000000"/>
          <w:sz w:val="24"/>
          <w:szCs w:val="24"/>
          <w:shd w:fill="auto" w:val="clear"/>
        </w:rPr>
        <w:t xml:space="preserve">8.4. </w:t>
      </w:r>
      <w:r>
        <w:rPr>
          <w:rFonts w:cs="Calibri" w:ascii="Times New Roman" w:hAnsi="Times New Roman" w:cstheme="minorHAnsi"/>
          <w:color w:val="000000"/>
          <w:sz w:val="24"/>
          <w:szCs w:val="24"/>
          <w:shd w:fill="auto" w:val="clear"/>
          <w:lang w:eastAsia="en-US"/>
        </w:rPr>
        <w:t>Verificar minuciosamente, no prazo fixado, a conformidade do(s) serviço(s) recebido(s) provisoriamente com as especificações constantes neste Termo de Referência, para fins de aceitação e recebimento definitivo;</w:t>
      </w:r>
    </w:p>
    <w:p>
      <w:pPr>
        <w:pStyle w:val="Normal"/>
        <w:jc w:val="both"/>
        <w:rPr>
          <w:rFonts w:ascii="Times New Roman" w:hAnsi="Times New Roman" w:cs="Calibri" w:cstheme="minorHAnsi"/>
          <w:color w:val="000000"/>
          <w:sz w:val="24"/>
          <w:szCs w:val="24"/>
          <w:highlight w:val="none"/>
          <w:shd w:fill="auto" w:val="clear"/>
          <w:lang w:eastAsia="en-US"/>
        </w:rPr>
      </w:pPr>
      <w:r>
        <w:rPr>
          <w:rFonts w:cs="Calibri" w:cstheme="minorHAnsi" w:ascii="Times New Roman" w:hAnsi="Times New Roman"/>
          <w:color w:val="000000"/>
          <w:sz w:val="24"/>
          <w:szCs w:val="24"/>
          <w:shd w:fill="auto" w:val="clear"/>
          <w:lang w:eastAsia="en-US"/>
        </w:rPr>
      </w:r>
    </w:p>
    <w:p>
      <w:pPr>
        <w:pStyle w:val="Corpo1"/>
        <w:tabs>
          <w:tab w:val="clear" w:pos="709"/>
          <w:tab w:val="left" w:pos="1440" w:leader="none"/>
        </w:tabs>
        <w:spacing w:before="0" w:after="0"/>
        <w:jc w:val="both"/>
        <w:rPr>
          <w:rFonts w:ascii="Times New Roman" w:hAnsi="Times New Roman"/>
          <w:sz w:val="24"/>
          <w:szCs w:val="24"/>
        </w:rPr>
      </w:pPr>
      <w:r>
        <w:rPr>
          <w:rFonts w:cs="Calibri" w:cstheme="minorHAnsi"/>
          <w:color w:val="000000"/>
          <w:sz w:val="24"/>
          <w:szCs w:val="24"/>
          <w:shd w:fill="auto" w:val="clear"/>
          <w:lang w:eastAsia="en-US"/>
        </w:rPr>
        <w:t>8.5. Anotar em registro próprio todas as ocorrências relacionadas com a execução dos serviços contratados, determinando o que for necessário à regularização das faltas ou irregularidades observadas;</w:t>
      </w:r>
    </w:p>
    <w:p>
      <w:pPr>
        <w:pStyle w:val="Normal"/>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Normal"/>
        <w:jc w:val="both"/>
        <w:rPr>
          <w:rFonts w:ascii="Times New Roman" w:hAnsi="Times New Roman"/>
          <w:sz w:val="24"/>
          <w:szCs w:val="24"/>
        </w:rPr>
      </w:pPr>
      <w:r>
        <w:rPr>
          <w:rFonts w:cs="Calibri" w:ascii="Times New Roman" w:hAnsi="Times New Roman" w:cstheme="minorHAnsi"/>
          <w:color w:val="000000"/>
          <w:sz w:val="24"/>
          <w:szCs w:val="24"/>
          <w:shd w:fill="auto" w:val="clear"/>
        </w:rPr>
        <w:t>8.6. Rejeitar, no todo ou em parte, os serviços executados em desacordo com as especificações estabelecidas neste Termo de Referência, em cumprimento ao disposto no § 1º do artigo 140 da Lei nº 14.133/2021;</w:t>
      </w:r>
    </w:p>
    <w:p>
      <w:pPr>
        <w:pStyle w:val="Normal"/>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Normal"/>
        <w:jc w:val="both"/>
        <w:rPr>
          <w:rFonts w:ascii="Times New Roman" w:hAnsi="Times New Roman"/>
          <w:sz w:val="24"/>
          <w:szCs w:val="24"/>
        </w:rPr>
      </w:pPr>
      <w:r>
        <w:rPr>
          <w:rFonts w:cs="Calibri" w:ascii="Times New Roman" w:hAnsi="Times New Roman" w:cstheme="minorHAnsi"/>
          <w:color w:val="000000"/>
          <w:sz w:val="24"/>
          <w:szCs w:val="24"/>
          <w:shd w:fill="auto" w:val="clear"/>
        </w:rPr>
        <w:t>8.7. Notificar por escrito o preposto da Contratada da não aceitação do serviço, se for o caso, para que seja refeito ou corrigido, sem prejuízo da aplicação das sanções administrativas cabíveis e eventual rescisão contratual;</w:t>
      </w:r>
    </w:p>
    <w:p>
      <w:pPr>
        <w:pStyle w:val="Normal"/>
        <w:jc w:val="both"/>
        <w:rPr>
          <w:rFonts w:ascii="Times New Roman" w:hAnsi="Times New Roman" w:cs="Calibri" w:cstheme="minorHAnsi"/>
          <w:color w:val="000000"/>
          <w:sz w:val="24"/>
          <w:szCs w:val="24"/>
          <w:highlight w:val="none"/>
          <w:shd w:fill="auto" w:val="clear"/>
        </w:rPr>
      </w:pPr>
      <w:r>
        <w:rPr>
          <w:rFonts w:cs="Calibri" w:cstheme="minorHAnsi" w:ascii="Times New Roman" w:hAnsi="Times New Roman"/>
          <w:color w:val="000000"/>
          <w:sz w:val="24"/>
          <w:szCs w:val="24"/>
          <w:shd w:fill="auto" w:val="clear"/>
        </w:rPr>
      </w:r>
    </w:p>
    <w:p>
      <w:pPr>
        <w:pStyle w:val="Normal"/>
        <w:jc w:val="both"/>
        <w:rPr>
          <w:rFonts w:ascii="Times New Roman" w:hAnsi="Times New Roman"/>
          <w:sz w:val="24"/>
          <w:szCs w:val="24"/>
        </w:rPr>
      </w:pPr>
      <w:r>
        <w:rPr>
          <w:rFonts w:cs="Calibri" w:ascii="Times New Roman" w:hAnsi="Times New Roman" w:cstheme="minorHAnsi"/>
          <w:color w:val="000000"/>
          <w:sz w:val="24"/>
          <w:szCs w:val="24"/>
          <w:shd w:fill="auto" w:val="clear"/>
        </w:rPr>
        <w:t>8.8. Aplicar as sanções administrativas contratuais, quando necessário</w:t>
      </w:r>
      <w:bookmarkStart w:id="10" w:name="_Hlk130733234"/>
      <w:bookmarkEnd w:id="10"/>
      <w:r>
        <w:rPr>
          <w:rFonts w:cs="Calibri" w:ascii="Times New Roman" w:hAnsi="Times New Roman" w:cstheme="minorHAnsi"/>
          <w:color w:val="000000"/>
          <w:sz w:val="24"/>
          <w:szCs w:val="24"/>
          <w:shd w:fill="auto" w:val="clear"/>
        </w:rPr>
        <w:t>.</w:t>
      </w:r>
    </w:p>
    <w:p>
      <w:pPr>
        <w:pStyle w:val="Normal"/>
        <w:jc w:val="both"/>
        <w:rPr>
          <w:rFonts w:ascii="Times New Roman" w:hAnsi="Times New Roman"/>
          <w:sz w:val="24"/>
          <w:szCs w:val="24"/>
        </w:rPr>
      </w:pPr>
      <w:r>
        <w:rPr>
          <w:rFonts w:ascii="Times New Roman" w:hAnsi="Times New Roman"/>
          <w:sz w:val="24"/>
          <w:szCs w:val="24"/>
        </w:rPr>
      </w:r>
    </w:p>
    <w:p>
      <w:pPr>
        <w:pStyle w:val="Corpo1"/>
        <w:spacing w:before="0" w:after="0"/>
        <w:jc w:val="both"/>
        <w:rPr>
          <w:rFonts w:ascii="Times New Roman" w:hAnsi="Times New Roman"/>
          <w:sz w:val="24"/>
          <w:szCs w:val="24"/>
        </w:rPr>
      </w:pPr>
      <w:r>
        <w:rPr>
          <w:rFonts w:cs="Calibri" w:cstheme="minorHAnsi"/>
          <w:b/>
          <w:bCs/>
          <w:sz w:val="24"/>
          <w:szCs w:val="24"/>
        </w:rPr>
        <w:t xml:space="preserve">9. OBRIGAÇÕES DA CONTRATADA </w:t>
      </w:r>
      <w:r>
        <w:rPr>
          <w:rFonts w:cs="Calibri" w:cstheme="minorHAnsi"/>
          <w:sz w:val="24"/>
          <w:szCs w:val="24"/>
        </w:rPr>
        <w:tab/>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bookmarkStart w:id="11" w:name="_Hlk120525733"/>
      <w:r>
        <w:rPr>
          <w:rFonts w:cs="Calibri" w:cstheme="minorHAnsi"/>
          <w:b/>
          <w:bCs/>
          <w:color w:val="000000"/>
          <w:sz w:val="24"/>
          <w:szCs w:val="24"/>
        </w:rPr>
        <w:t>9.1. Obrigações gerais</w:t>
      </w:r>
      <w:bookmarkEnd w:id="11"/>
    </w:p>
    <w:p>
      <w:pPr>
        <w:pStyle w:val="Corpo1"/>
        <w:spacing w:before="0" w:after="0"/>
        <w:jc w:val="both"/>
        <w:rPr>
          <w:rFonts w:ascii="Times New Roman" w:hAnsi="Times New Roman" w:cs="Calibri" w:cstheme="minorHAnsi"/>
          <w:b/>
          <w:bCs/>
          <w:color w:val="000000"/>
          <w:sz w:val="24"/>
          <w:szCs w:val="24"/>
        </w:rPr>
      </w:pPr>
      <w:r>
        <w:rPr>
          <w:rFonts w:cs="Calibri" w:cstheme="minorHAnsi"/>
          <w:b/>
          <w:bCs/>
          <w:color w:val="000000"/>
          <w:sz w:val="24"/>
          <w:szCs w:val="24"/>
        </w:rPr>
      </w:r>
    </w:p>
    <w:p>
      <w:pPr>
        <w:pStyle w:val="Corpo1"/>
        <w:spacing w:before="0" w:after="0"/>
        <w:jc w:val="both"/>
        <w:rPr>
          <w:rFonts w:ascii="Times New Roman" w:hAnsi="Times New Roman"/>
          <w:sz w:val="24"/>
          <w:szCs w:val="24"/>
        </w:rPr>
      </w:pPr>
      <w:r>
        <w:rPr>
          <w:rFonts w:cs="Calibri" w:cstheme="minorHAnsi"/>
          <w:color w:val="000000"/>
          <w:sz w:val="24"/>
          <w:szCs w:val="24"/>
        </w:rPr>
        <w:tab/>
        <w:t>9.1.1. Executar o serviço objeto desta contratação de acordo com as condições e prazos propostos, e demais especificações constantes neste Termo de Referência;</w:t>
      </w:r>
    </w:p>
    <w:p>
      <w:pPr>
        <w:pStyle w:val="Corpo1"/>
        <w:tabs>
          <w:tab w:val="clear" w:pos="709"/>
          <w:tab w:val="left" w:pos="0" w:leader="none"/>
        </w:tabs>
        <w:spacing w:before="0" w:after="0"/>
        <w:jc w:val="both"/>
        <w:rPr>
          <w:rFonts w:ascii="Times New Roman" w:hAnsi="Times New Roman" w:cs="Calibri" w:cstheme="minorHAnsi"/>
          <w:sz w:val="24"/>
          <w:szCs w:val="24"/>
        </w:rPr>
      </w:pPr>
      <w:r>
        <w:rPr>
          <w:rFonts w:cs="Calibri" w:cstheme="minorHAnsi"/>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color w:val="000000"/>
          <w:sz w:val="24"/>
          <w:szCs w:val="24"/>
        </w:rPr>
        <w:tab/>
        <w:t xml:space="preserve">9.1.2. Refazer ou corrigir, obrigatoriamente, qualquer serviço que esteja </w:t>
      </w:r>
      <w:r>
        <w:rPr>
          <w:rFonts w:eastAsia="Times New Roman" w:cs="Calibri" w:cstheme="minorHAnsi"/>
          <w:sz w:val="24"/>
          <w:szCs w:val="24"/>
          <w:lang w:bidi="ar-SA"/>
        </w:rPr>
        <w:t xml:space="preserve">em desconformidade </w:t>
      </w:r>
      <w:r>
        <w:rPr>
          <w:rFonts w:cs="Calibri" w:cstheme="minorHAnsi"/>
          <w:color w:val="000000"/>
          <w:sz w:val="24"/>
          <w:szCs w:val="24"/>
        </w:rPr>
        <w:t>no mesmo prazo definido para execução, ou em prazo específico caso tenha sido definido em cláusula própria deste Termo de Referência ou pelo fiscal do contrato;</w:t>
      </w:r>
    </w:p>
    <w:p>
      <w:pPr>
        <w:pStyle w:val="Corpo1"/>
        <w:tabs>
          <w:tab w:val="clear" w:pos="709"/>
          <w:tab w:val="left" w:pos="1440" w:leader="none"/>
        </w:tabs>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spacing w:before="0" w:after="0"/>
        <w:jc w:val="both"/>
        <w:rPr>
          <w:rFonts w:ascii="Times New Roman" w:hAnsi="Times New Roman"/>
          <w:sz w:val="24"/>
          <w:szCs w:val="24"/>
        </w:rPr>
      </w:pPr>
      <w:r>
        <w:rPr>
          <w:rFonts w:cs="Calibri" w:cstheme="minorHAnsi"/>
          <w:color w:val="000000"/>
          <w:sz w:val="24"/>
          <w:szCs w:val="24"/>
        </w:rPr>
        <w:tab/>
        <w:t>9.1.3. Manter seus empregados, quando nas dependências da Contratante, devidamente identificados com crachá subscrito pela Contratada;</w:t>
      </w:r>
    </w:p>
    <w:p>
      <w:pPr>
        <w:pStyle w:val="Corpo1"/>
        <w:tabs>
          <w:tab w:val="clear" w:pos="709"/>
          <w:tab w:val="left" w:pos="1440" w:leader="none"/>
        </w:tabs>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color w:val="000000"/>
          <w:sz w:val="24"/>
          <w:szCs w:val="24"/>
        </w:rPr>
        <w:tab/>
        <w:t>9.1.4. Manter durante toda a execução do contrato, todas as condições de habilitação e qualificação exigidas na contratação;</w:t>
      </w:r>
    </w:p>
    <w:p>
      <w:pPr>
        <w:pStyle w:val="Corpo1"/>
        <w:tabs>
          <w:tab w:val="clear" w:pos="709"/>
          <w:tab w:val="left" w:pos="1440" w:leader="none"/>
        </w:tabs>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color w:val="000000"/>
          <w:sz w:val="24"/>
          <w:szCs w:val="24"/>
        </w:rPr>
        <w:tab/>
        <w:t>9.1.5. Cumprir as exigências de reserva de cargos prevista em lei, bem como outras normas específicas, para pessoas com deficiência, para reabilitado da Previdência Social e para aprendiz;</w:t>
      </w:r>
    </w:p>
    <w:p>
      <w:pPr>
        <w:pStyle w:val="Corpo1"/>
        <w:tabs>
          <w:tab w:val="clear" w:pos="709"/>
          <w:tab w:val="left" w:pos="1440" w:leader="none"/>
        </w:tabs>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color w:val="000000"/>
          <w:sz w:val="24"/>
          <w:szCs w:val="24"/>
        </w:rPr>
        <w:tab/>
        <w:t>9.1.6. Designar formalmente o preposto da empresa para atuar junto à Contratante durante a execução contratual.</w:t>
      </w:r>
    </w:p>
    <w:p>
      <w:pPr>
        <w:pStyle w:val="Corpo1"/>
        <w:tabs>
          <w:tab w:val="clear" w:pos="709"/>
          <w:tab w:val="left" w:pos="1440" w:leader="none"/>
        </w:tabs>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spacing w:before="0" w:after="0"/>
        <w:jc w:val="both"/>
        <w:rPr>
          <w:rFonts w:ascii="Times New Roman" w:hAnsi="Times New Roman"/>
          <w:sz w:val="24"/>
          <w:szCs w:val="24"/>
        </w:rPr>
      </w:pPr>
      <w:r>
        <w:rPr>
          <w:rFonts w:cs="Calibri" w:cstheme="minorHAnsi"/>
          <w:sz w:val="24"/>
          <w:szCs w:val="24"/>
        </w:rPr>
        <w:tab/>
        <w:t>9.1.7. Prestar os esclarecimentos que forem solicitados pela Contratante, bem como dar ciência, imediatamente e por escrito, de qualquer anormalidade que verificar quando da execução do objeto desta contratação;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9.1.8. Dispor-se a toda e qualquer fiscalização da Contratante, no tocante ao fornecimento do objeto;</w:t>
      </w:r>
    </w:p>
    <w:p>
      <w:pPr>
        <w:pStyle w:val="Corpo1"/>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spacing w:before="0" w:after="0"/>
        <w:jc w:val="both"/>
        <w:rPr>
          <w:rFonts w:ascii="Times New Roman" w:hAnsi="Times New Roman"/>
          <w:sz w:val="24"/>
          <w:szCs w:val="24"/>
        </w:rPr>
      </w:pPr>
      <w:r>
        <w:rPr>
          <w:rFonts w:cs="Calibri" w:cstheme="minorHAnsi"/>
          <w:color w:val="000000"/>
          <w:sz w:val="24"/>
          <w:szCs w:val="24"/>
        </w:rPr>
        <w:tab/>
        <w:t>9.1.9. Comunicar imediatamente à Contratante qualquer alteração ocorrida no endereço, conta bancária e outros julgados necessários para o recebimento de correspondência;</w:t>
      </w:r>
    </w:p>
    <w:p>
      <w:pPr>
        <w:pStyle w:val="Corpo1"/>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spacing w:before="0" w:after="0"/>
        <w:jc w:val="both"/>
        <w:rPr>
          <w:rFonts w:ascii="Times New Roman" w:hAnsi="Times New Roman"/>
          <w:sz w:val="24"/>
          <w:szCs w:val="24"/>
        </w:rPr>
      </w:pPr>
      <w:r>
        <w:rPr>
          <w:rFonts w:cs="Calibri" w:cstheme="minorHAnsi"/>
          <w:color w:val="000000"/>
          <w:sz w:val="24"/>
          <w:szCs w:val="24"/>
        </w:rPr>
        <w:tab/>
        <w:t>9.1.10. Aceitar nas mesmas condições contratuais os acréscimos ou supressões que se fizerem necessários, de até 25% (vinte e cinco por cento) do valor inicialmente contratado, observado o disposto no artigo 125 da Lei nº 14.133/2021, servindo como base de cálculo para as alterações os preços unitários constantes na proposta vencedora;</w:t>
      </w:r>
    </w:p>
    <w:p>
      <w:pPr>
        <w:pStyle w:val="Corpo1"/>
        <w:tabs>
          <w:tab w:val="clear" w:pos="709"/>
          <w:tab w:val="left" w:pos="1440" w:leader="none"/>
        </w:tabs>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spacing w:before="0" w:after="0"/>
        <w:jc w:val="both"/>
        <w:rPr>
          <w:rFonts w:ascii="Times New Roman" w:hAnsi="Times New Roman"/>
          <w:sz w:val="24"/>
          <w:szCs w:val="24"/>
        </w:rPr>
      </w:pPr>
      <w:r>
        <w:rPr>
          <w:rFonts w:cs="Calibri" w:cstheme="minorHAnsi"/>
          <w:sz w:val="24"/>
          <w:szCs w:val="24"/>
        </w:rPr>
        <w:tab/>
        <w:t>9.1.11. Indenizar terceiros, bem como a Contratante, mesmo em caso de ausência ou omissão de fiscalização de sua parte, por quaisquer danos ou prejuízos causados, devendo a Contratada adotar todas as medidas preventivas, com fiel observância as exigências das autoridades competentes e as disposições legais vigentes;</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9.1.12. Responsabilizar-se por quaisquer multas, indenizações ou despesas impostas à Contratada pela Contratante, em decorrência do descumprimento de lei ou de regulamento a ser observado na execução do contrato;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sz w:val="24"/>
          <w:szCs w:val="24"/>
        </w:rPr>
        <w:tab/>
        <w:t>9.1.13. Responsabilizar-se pelos encargos trabalhistas, previdenciários, fiscais e comerciais, resultantes da execução do contrato;</w:t>
      </w:r>
    </w:p>
    <w:p>
      <w:pPr>
        <w:pStyle w:val="Corpo1"/>
        <w:tabs>
          <w:tab w:val="clear" w:pos="709"/>
          <w:tab w:val="left" w:pos="1440" w:leader="none"/>
        </w:tabs>
        <w:spacing w:before="0" w:after="0"/>
        <w:jc w:val="both"/>
        <w:rPr>
          <w:rFonts w:ascii="Times New Roman" w:hAnsi="Times New Roman" w:cs="Calibri" w:cstheme="minorHAnsi"/>
          <w:sz w:val="24"/>
          <w:szCs w:val="24"/>
        </w:rPr>
      </w:pPr>
      <w:r>
        <w:rPr>
          <w:rFonts w:cs="Calibri" w:cstheme="minorHAnsi"/>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sz w:val="24"/>
          <w:szCs w:val="24"/>
        </w:rPr>
        <w:tab/>
        <w:tab/>
        <w:t>9.1.13.1. A inadimplência da Contratada em relação aos encargos trabalhistas, fiscais e comerciais não transferirá à Contratante a responsabilidade pelo seu pagamento e não poderá onerar o objeto do contrato.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sz w:val="24"/>
          <w:szCs w:val="24"/>
        </w:rPr>
        <w:tab/>
        <w:t>9.1.14. Autorizar a Contratante a descontar o valor correspondente a danos ou prejuízos diretamente das faturas pertinentes aos pagamentos que lhe forem devidos, ou da garantia contratual, se houver, independentemente de qualquer procedimento judicial, assegurada a prévia defesa;</w:t>
      </w:r>
    </w:p>
    <w:p>
      <w:pPr>
        <w:pStyle w:val="Corpo1"/>
        <w:tabs>
          <w:tab w:val="clear" w:pos="709"/>
          <w:tab w:val="left" w:pos="1440" w:leader="none"/>
        </w:tabs>
        <w:spacing w:before="0" w:after="0"/>
        <w:jc w:val="both"/>
        <w:rPr>
          <w:rFonts w:ascii="Times New Roman" w:hAnsi="Times New Roman" w:cs="Calibri" w:cstheme="minorHAnsi"/>
          <w:sz w:val="24"/>
          <w:szCs w:val="24"/>
        </w:rPr>
      </w:pPr>
      <w:r>
        <w:rPr>
          <w:rFonts w:cs="Calibri" w:cstheme="minorHAnsi"/>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color w:val="FF0000"/>
          <w:sz w:val="24"/>
          <w:szCs w:val="24"/>
        </w:rPr>
        <w:tab/>
      </w:r>
      <w:r>
        <w:rPr>
          <w:rFonts w:cs="Calibri" w:cstheme="minorHAnsi"/>
          <w:color w:val="000000"/>
          <w:sz w:val="24"/>
          <w:szCs w:val="24"/>
        </w:rPr>
        <w:t>9.1.15. Comunicar imediatamente à Contratante a ocorrência de associação com outrem, cessão ou transferência total ou parcial, bem como a fusão, cisão ou incorporação, para conhecimento e adoção das providências necessárias, inclusive quanto à análise de viabilidade de manutenção da relação contratual;</w:t>
      </w:r>
    </w:p>
    <w:p>
      <w:pPr>
        <w:pStyle w:val="Corpo1"/>
        <w:tabs>
          <w:tab w:val="clear" w:pos="709"/>
          <w:tab w:val="left" w:pos="1440" w:leader="none"/>
        </w:tabs>
        <w:spacing w:before="0" w:after="0"/>
        <w:jc w:val="both"/>
        <w:rPr>
          <w:rFonts w:ascii="Times New Roman" w:hAnsi="Times New Roman" w:cs="Calibri" w:cstheme="minorHAnsi"/>
          <w:color w:val="000000"/>
          <w:sz w:val="24"/>
          <w:szCs w:val="24"/>
        </w:rPr>
      </w:pPr>
      <w:r>
        <w:rPr>
          <w:rFonts w:cs="Calibri" w:cstheme="minorHAnsi"/>
          <w:color w:val="000000"/>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color w:val="000000"/>
          <w:sz w:val="24"/>
          <w:szCs w:val="24"/>
        </w:rPr>
        <w:tab/>
        <w:t>9.1.16. Não transferir a outrem, no todo ou em parte, o contrato firmado com a Contratante, sem prévia e expressa anuência;</w:t>
      </w:r>
    </w:p>
    <w:p>
      <w:pPr>
        <w:pStyle w:val="Corpo1"/>
        <w:tabs>
          <w:tab w:val="clear" w:pos="709"/>
          <w:tab w:val="left" w:pos="1440" w:leader="none"/>
        </w:tabs>
        <w:spacing w:before="0" w:after="0"/>
        <w:jc w:val="both"/>
        <w:rPr>
          <w:rFonts w:ascii="Times New Roman" w:hAnsi="Times New Roman"/>
          <w:color w:val="000000"/>
          <w:sz w:val="24"/>
          <w:szCs w:val="24"/>
        </w:rPr>
      </w:pPr>
      <w:r>
        <w:rPr>
          <w:color w:val="000000"/>
          <w:sz w:val="24"/>
          <w:szCs w:val="24"/>
        </w:rPr>
      </w:r>
    </w:p>
    <w:p>
      <w:pPr>
        <w:pStyle w:val="Corpo1"/>
        <w:spacing w:before="0" w:after="0"/>
        <w:jc w:val="both"/>
        <w:rPr>
          <w:rFonts w:ascii="Times New Roman" w:hAnsi="Times New Roman"/>
          <w:sz w:val="24"/>
          <w:szCs w:val="24"/>
        </w:rPr>
      </w:pPr>
      <w:r>
        <w:rPr>
          <w:rFonts w:cs="Calibri" w:cstheme="minorHAnsi"/>
          <w:b/>
          <w:bCs/>
          <w:color w:val="000000"/>
          <w:sz w:val="24"/>
          <w:szCs w:val="24"/>
        </w:rPr>
        <w:t xml:space="preserve">9.2. Obrigações </w:t>
      </w:r>
      <w:r>
        <w:rPr>
          <w:rFonts w:eastAsia="NSimSun" w:cs="Calibri" w:cstheme="minorHAnsi"/>
          <w:b/>
          <w:bCs/>
          <w:color w:val="000000"/>
          <w:kern w:val="2"/>
          <w:sz w:val="24"/>
          <w:szCs w:val="24"/>
          <w:lang w:val="pt-BR" w:eastAsia="zh-CN" w:bidi="hi-IN"/>
        </w:rPr>
        <w:t>relativas</w:t>
      </w:r>
      <w:r>
        <w:rPr>
          <w:rFonts w:cs="Calibri" w:cstheme="minorHAnsi"/>
          <w:b/>
          <w:bCs/>
          <w:color w:val="000000"/>
          <w:sz w:val="24"/>
          <w:szCs w:val="24"/>
        </w:rPr>
        <w:t xml:space="preserve"> à Lei Geral de Proteção de Dados – LGPD</w:t>
      </w:r>
    </w:p>
    <w:p>
      <w:pPr>
        <w:pStyle w:val="Corpo1"/>
        <w:tabs>
          <w:tab w:val="clear" w:pos="709"/>
          <w:tab w:val="left" w:pos="0" w:leader="none"/>
        </w:tabs>
        <w:spacing w:before="0" w:after="0"/>
        <w:jc w:val="both"/>
        <w:rPr>
          <w:rFonts w:ascii="Times New Roman" w:hAnsi="Times New Roman" w:cs="Calibri" w:cstheme="minorHAnsi"/>
          <w:iCs/>
          <w:color w:val="000000"/>
          <w:sz w:val="24"/>
          <w:szCs w:val="24"/>
        </w:rPr>
      </w:pPr>
      <w:r>
        <w:rPr>
          <w:rFonts w:cs="Calibri" w:cstheme="minorHAnsi"/>
          <w:iCs/>
          <w:color w:val="000000"/>
          <w:sz w:val="24"/>
          <w:szCs w:val="24"/>
        </w:rPr>
      </w:r>
    </w:p>
    <w:p>
      <w:pPr>
        <w:pStyle w:val="Corpo1"/>
        <w:tabs>
          <w:tab w:val="clear" w:pos="709"/>
          <w:tab w:val="left" w:pos="0" w:leader="none"/>
        </w:tabs>
        <w:spacing w:before="0" w:after="0"/>
        <w:jc w:val="both"/>
        <w:rPr>
          <w:rFonts w:ascii="Times New Roman" w:hAnsi="Times New Roman"/>
          <w:sz w:val="24"/>
          <w:szCs w:val="24"/>
        </w:rPr>
      </w:pPr>
      <w:r>
        <w:rPr>
          <w:rFonts w:cs="Calibri" w:cstheme="minorHAnsi"/>
          <w:iCs/>
          <w:color w:val="000000"/>
          <w:sz w:val="24"/>
          <w:szCs w:val="24"/>
          <w:shd w:fill="auto" w:val="clear"/>
        </w:rPr>
        <w:tab/>
        <w:t xml:space="preserve">9.2.1. </w:t>
      </w:r>
      <w:r>
        <w:rPr>
          <w:rFonts w:cs="Calibri"/>
          <w:color w:val="000000"/>
          <w:sz w:val="24"/>
          <w:szCs w:val="24"/>
          <w:shd w:fill="auto" w:val="clear"/>
        </w:rPr>
        <w:t xml:space="preserve">As partes declaram ciência e anuência à obrigação de cumprimento das disposições da Lei nº 13.709, de 14 de agosto de 2018 (LGPD), quanto a todos os dados pessoais a que tenham acesso em razão do certame ou do contrato administrativo firmado, a partir da apresentação da proposta no procedimento de contratação. </w:t>
      </w:r>
    </w:p>
    <w:p>
      <w:pPr>
        <w:pStyle w:val="Corpo1"/>
        <w:spacing w:before="0" w:after="0"/>
        <w:jc w:val="both"/>
        <w:rPr>
          <w:rFonts w:ascii="Times New Roman" w:hAnsi="Times New Roman"/>
          <w:sz w:val="24"/>
          <w:szCs w:val="24"/>
        </w:rPr>
      </w:pPr>
      <w:r>
        <w:rPr>
          <w:rFonts w:cs="Calibri"/>
          <w:color w:val="000000"/>
          <w:sz w:val="24"/>
          <w:szCs w:val="24"/>
          <w:shd w:fill="auto" w:val="clear"/>
        </w:rPr>
        <w:tab/>
      </w:r>
    </w:p>
    <w:p>
      <w:pPr>
        <w:pStyle w:val="Corpo1"/>
        <w:spacing w:before="0" w:after="0"/>
        <w:jc w:val="both"/>
        <w:rPr>
          <w:rFonts w:ascii="Times New Roman" w:hAnsi="Times New Roman"/>
          <w:sz w:val="24"/>
          <w:szCs w:val="24"/>
        </w:rPr>
      </w:pPr>
      <w:r>
        <w:rPr>
          <w:rFonts w:cs="Calibri"/>
          <w:color w:val="000000"/>
          <w:sz w:val="24"/>
          <w:szCs w:val="24"/>
          <w:shd w:fill="auto" w:val="clear"/>
        </w:rPr>
        <w:tab/>
        <w:tab/>
        <w:t xml:space="preserve">9.2.1.1. A Contratada declara ter ciência de que os dados a que tiver acesso </w:t>
      </w:r>
      <w:r>
        <w:rPr>
          <w:rFonts w:eastAsia="NSimSun" w:cs="Calibri"/>
          <w:color w:val="000000"/>
          <w:kern w:val="2"/>
          <w:sz w:val="24"/>
          <w:szCs w:val="24"/>
          <w:shd w:fill="auto" w:val="clear"/>
          <w:lang w:val="pt-BR" w:eastAsia="zh-CN" w:bidi="hi-IN"/>
        </w:rPr>
        <w:t>d</w:t>
      </w:r>
      <w:r>
        <w:rPr>
          <w:rFonts w:cs="Calibri"/>
          <w:color w:val="000000"/>
          <w:sz w:val="24"/>
          <w:szCs w:val="24"/>
          <w:shd w:fill="auto" w:val="clear"/>
        </w:rPr>
        <w:t>evem ser utilizados apenas para as finalidades indicadas pela Contratante e de acordo com a boa-fé e com os princípios constantes no art. 6º da LGPD.</w:t>
      </w:r>
    </w:p>
    <w:p>
      <w:pPr>
        <w:pStyle w:val="Corpo1"/>
        <w:spacing w:before="0" w:after="0"/>
        <w:jc w:val="both"/>
        <w:rPr>
          <w:rFonts w:ascii="Times New Roman" w:hAnsi="Times New Roman"/>
          <w:sz w:val="24"/>
          <w:szCs w:val="24"/>
        </w:rPr>
      </w:pPr>
      <w:r>
        <w:rPr>
          <w:rFonts w:cs="Calibri"/>
          <w:color w:val="000000"/>
          <w:sz w:val="24"/>
          <w:szCs w:val="24"/>
          <w:shd w:fill="auto" w:val="clear"/>
        </w:rPr>
        <w:tab/>
        <w:tab/>
      </w:r>
    </w:p>
    <w:p>
      <w:pPr>
        <w:pStyle w:val="Corpo1"/>
        <w:spacing w:before="0" w:after="0"/>
        <w:jc w:val="both"/>
        <w:rPr>
          <w:rFonts w:ascii="Times New Roman" w:hAnsi="Times New Roman"/>
          <w:sz w:val="24"/>
          <w:szCs w:val="24"/>
        </w:rPr>
      </w:pPr>
      <w:r>
        <w:rPr>
          <w:rFonts w:cs="Calibri"/>
          <w:color w:val="000000"/>
          <w:sz w:val="24"/>
          <w:szCs w:val="24"/>
          <w:shd w:fill="auto" w:val="clear"/>
        </w:rPr>
        <w:tab/>
        <w:tab/>
        <w:t>9.2.1.2. É expressamente vedado o compartilhamento de dados pessoais.</w:t>
      </w:r>
    </w:p>
    <w:p>
      <w:pPr>
        <w:pStyle w:val="Corpo1"/>
        <w:spacing w:before="0" w:after="0"/>
        <w:jc w:val="both"/>
        <w:rPr>
          <w:rFonts w:ascii="Times New Roman" w:hAnsi="Times New Roman"/>
          <w:color w:val="000000"/>
          <w:sz w:val="24"/>
          <w:szCs w:val="24"/>
          <w:shd w:fill="auto" w:val="clear"/>
        </w:rPr>
      </w:pPr>
      <w:r>
        <w:rPr>
          <w:color w:val="000000"/>
          <w:sz w:val="24"/>
          <w:szCs w:val="24"/>
          <w:shd w:fill="auto" w:val="clear"/>
        </w:rPr>
      </w:r>
    </w:p>
    <w:p>
      <w:pPr>
        <w:pStyle w:val="Corpo1"/>
        <w:spacing w:before="0" w:after="0"/>
        <w:jc w:val="both"/>
        <w:rPr>
          <w:rFonts w:ascii="Times New Roman" w:hAnsi="Times New Roman"/>
          <w:sz w:val="24"/>
          <w:szCs w:val="24"/>
        </w:rPr>
      </w:pPr>
      <w:r>
        <w:rPr>
          <w:rFonts w:cs="Calibri"/>
          <w:color w:val="FF0000"/>
          <w:sz w:val="24"/>
          <w:szCs w:val="24"/>
          <w:shd w:fill="auto" w:val="clear"/>
        </w:rPr>
        <w:tab/>
        <w:tab/>
        <w:tab/>
      </w:r>
      <w:r>
        <w:rPr>
          <w:rFonts w:cs="Calibri"/>
          <w:color w:val="000000"/>
          <w:sz w:val="24"/>
          <w:szCs w:val="24"/>
          <w:shd w:fill="auto" w:val="clear"/>
        </w:rPr>
        <w:t>9.2.1.2.1. No caso de uma excepcionalidade, caberá à Contratada informar à Contratante prévia e formalmente, ficando o compartilhamento condicionado à sua autorização expressa.</w:t>
      </w:r>
    </w:p>
    <w:p>
      <w:pPr>
        <w:pStyle w:val="Corpo1"/>
        <w:spacing w:before="0" w:after="0"/>
        <w:jc w:val="both"/>
        <w:rPr>
          <w:rFonts w:ascii="Times New Roman" w:hAnsi="Times New Roman"/>
          <w:color w:val="000000"/>
          <w:sz w:val="24"/>
          <w:szCs w:val="24"/>
          <w:shd w:fill="auto" w:val="clear"/>
        </w:rPr>
      </w:pPr>
      <w:r>
        <w:rPr>
          <w:color w:val="000000"/>
          <w:sz w:val="24"/>
          <w:szCs w:val="24"/>
          <w:shd w:fill="auto" w:val="clear"/>
        </w:rPr>
      </w:r>
    </w:p>
    <w:p>
      <w:pPr>
        <w:pStyle w:val="Corpo1"/>
        <w:spacing w:before="0" w:after="0"/>
        <w:jc w:val="both"/>
        <w:rPr>
          <w:rFonts w:ascii="Times New Roman" w:hAnsi="Times New Roman"/>
          <w:sz w:val="24"/>
          <w:szCs w:val="24"/>
        </w:rPr>
      </w:pPr>
      <w:r>
        <w:rPr>
          <w:rFonts w:cs="Calibri"/>
          <w:color w:val="000000"/>
          <w:sz w:val="24"/>
          <w:szCs w:val="24"/>
          <w:shd w:fill="auto" w:val="clear"/>
        </w:rPr>
        <w:tab/>
        <w:tab/>
        <w:tab/>
        <w:t>9.2.1.2.2. Sendo o consentimento do titular a única base legal utilizada para o tratamento de dados pessoais, a autorização de que trata o inciso I estará condicionada à assinatura de novo Termo de Consentimento pelo titular de dados, a ser providenciado única e exclusivamente pela Contratante.</w:t>
      </w:r>
    </w:p>
    <w:p>
      <w:pPr>
        <w:pStyle w:val="Corpo1"/>
        <w:spacing w:before="0" w:after="0"/>
        <w:jc w:val="both"/>
        <w:rPr>
          <w:rFonts w:ascii="Times New Roman" w:hAnsi="Times New Roman" w:cs="Calibri"/>
          <w:b/>
          <w:bCs/>
          <w:color w:val="000000"/>
          <w:sz w:val="24"/>
          <w:szCs w:val="24"/>
          <w:shd w:fill="auto" w:val="clear"/>
        </w:rPr>
      </w:pPr>
      <w:r>
        <w:rPr>
          <w:rFonts w:cs="Calibri"/>
          <w:b/>
          <w:bCs/>
          <w:color w:val="000000"/>
          <w:sz w:val="24"/>
          <w:szCs w:val="24"/>
          <w:shd w:fill="auto" w:val="clear"/>
        </w:rPr>
      </w:r>
    </w:p>
    <w:p>
      <w:pPr>
        <w:pStyle w:val="Corpo1"/>
        <w:spacing w:before="0" w:after="0"/>
        <w:jc w:val="both"/>
        <w:rPr>
          <w:rFonts w:ascii="Times New Roman" w:hAnsi="Times New Roman"/>
          <w:sz w:val="24"/>
          <w:szCs w:val="24"/>
        </w:rPr>
      </w:pPr>
      <w:r>
        <w:rPr>
          <w:rFonts w:cs="Calibri"/>
          <w:color w:val="000000"/>
          <w:sz w:val="24"/>
          <w:szCs w:val="24"/>
          <w:shd w:fill="auto" w:val="clear"/>
        </w:rPr>
        <w:tab/>
        <w:tab/>
        <w:t>9.2.1.3. Nos casos em que for admitid</w:t>
      </w:r>
      <w:r>
        <w:rPr>
          <w:rFonts w:eastAsia="NSimSun" w:cs="Calibri"/>
          <w:color w:val="000000"/>
          <w:kern w:val="2"/>
          <w:sz w:val="24"/>
          <w:szCs w:val="24"/>
          <w:shd w:fill="auto" w:val="clear"/>
          <w:lang w:val="pt-BR" w:eastAsia="zh-CN" w:bidi="hi-IN"/>
        </w:rPr>
        <w:t>a</w:t>
      </w:r>
      <w:r>
        <w:rPr>
          <w:rFonts w:cs="Calibri"/>
          <w:color w:val="000000"/>
          <w:sz w:val="24"/>
          <w:szCs w:val="24"/>
          <w:shd w:fill="auto" w:val="clear"/>
        </w:rPr>
        <w:t xml:space="preserve"> em contrato a subcontratação, a Contratante deverá ser informada no prazo de até 5 (cinco) dias úteis sobre a intenção de contratação de suboperadores pela Contratada, con</w:t>
      </w:r>
      <w:r>
        <w:rPr>
          <w:rFonts w:eastAsia="NSimSun" w:cs="Calibri"/>
          <w:color w:val="000000"/>
          <w:kern w:val="2"/>
          <w:sz w:val="24"/>
          <w:szCs w:val="24"/>
          <w:shd w:fill="auto" w:val="clear"/>
          <w:lang w:val="pt-BR" w:eastAsia="zh-CN" w:bidi="hi-IN"/>
        </w:rPr>
        <w:t>d</w:t>
      </w:r>
      <w:r>
        <w:rPr>
          <w:rFonts w:cs="Calibri"/>
          <w:color w:val="000000"/>
          <w:sz w:val="24"/>
          <w:szCs w:val="24"/>
          <w:shd w:fill="auto" w:val="clear"/>
        </w:rPr>
        <w:t>i</w:t>
      </w:r>
      <w:r>
        <w:rPr>
          <w:rFonts w:eastAsia="NSimSun" w:cs="Calibri"/>
          <w:color w:val="000000"/>
          <w:kern w:val="2"/>
          <w:sz w:val="24"/>
          <w:szCs w:val="24"/>
          <w:shd w:fill="auto" w:val="clear"/>
          <w:lang w:val="pt-BR" w:eastAsia="zh-CN" w:bidi="hi-IN"/>
        </w:rPr>
        <w:t>c</w:t>
      </w:r>
      <w:r>
        <w:rPr>
          <w:rFonts w:cs="Calibri"/>
          <w:color w:val="000000"/>
          <w:sz w:val="24"/>
          <w:szCs w:val="24"/>
          <w:shd w:fill="auto" w:val="clear"/>
        </w:rPr>
        <w:t>ionando-se a contratação à anuência expressa da Contratante.</w:t>
      </w:r>
    </w:p>
    <w:p>
      <w:pPr>
        <w:pStyle w:val="Corpo1"/>
        <w:spacing w:before="0" w:after="0"/>
        <w:jc w:val="both"/>
        <w:rPr>
          <w:rFonts w:ascii="Times New Roman" w:hAnsi="Times New Roman" w:cs="Calibri"/>
          <w:color w:val="000000"/>
          <w:sz w:val="24"/>
          <w:szCs w:val="24"/>
          <w:shd w:fill="auto" w:val="clear"/>
        </w:rPr>
      </w:pPr>
      <w:r>
        <w:rPr>
          <w:rFonts w:cs="Calibri"/>
          <w:color w:val="000000"/>
          <w:sz w:val="24"/>
          <w:szCs w:val="24"/>
          <w:shd w:fill="auto" w:val="clear"/>
        </w:rPr>
      </w:r>
    </w:p>
    <w:p>
      <w:pPr>
        <w:pStyle w:val="Corpo1"/>
        <w:spacing w:before="0" w:after="0"/>
        <w:jc w:val="both"/>
        <w:rPr>
          <w:rFonts w:ascii="Times New Roman" w:hAnsi="Times New Roman"/>
          <w:sz w:val="24"/>
          <w:szCs w:val="24"/>
        </w:rPr>
      </w:pPr>
      <w:r>
        <w:rPr>
          <w:rFonts w:cs="Calibri"/>
          <w:color w:val="000000"/>
          <w:sz w:val="24"/>
          <w:szCs w:val="24"/>
          <w:shd w:fill="auto" w:val="clear"/>
        </w:rPr>
        <w:tab/>
        <w:tab/>
        <w:tab/>
        <w:t>9.2.1.</w:t>
      </w:r>
      <w:r>
        <w:rPr>
          <w:rFonts w:eastAsia="NSimSun" w:cs="Calibri"/>
          <w:color w:val="000000"/>
          <w:kern w:val="2"/>
          <w:sz w:val="24"/>
          <w:szCs w:val="24"/>
          <w:shd w:fill="auto" w:val="clear"/>
          <w:lang w:val="pt-BR" w:eastAsia="zh-CN" w:bidi="hi-IN"/>
        </w:rPr>
        <w:t>3.1</w:t>
      </w:r>
      <w:r>
        <w:rPr>
          <w:rFonts w:cs="Calibri"/>
          <w:color w:val="000000"/>
          <w:sz w:val="24"/>
          <w:szCs w:val="24"/>
          <w:shd w:fill="auto" w:val="clear"/>
        </w:rPr>
        <w:t>. A Contratada deverá exigir de suboperadores e subcontratados o cumprimento dos deveres da presente cláusula, permanecendo integralmente responsável por garantir sua observância.</w:t>
      </w:r>
    </w:p>
    <w:p>
      <w:pPr>
        <w:pStyle w:val="Corpo1"/>
        <w:spacing w:before="0" w:after="0"/>
        <w:jc w:val="both"/>
        <w:rPr>
          <w:rFonts w:ascii="Times New Roman" w:hAnsi="Times New Roman" w:cs="Calibri"/>
          <w:color w:val="000000"/>
          <w:sz w:val="24"/>
          <w:szCs w:val="24"/>
          <w:shd w:fill="auto" w:val="clear"/>
        </w:rPr>
      </w:pPr>
      <w:r>
        <w:rPr>
          <w:rFonts w:cs="Calibri"/>
          <w:color w:val="000000"/>
          <w:sz w:val="24"/>
          <w:szCs w:val="24"/>
          <w:shd w:fill="auto" w:val="clear"/>
        </w:rPr>
      </w:r>
    </w:p>
    <w:p>
      <w:pPr>
        <w:pStyle w:val="Corpo1"/>
        <w:spacing w:before="0" w:after="0"/>
        <w:jc w:val="both"/>
        <w:rPr>
          <w:rFonts w:ascii="Times New Roman" w:hAnsi="Times New Roman"/>
          <w:sz w:val="24"/>
          <w:szCs w:val="24"/>
        </w:rPr>
      </w:pPr>
      <w:r>
        <w:rPr>
          <w:rFonts w:cs="Calibri"/>
          <w:b/>
          <w:bCs/>
          <w:color w:val="000000"/>
          <w:sz w:val="24"/>
          <w:szCs w:val="24"/>
          <w:shd w:fill="auto" w:val="clear"/>
        </w:rPr>
        <w:tab/>
        <w:tab/>
      </w:r>
      <w:r>
        <w:rPr>
          <w:rFonts w:cs="Calibri"/>
          <w:color w:val="000000"/>
          <w:sz w:val="24"/>
          <w:szCs w:val="24"/>
          <w:shd w:fill="auto" w:val="clear"/>
        </w:rPr>
        <w:t xml:space="preserve">9.2.1.4. Terminado o tratamento dos dados nos termos do art. 15 da LGPD, é dever da contratada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Corpo1"/>
        <w:spacing w:before="0" w:after="0"/>
        <w:jc w:val="both"/>
        <w:rPr>
          <w:rFonts w:ascii="Times New Roman" w:hAnsi="Times New Roman" w:cs="Calibri"/>
          <w:color w:val="000000"/>
          <w:sz w:val="24"/>
          <w:szCs w:val="24"/>
          <w:shd w:fill="auto" w:val="clear"/>
        </w:rPr>
      </w:pPr>
      <w:r>
        <w:rPr>
          <w:rFonts w:cs="Calibri"/>
          <w:color w:val="000000"/>
          <w:sz w:val="24"/>
          <w:szCs w:val="24"/>
          <w:shd w:fill="auto" w:val="clear"/>
        </w:rPr>
      </w:r>
    </w:p>
    <w:p>
      <w:pPr>
        <w:pStyle w:val="Corpo1"/>
        <w:spacing w:before="0" w:after="0"/>
        <w:jc w:val="both"/>
        <w:rPr>
          <w:rFonts w:ascii="Times New Roman" w:hAnsi="Times New Roman"/>
          <w:sz w:val="24"/>
          <w:szCs w:val="24"/>
        </w:rPr>
      </w:pPr>
      <w:r>
        <w:rPr>
          <w:rFonts w:cs="Calibri"/>
          <w:color w:val="000000"/>
          <w:sz w:val="24"/>
          <w:szCs w:val="24"/>
          <w:shd w:fill="auto" w:val="clear"/>
        </w:rPr>
        <w:tab/>
        <w:tab/>
        <w:t xml:space="preserve">9.2.1.5. É dever da contratada fomentar e disponibilizar treinamento e ações de conscientização relacionados à </w:t>
      </w:r>
      <w:r>
        <w:rPr>
          <w:rFonts w:eastAsia="NSimSun" w:cs="Calibri"/>
          <w:color w:val="000000"/>
          <w:kern w:val="2"/>
          <w:sz w:val="24"/>
          <w:szCs w:val="24"/>
          <w:shd w:fill="auto" w:val="clear"/>
          <w:lang w:val="pt-BR" w:eastAsia="zh-CN" w:bidi="hi-IN"/>
        </w:rPr>
        <w:t>P</w:t>
      </w:r>
      <w:r>
        <w:rPr>
          <w:rFonts w:cs="Calibri"/>
          <w:color w:val="000000"/>
          <w:sz w:val="24"/>
          <w:szCs w:val="24"/>
          <w:shd w:fill="auto" w:val="clear"/>
        </w:rPr>
        <w:t xml:space="preserve">roteção de dados pessoais e </w:t>
      </w:r>
      <w:r>
        <w:rPr>
          <w:rFonts w:eastAsia="NSimSun" w:cs="Calibri"/>
          <w:color w:val="000000"/>
          <w:kern w:val="2"/>
          <w:sz w:val="24"/>
          <w:szCs w:val="24"/>
          <w:shd w:fill="auto" w:val="clear"/>
          <w:lang w:val="pt-BR" w:eastAsia="zh-CN" w:bidi="hi-IN"/>
        </w:rPr>
        <w:t>P</w:t>
      </w:r>
      <w:r>
        <w:rPr>
          <w:rFonts w:cs="Calibri"/>
          <w:color w:val="000000"/>
          <w:sz w:val="24"/>
          <w:szCs w:val="24"/>
          <w:shd w:fill="auto" w:val="clear"/>
        </w:rPr>
        <w:t>rivacidade aos responsáveis pela execução do contrato, garantindo, assim, a implementação de Boas Práticas e Governança, nos termos dos artigos 50 e 51 da LGPD.</w:t>
      </w:r>
    </w:p>
    <w:p>
      <w:pPr>
        <w:pStyle w:val="Corpo1"/>
        <w:spacing w:before="0" w:after="0"/>
        <w:jc w:val="both"/>
        <w:rPr>
          <w:rFonts w:ascii="Times New Roman" w:hAnsi="Times New Roman" w:cs="Calibri"/>
          <w:b/>
          <w:bCs/>
          <w:color w:val="000000"/>
          <w:sz w:val="24"/>
          <w:szCs w:val="24"/>
          <w:shd w:fill="auto" w:val="clear"/>
        </w:rPr>
      </w:pPr>
      <w:r>
        <w:rPr>
          <w:rFonts w:cs="Calibri"/>
          <w:b/>
          <w:bCs/>
          <w:color w:val="000000"/>
          <w:sz w:val="24"/>
          <w:szCs w:val="24"/>
          <w:shd w:fill="auto" w:val="clear"/>
        </w:rPr>
      </w:r>
    </w:p>
    <w:p>
      <w:pPr>
        <w:pStyle w:val="Corpo1"/>
        <w:spacing w:before="0" w:after="0"/>
        <w:jc w:val="both"/>
        <w:rPr>
          <w:rFonts w:ascii="Times New Roman" w:hAnsi="Times New Roman"/>
          <w:sz w:val="24"/>
          <w:szCs w:val="24"/>
        </w:rPr>
      </w:pPr>
      <w:r>
        <w:rPr>
          <w:rFonts w:cs="Calibri"/>
          <w:b/>
          <w:bCs/>
          <w:color w:val="000000"/>
          <w:sz w:val="24"/>
          <w:szCs w:val="24"/>
          <w:shd w:fill="auto" w:val="clear"/>
        </w:rPr>
        <w:tab/>
        <w:tab/>
      </w:r>
      <w:r>
        <w:rPr>
          <w:rFonts w:cs="Calibri"/>
          <w:color w:val="000000"/>
          <w:sz w:val="24"/>
          <w:szCs w:val="24"/>
          <w:shd w:fill="auto" w:val="clear"/>
        </w:rPr>
        <w:t>9.2.1.</w:t>
      </w:r>
      <w:r>
        <w:rPr>
          <w:rFonts w:eastAsia="NSimSun" w:cs="Calibri"/>
          <w:color w:val="000000"/>
          <w:kern w:val="2"/>
          <w:sz w:val="24"/>
          <w:szCs w:val="24"/>
          <w:shd w:fill="auto" w:val="clear"/>
          <w:lang w:val="pt-BR" w:eastAsia="zh-CN" w:bidi="hi-IN"/>
        </w:rPr>
        <w:t>6</w:t>
      </w:r>
      <w:r>
        <w:rPr>
          <w:rFonts w:cs="Calibri"/>
          <w:color w:val="000000"/>
          <w:sz w:val="24"/>
          <w:szCs w:val="24"/>
          <w:shd w:fill="auto" w:val="clear"/>
        </w:rPr>
        <w:t>. A Contratante poderá realizar diligência e/ou auditorias para aferir o cumprimento de todos os itens constantes na presente cláusula, devendo a Contratada atender prontamente eventuais pedidos de comprovação formulados, em prazo não superior a 2 (dois) dias úteis.</w:t>
      </w:r>
    </w:p>
    <w:p>
      <w:pPr>
        <w:pStyle w:val="Corpo1"/>
        <w:spacing w:before="0" w:after="0"/>
        <w:jc w:val="both"/>
        <w:rPr>
          <w:rFonts w:ascii="Times New Roman" w:hAnsi="Times New Roman" w:cs="Calibri"/>
          <w:b/>
          <w:bCs/>
          <w:color w:val="000000"/>
          <w:sz w:val="24"/>
          <w:szCs w:val="24"/>
          <w:shd w:fill="auto" w:val="clear"/>
        </w:rPr>
      </w:pPr>
      <w:r>
        <w:rPr>
          <w:rFonts w:cs="Calibri"/>
          <w:b/>
          <w:bCs/>
          <w:color w:val="000000"/>
          <w:sz w:val="24"/>
          <w:szCs w:val="24"/>
          <w:shd w:fill="auto" w:val="clear"/>
        </w:rPr>
      </w:r>
    </w:p>
    <w:p>
      <w:pPr>
        <w:pStyle w:val="Corpo1"/>
        <w:spacing w:before="0" w:after="0"/>
        <w:jc w:val="both"/>
        <w:rPr>
          <w:rFonts w:ascii="Times New Roman" w:hAnsi="Times New Roman"/>
          <w:sz w:val="24"/>
          <w:szCs w:val="24"/>
        </w:rPr>
      </w:pPr>
      <w:r>
        <w:rPr>
          <w:rFonts w:cs="Calibri"/>
          <w:b/>
          <w:bCs/>
          <w:color w:val="000000"/>
          <w:sz w:val="24"/>
          <w:szCs w:val="24"/>
          <w:shd w:fill="auto" w:val="clear"/>
        </w:rPr>
        <w:tab/>
        <w:tab/>
      </w:r>
      <w:r>
        <w:rPr>
          <w:rFonts w:cs="Calibri"/>
          <w:color w:val="000000"/>
          <w:sz w:val="24"/>
          <w:szCs w:val="24"/>
          <w:shd w:fill="auto" w:val="clear"/>
        </w:rPr>
        <w:t>9.2.1.</w:t>
      </w:r>
      <w:r>
        <w:rPr>
          <w:rFonts w:eastAsia="NSimSun" w:cs="Calibri"/>
          <w:color w:val="000000"/>
          <w:kern w:val="2"/>
          <w:sz w:val="24"/>
          <w:szCs w:val="24"/>
          <w:shd w:fill="auto" w:val="clear"/>
          <w:lang w:val="pt-BR" w:eastAsia="zh-CN" w:bidi="hi-IN"/>
        </w:rPr>
        <w:t>7</w:t>
      </w:r>
      <w:r>
        <w:rPr>
          <w:rFonts w:cs="Calibri"/>
          <w:color w:val="000000"/>
          <w:sz w:val="24"/>
          <w:szCs w:val="24"/>
          <w:shd w:fill="auto" w:val="clear"/>
        </w:rPr>
        <w:t xml:space="preserve">. A Contratada deverá prestar, no prazo fixado pela Contratante, prorrogável uma única vez mediante justificativa aceita pela Contratante, quaisquer informações acerca dos dados pessoais tratados em decorrência do presente </w:t>
      </w:r>
      <w:r>
        <w:rPr>
          <w:rFonts w:eastAsia="NSimSun" w:cs="Calibri"/>
          <w:color w:val="000000"/>
          <w:kern w:val="2"/>
          <w:sz w:val="24"/>
          <w:szCs w:val="24"/>
          <w:shd w:fill="auto" w:val="clear"/>
          <w:lang w:val="pt-BR" w:eastAsia="zh-CN" w:bidi="hi-IN"/>
        </w:rPr>
        <w:t>c</w:t>
      </w:r>
      <w:r>
        <w:rPr>
          <w:rFonts w:cs="Calibri"/>
          <w:color w:val="000000"/>
          <w:sz w:val="24"/>
          <w:szCs w:val="24"/>
          <w:shd w:fill="auto" w:val="clear"/>
        </w:rPr>
        <w:t>ontrato para cumprimento da LGPD, inclusive quanto a eventual descarte realizado.</w:t>
      </w:r>
    </w:p>
    <w:p>
      <w:pPr>
        <w:pStyle w:val="Corpo1"/>
        <w:spacing w:before="0" w:after="0"/>
        <w:jc w:val="both"/>
        <w:rPr>
          <w:rFonts w:ascii="Times New Roman" w:hAnsi="Times New Roman" w:cs="Calibri"/>
          <w:color w:val="000000"/>
          <w:sz w:val="24"/>
          <w:szCs w:val="24"/>
          <w:shd w:fill="auto" w:val="clear"/>
        </w:rPr>
      </w:pPr>
      <w:r>
        <w:rPr>
          <w:rFonts w:cs="Calibri"/>
          <w:color w:val="000000"/>
          <w:sz w:val="24"/>
          <w:szCs w:val="24"/>
          <w:shd w:fill="auto" w:val="clear"/>
        </w:rPr>
      </w:r>
    </w:p>
    <w:p>
      <w:pPr>
        <w:pStyle w:val="Corpo1"/>
        <w:spacing w:before="0" w:after="0"/>
        <w:jc w:val="both"/>
        <w:rPr>
          <w:rFonts w:ascii="Times New Roman" w:hAnsi="Times New Roman"/>
          <w:sz w:val="24"/>
          <w:szCs w:val="24"/>
        </w:rPr>
      </w:pPr>
      <w:r>
        <w:rPr>
          <w:rFonts w:cs="Calibri"/>
          <w:b/>
          <w:bCs/>
          <w:color w:val="000000"/>
          <w:sz w:val="24"/>
          <w:szCs w:val="24"/>
          <w:shd w:fill="auto" w:val="clear"/>
        </w:rPr>
        <w:tab/>
        <w:tab/>
      </w:r>
      <w:r>
        <w:rPr>
          <w:rFonts w:cs="Calibri"/>
          <w:color w:val="000000"/>
          <w:sz w:val="24"/>
          <w:szCs w:val="24"/>
          <w:shd w:fill="auto" w:val="clear"/>
        </w:rPr>
        <w:t>9.2.1.</w:t>
      </w:r>
      <w:r>
        <w:rPr>
          <w:rFonts w:eastAsia="NSimSun" w:cs="Calibri"/>
          <w:color w:val="000000"/>
          <w:kern w:val="2"/>
          <w:sz w:val="24"/>
          <w:szCs w:val="24"/>
          <w:shd w:fill="auto" w:val="clear"/>
          <w:lang w:val="pt-BR" w:eastAsia="zh-CN" w:bidi="hi-IN"/>
        </w:rPr>
        <w:t>8</w:t>
      </w:r>
      <w:r>
        <w:rPr>
          <w:rFonts w:cs="Calibri"/>
          <w:color w:val="000000"/>
          <w:sz w:val="24"/>
          <w:szCs w:val="24"/>
          <w:shd w:fill="auto" w:val="clear"/>
        </w:rPr>
        <w:t xml:space="preserve">.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pPr>
        <w:pStyle w:val="Corpo1"/>
        <w:spacing w:before="0" w:after="0"/>
        <w:jc w:val="both"/>
        <w:rPr>
          <w:rFonts w:ascii="Times New Roman" w:hAnsi="Times New Roman" w:cs="Calibri"/>
          <w:color w:val="000000"/>
          <w:sz w:val="24"/>
          <w:szCs w:val="24"/>
          <w:shd w:fill="auto" w:val="clear"/>
        </w:rPr>
      </w:pPr>
      <w:r>
        <w:rPr>
          <w:rFonts w:cs="Calibri"/>
          <w:color w:val="000000"/>
          <w:sz w:val="24"/>
          <w:szCs w:val="24"/>
          <w:shd w:fill="auto" w:val="clear"/>
        </w:rPr>
      </w:r>
    </w:p>
    <w:p>
      <w:pPr>
        <w:pStyle w:val="Corpo1"/>
        <w:spacing w:before="0" w:after="0"/>
        <w:jc w:val="both"/>
        <w:rPr>
          <w:rFonts w:ascii="Times New Roman" w:hAnsi="Times New Roman"/>
          <w:sz w:val="24"/>
          <w:szCs w:val="24"/>
        </w:rPr>
      </w:pPr>
      <w:r>
        <w:rPr>
          <w:rFonts w:cs="Calibri"/>
          <w:b/>
          <w:bCs/>
          <w:color w:val="000000"/>
          <w:sz w:val="24"/>
          <w:szCs w:val="24"/>
          <w:shd w:fill="auto" w:val="clear"/>
        </w:rPr>
        <w:tab/>
        <w:tab/>
      </w:r>
      <w:r>
        <w:rPr>
          <w:rFonts w:cs="Calibri"/>
          <w:color w:val="000000"/>
          <w:sz w:val="24"/>
          <w:szCs w:val="24"/>
          <w:shd w:fill="auto" w:val="clear"/>
        </w:rPr>
        <w:t>9.2.1.</w:t>
      </w:r>
      <w:r>
        <w:rPr>
          <w:rFonts w:eastAsia="NSimSun" w:cs="Calibri"/>
          <w:color w:val="000000"/>
          <w:kern w:val="2"/>
          <w:sz w:val="24"/>
          <w:szCs w:val="24"/>
          <w:shd w:fill="auto" w:val="clear"/>
          <w:lang w:val="pt-BR" w:eastAsia="zh-CN" w:bidi="hi-IN"/>
        </w:rPr>
        <w:t>9</w:t>
      </w:r>
      <w:r>
        <w:rPr>
          <w:rFonts w:cs="Calibri"/>
          <w:color w:val="000000"/>
          <w:sz w:val="24"/>
          <w:szCs w:val="24"/>
          <w:shd w:fill="auto" w:val="clear"/>
        </w:rPr>
        <w:t>. Os bancos de dados a que se refere o item 9.2.1.8 devem ser desenvolvidos em formato interoperável, a fim de garantir a reutilização desses dados pela Administração nas hipóteses previstas na LGPD, bem como o atendimento de direitos dos titulares de dados, notadamente o direito de acesso.</w:t>
      </w:r>
    </w:p>
    <w:p>
      <w:pPr>
        <w:pStyle w:val="Corpo1"/>
        <w:spacing w:before="0" w:after="0"/>
        <w:jc w:val="both"/>
        <w:rPr>
          <w:rFonts w:ascii="Times New Roman" w:hAnsi="Times New Roman" w:cs="Calibri"/>
          <w:color w:val="000000"/>
          <w:sz w:val="24"/>
          <w:szCs w:val="24"/>
          <w:shd w:fill="auto" w:val="clear"/>
        </w:rPr>
      </w:pPr>
      <w:r>
        <w:rPr>
          <w:rFonts w:cs="Calibri"/>
          <w:color w:val="000000"/>
          <w:sz w:val="24"/>
          <w:szCs w:val="24"/>
          <w:shd w:fill="auto" w:val="clear"/>
        </w:rPr>
      </w:r>
    </w:p>
    <w:p>
      <w:pPr>
        <w:pStyle w:val="Corpo1"/>
        <w:spacing w:before="0" w:after="0"/>
        <w:jc w:val="both"/>
        <w:rPr>
          <w:rFonts w:ascii="Times New Roman" w:hAnsi="Times New Roman"/>
          <w:sz w:val="24"/>
          <w:szCs w:val="24"/>
        </w:rPr>
      </w:pPr>
      <w:r>
        <w:rPr>
          <w:rFonts w:cs="Calibri"/>
          <w:b/>
          <w:bCs/>
          <w:color w:val="000000"/>
          <w:sz w:val="24"/>
          <w:szCs w:val="24"/>
          <w:shd w:fill="auto" w:val="clear"/>
        </w:rPr>
        <w:tab/>
        <w:tab/>
      </w:r>
      <w:r>
        <w:rPr>
          <w:rFonts w:cs="Calibri"/>
          <w:color w:val="000000"/>
          <w:sz w:val="24"/>
          <w:szCs w:val="24"/>
          <w:shd w:fill="auto" w:val="clear"/>
        </w:rPr>
        <w:t>9.2.1.1</w:t>
      </w:r>
      <w:r>
        <w:rPr>
          <w:rFonts w:eastAsia="NSimSun" w:cs="Calibri"/>
          <w:color w:val="000000"/>
          <w:kern w:val="2"/>
          <w:sz w:val="24"/>
          <w:szCs w:val="24"/>
          <w:shd w:fill="auto" w:val="clear"/>
          <w:lang w:val="pt-BR" w:eastAsia="zh-CN" w:bidi="hi-IN"/>
        </w:rPr>
        <w:t>0</w:t>
      </w:r>
      <w:r>
        <w:rPr>
          <w:rFonts w:cs="Calibri"/>
          <w:color w:val="000000"/>
          <w:sz w:val="24"/>
          <w:szCs w:val="24"/>
          <w:shd w:fill="auto" w:val="clear"/>
        </w:rPr>
        <w:t>. A Contratada declara estar ciente e de acordo de que as previsões desta cláusula estão sujeitas a alterações, mormente no que diz respeito aos procedimentos de tratamento de dados pessoais.</w:t>
      </w:r>
    </w:p>
    <w:p>
      <w:pPr>
        <w:pStyle w:val="Corpo1"/>
        <w:spacing w:before="0" w:after="0"/>
        <w:jc w:val="both"/>
        <w:rPr>
          <w:rFonts w:ascii="Times New Roman" w:hAnsi="Times New Roman"/>
          <w:color w:val="000000"/>
          <w:sz w:val="24"/>
          <w:szCs w:val="24"/>
          <w:shd w:fill="auto" w:val="clear"/>
        </w:rPr>
      </w:pPr>
      <w:r>
        <w:rPr>
          <w:color w:val="000000"/>
          <w:sz w:val="24"/>
          <w:szCs w:val="24"/>
          <w:shd w:fill="auto" w:val="clear"/>
        </w:rPr>
      </w:r>
    </w:p>
    <w:p>
      <w:pPr>
        <w:pStyle w:val="Corpo1"/>
        <w:spacing w:before="0" w:after="0"/>
        <w:jc w:val="both"/>
        <w:rPr>
          <w:rFonts w:ascii="Times New Roman" w:hAnsi="Times New Roman"/>
          <w:sz w:val="24"/>
          <w:szCs w:val="24"/>
        </w:rPr>
      </w:pPr>
      <w:r>
        <w:rPr>
          <w:rFonts w:cs="Calibri"/>
          <w:color w:val="000000"/>
          <w:sz w:val="24"/>
          <w:szCs w:val="24"/>
          <w:shd w:fill="auto" w:val="clear"/>
        </w:rPr>
        <w:tab/>
        <w:tab/>
        <w:tab/>
        <w:t>a) As alterações a que se refere o item 9.2.1.10 podem ocorrer quando indicado pela Contratante e/ou pela autoridade competente, em especial a ANPD por meio de opiniões técnicas ou recomendações, editadas na forma da LGPD.</w:t>
      </w:r>
    </w:p>
    <w:p>
      <w:pPr>
        <w:pStyle w:val="Corpo1"/>
        <w:spacing w:before="0" w:after="0"/>
        <w:jc w:val="both"/>
        <w:rPr>
          <w:rFonts w:ascii="Times New Roman" w:hAnsi="Times New Roman"/>
          <w:color w:val="000000"/>
          <w:sz w:val="24"/>
          <w:szCs w:val="24"/>
          <w:shd w:fill="auto" w:val="clear"/>
        </w:rPr>
      </w:pPr>
      <w:r>
        <w:rPr>
          <w:color w:val="000000"/>
          <w:sz w:val="24"/>
          <w:szCs w:val="24"/>
          <w:shd w:fill="auto" w:val="clear"/>
        </w:rPr>
      </w:r>
    </w:p>
    <w:p>
      <w:pPr>
        <w:pStyle w:val="Corpo1"/>
        <w:spacing w:before="0" w:after="0"/>
        <w:jc w:val="both"/>
        <w:rPr>
          <w:rFonts w:ascii="Times New Roman" w:hAnsi="Times New Roman"/>
          <w:sz w:val="24"/>
          <w:szCs w:val="24"/>
        </w:rPr>
      </w:pPr>
      <w:r>
        <w:rPr>
          <w:rFonts w:cs="Calibri"/>
          <w:color w:val="000000"/>
          <w:sz w:val="24"/>
          <w:szCs w:val="24"/>
          <w:shd w:fill="auto" w:val="clear"/>
        </w:rPr>
        <w:tab/>
        <w:tab/>
        <w:tab/>
        <w:t xml:space="preserve">b) Nas hipóteses a que se refere o item 9.2.1.10, a alteração será formalizada por intermédio de assinatura de Termo Aditivo ao </w:t>
      </w:r>
      <w:r>
        <w:rPr>
          <w:rFonts w:eastAsia="NSimSun" w:cs="Calibri"/>
          <w:color w:val="000000"/>
          <w:kern w:val="2"/>
          <w:sz w:val="24"/>
          <w:szCs w:val="24"/>
          <w:shd w:fill="auto" w:val="clear"/>
          <w:lang w:val="pt-BR" w:eastAsia="zh-CN" w:bidi="hi-IN"/>
        </w:rPr>
        <w:t>C</w:t>
      </w:r>
      <w:r>
        <w:rPr>
          <w:rFonts w:cs="Calibri"/>
          <w:color w:val="000000"/>
          <w:sz w:val="24"/>
          <w:szCs w:val="24"/>
          <w:shd w:fill="auto" w:val="clear"/>
        </w:rPr>
        <w:t>ontrato.</w:t>
      </w:r>
    </w:p>
    <w:p>
      <w:pPr>
        <w:pStyle w:val="Corpo1"/>
        <w:spacing w:before="0" w:after="0"/>
        <w:jc w:val="both"/>
        <w:rPr>
          <w:rFonts w:ascii="Times New Roman" w:hAnsi="Times New Roman" w:cs="Calibri"/>
          <w:color w:val="000000"/>
          <w:sz w:val="24"/>
          <w:szCs w:val="24"/>
          <w:shd w:fill="auto" w:val="clear"/>
        </w:rPr>
      </w:pPr>
      <w:r>
        <w:rPr>
          <w:rFonts w:cs="Calibri"/>
          <w:color w:val="000000"/>
          <w:sz w:val="24"/>
          <w:szCs w:val="24"/>
          <w:shd w:fill="auto" w:val="clear"/>
        </w:rPr>
      </w:r>
    </w:p>
    <w:p>
      <w:pPr>
        <w:pStyle w:val="Corpo1"/>
        <w:spacing w:before="0" w:after="0"/>
        <w:jc w:val="both"/>
        <w:rPr>
          <w:rFonts w:ascii="Times New Roman" w:hAnsi="Times New Roman"/>
          <w:sz w:val="24"/>
          <w:szCs w:val="24"/>
        </w:rPr>
      </w:pPr>
      <w:r>
        <w:rPr>
          <w:rFonts w:cs="Calibri"/>
          <w:color w:val="000000"/>
          <w:sz w:val="24"/>
          <w:szCs w:val="24"/>
          <w:shd w:fill="auto" w:val="clear"/>
        </w:rPr>
        <w:tab/>
        <w:tab/>
        <w:t>9.2.1.1</w:t>
      </w:r>
      <w:r>
        <w:rPr>
          <w:rFonts w:eastAsia="NSimSun" w:cs="Calibri"/>
          <w:color w:val="000000"/>
          <w:kern w:val="2"/>
          <w:sz w:val="24"/>
          <w:szCs w:val="24"/>
          <w:shd w:fill="auto" w:val="clear"/>
          <w:lang w:val="pt-BR" w:eastAsia="zh-CN" w:bidi="hi-IN"/>
        </w:rPr>
        <w:t>1</w:t>
      </w:r>
      <w:r>
        <w:rPr>
          <w:rFonts w:cs="Calibri"/>
          <w:color w:val="000000"/>
          <w:sz w:val="24"/>
          <w:szCs w:val="24"/>
          <w:shd w:fill="auto" w:val="clear"/>
        </w:rPr>
        <w:t>.</w:t>
      </w:r>
      <w:r>
        <w:rPr>
          <w:rFonts w:eastAsia="NSimSun" w:cs="Calibri"/>
          <w:color w:val="000000"/>
          <w:kern w:val="2"/>
          <w:sz w:val="24"/>
          <w:szCs w:val="24"/>
          <w:shd w:fill="auto" w:val="clear"/>
          <w:lang w:val="pt-BR" w:eastAsia="zh-CN" w:bidi="hi-IN"/>
        </w:rPr>
        <w:t>Fica estabelecida a vedação de transferência de dados pessoais constantes na base de dados da Contratante a empresas privadas, com exceção à previsão dos incisos I a V do § 1º do artigo 26 da LGPD</w:t>
      </w:r>
      <w:r>
        <w:rPr>
          <w:rFonts w:cs="Calibri"/>
          <w:color w:val="000000"/>
          <w:sz w:val="24"/>
          <w:szCs w:val="24"/>
          <w:shd w:fill="auto" w:val="clear"/>
        </w:rPr>
        <w:t>.</w:t>
      </w:r>
    </w:p>
    <w:p>
      <w:pPr>
        <w:pStyle w:val="Corpo1"/>
        <w:spacing w:before="0" w:after="0"/>
        <w:jc w:val="both"/>
        <w:rPr>
          <w:rFonts w:ascii="Times New Roman" w:hAnsi="Times New Roman" w:cs="Calibri"/>
          <w:color w:val="000000"/>
          <w:sz w:val="24"/>
          <w:szCs w:val="24"/>
          <w:shd w:fill="auto" w:val="clear"/>
        </w:rPr>
      </w:pPr>
      <w:r>
        <w:rPr>
          <w:rFonts w:cs="Calibri"/>
          <w:color w:val="000000"/>
          <w:sz w:val="24"/>
          <w:szCs w:val="24"/>
          <w:shd w:fill="auto" w:val="clear"/>
        </w:rPr>
      </w:r>
    </w:p>
    <w:p>
      <w:pPr>
        <w:pStyle w:val="Corpo1"/>
        <w:spacing w:before="0" w:after="0"/>
        <w:jc w:val="both"/>
        <w:rPr>
          <w:rFonts w:ascii="Times New Roman" w:hAnsi="Times New Roman"/>
          <w:sz w:val="24"/>
          <w:szCs w:val="24"/>
        </w:rPr>
      </w:pPr>
      <w:r>
        <w:rPr>
          <w:rFonts w:cs="Calibri"/>
          <w:color w:val="000000"/>
          <w:sz w:val="24"/>
          <w:szCs w:val="24"/>
          <w:shd w:fill="auto" w:val="clear"/>
        </w:rPr>
        <w:tab/>
        <w:tab/>
        <w:tab/>
        <w:t>9.1.11.1. Sendo constatada a ocorrência de uma das exceções previstas nos incisos indicados no item 9.2.1.11, as partes declaram que comunicarão à Autoridade Nacional de Proteção de Dados no prazo de 5 (cinco) dias úteis a contar da celebração do contrato, nos termos do § 2º do artigo 26 da LGPD.</w:t>
      </w:r>
    </w:p>
    <w:p>
      <w:pPr>
        <w:pStyle w:val="Corpo1"/>
        <w:spacing w:before="0" w:after="0"/>
        <w:jc w:val="both"/>
        <w:rPr>
          <w:rFonts w:ascii="Times New Roman" w:hAnsi="Times New Roman" w:cs="Calibri" w:cstheme="minorHAnsi"/>
          <w:iCs/>
          <w:color w:val="000000"/>
          <w:sz w:val="24"/>
          <w:szCs w:val="24"/>
        </w:rPr>
      </w:pPr>
      <w:r>
        <w:rPr>
          <w:rFonts w:cs="Calibri" w:cstheme="minorHAnsi"/>
          <w:iCs/>
          <w:color w:val="000000"/>
          <w:sz w:val="24"/>
          <w:szCs w:val="24"/>
        </w:rPr>
      </w:r>
      <w:bookmarkStart w:id="12" w:name="_Hlk120525780"/>
      <w:bookmarkStart w:id="13" w:name="_Hlk120525780"/>
      <w:bookmarkEnd w:id="13"/>
    </w:p>
    <w:p>
      <w:pPr>
        <w:pStyle w:val="Normal"/>
        <w:suppressAutoHyphens w:val="false"/>
        <w:jc w:val="both"/>
        <w:rPr>
          <w:rFonts w:ascii="Times New Roman" w:hAnsi="Times New Roman"/>
          <w:sz w:val="24"/>
          <w:szCs w:val="24"/>
        </w:rPr>
      </w:pPr>
      <w:r>
        <w:rPr>
          <w:rFonts w:cs="Calibri" w:ascii="Times New Roman" w:hAnsi="Times New Roman" w:cstheme="minorHAnsi"/>
          <w:b/>
          <w:bCs/>
          <w:iCs/>
          <w:sz w:val="24"/>
          <w:szCs w:val="24"/>
        </w:rPr>
        <w:t>10. MODELO DE EXECUÇÃO DO OBJETO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b/>
          <w:bCs/>
          <w:sz w:val="24"/>
          <w:szCs w:val="24"/>
        </w:rPr>
        <w:t xml:space="preserve">10.1. </w:t>
      </w:r>
      <w:r>
        <w:rPr>
          <w:rFonts w:cs="Calibri" w:cstheme="minorHAnsi"/>
          <w:b/>
          <w:bCs/>
          <w:sz w:val="24"/>
          <w:szCs w:val="24"/>
        </w:rPr>
        <w:t>Entrega e critérios de aceitação do objeto.</w:t>
      </w:r>
    </w:p>
    <w:p>
      <w:pPr>
        <w:pStyle w:val="Corpo1"/>
        <w:spacing w:before="0" w:after="0"/>
        <w:jc w:val="both"/>
        <w:rPr>
          <w:rFonts w:ascii="Times New Roman" w:hAnsi="Times New Roman" w:cs="Calibri" w:cstheme="minorHAnsi"/>
          <w:b/>
          <w:bCs/>
          <w:sz w:val="24"/>
          <w:szCs w:val="24"/>
        </w:rPr>
      </w:pPr>
      <w:r>
        <w:rPr>
          <w:rFonts w:cs="Calibri" w:cstheme="minorHAnsi"/>
          <w:b/>
          <w:bCs/>
          <w:sz w:val="24"/>
          <w:szCs w:val="24"/>
        </w:rPr>
      </w:r>
    </w:p>
    <w:p>
      <w:pPr>
        <w:pStyle w:val="Normal"/>
        <w:jc w:val="both"/>
        <w:rPr>
          <w:rFonts w:ascii="Times New Roman" w:hAnsi="Times New Roman"/>
          <w:sz w:val="24"/>
          <w:szCs w:val="24"/>
        </w:rPr>
      </w:pPr>
      <w:r>
        <w:rPr>
          <w:rFonts w:cs="Calibri" w:ascii="Times New Roman" w:hAnsi="Times New Roman" w:cstheme="minorHAnsi"/>
          <w:iCs/>
          <w:color w:val="000000"/>
          <w:sz w:val="24"/>
          <w:szCs w:val="24"/>
        </w:rPr>
        <w:tab/>
        <w:t xml:space="preserve">10.1.1. O prazo de </w:t>
      </w:r>
      <w:r>
        <w:rPr>
          <w:rFonts w:cs="Calibri" w:ascii="Times New Roman" w:hAnsi="Times New Roman" w:cstheme="minorHAnsi"/>
          <w:iCs/>
          <w:color w:val="000000"/>
          <w:sz w:val="24"/>
          <w:szCs w:val="24"/>
        </w:rPr>
        <w:t xml:space="preserve">entrega dos bens </w:t>
      </w:r>
      <w:r>
        <w:rPr>
          <w:rFonts w:cs="Calibri" w:ascii="Times New Roman" w:hAnsi="Times New Roman" w:cstheme="minorHAnsi"/>
          <w:iCs/>
          <w:color w:val="000000"/>
          <w:sz w:val="24"/>
          <w:szCs w:val="24"/>
        </w:rPr>
        <w:t xml:space="preserve"> será de até</w:t>
      </w:r>
      <w:r>
        <w:rPr>
          <w:rFonts w:cs="Calibri" w:ascii="Times New Roman" w:hAnsi="Times New Roman" w:cstheme="minorHAnsi"/>
          <w:b w:val="false"/>
          <w:bCs w:val="false"/>
          <w:iCs/>
          <w:color w:val="000000"/>
          <w:sz w:val="24"/>
          <w:szCs w:val="24"/>
        </w:rPr>
        <w:t xml:space="preserve"> </w:t>
      </w:r>
      <w:r>
        <w:rPr>
          <w:rFonts w:cs="Calibri" w:ascii="Times New Roman" w:hAnsi="Times New Roman" w:cstheme="minorHAnsi"/>
          <w:b w:val="false"/>
          <w:bCs w:val="false"/>
          <w:iCs/>
          <w:color w:val="000000"/>
          <w:sz w:val="24"/>
          <w:szCs w:val="24"/>
        </w:rPr>
        <w:t>30</w:t>
      </w:r>
      <w:r>
        <w:rPr>
          <w:rFonts w:cs="Calibri" w:ascii="Times New Roman" w:hAnsi="Times New Roman" w:cstheme="minorHAnsi"/>
          <w:b w:val="false"/>
          <w:bCs w:val="false"/>
          <w:iCs/>
          <w:color w:val="000000"/>
          <w:sz w:val="24"/>
          <w:szCs w:val="24"/>
        </w:rPr>
        <w:t xml:space="preserve"> (</w:t>
      </w:r>
      <w:r>
        <w:rPr>
          <w:rFonts w:cs="Calibri" w:ascii="Times New Roman" w:hAnsi="Times New Roman" w:cstheme="minorHAnsi"/>
          <w:b w:val="false"/>
          <w:bCs w:val="false"/>
          <w:iCs/>
          <w:color w:val="000000"/>
          <w:sz w:val="24"/>
          <w:szCs w:val="24"/>
        </w:rPr>
        <w:t>trinta dias</w:t>
      </w:r>
      <w:r>
        <w:rPr>
          <w:rFonts w:cs="Calibri" w:ascii="Times New Roman" w:hAnsi="Times New Roman" w:cstheme="minorHAnsi"/>
          <w:b w:val="false"/>
          <w:bCs w:val="false"/>
          <w:iCs/>
          <w:color w:val="000000"/>
          <w:sz w:val="24"/>
          <w:szCs w:val="24"/>
        </w:rPr>
        <w:t>) dias úteis após o recebimento da nota de empenho e o prazo para execução total com a entrega e instalação é de até 10 (dez) dias corridos após o recebimento da Nota de Empenho.</w:t>
      </w:r>
    </w:p>
    <w:p>
      <w:pPr>
        <w:pStyle w:val="Normal"/>
        <w:jc w:val="both"/>
        <w:rPr>
          <w:rFonts w:ascii="Times New Roman" w:hAnsi="Times New Roman" w:cs="Calibri" w:cstheme="minorHAnsi"/>
          <w:iCs/>
          <w:color w:val="FF0000"/>
          <w:sz w:val="24"/>
          <w:szCs w:val="24"/>
        </w:rPr>
      </w:pPr>
      <w:r>
        <w:rPr>
          <w:rFonts w:cs="Calibri" w:cstheme="minorHAnsi" w:ascii="Times New Roman" w:hAnsi="Times New Roman"/>
          <w:iCs/>
          <w:color w:val="FF0000"/>
          <w:sz w:val="24"/>
          <w:szCs w:val="24"/>
        </w:rPr>
      </w:r>
    </w:p>
    <w:p>
      <w:pPr>
        <w:pStyle w:val="Normal"/>
        <w:jc w:val="both"/>
        <w:rPr>
          <w:rFonts w:ascii="Times New Roman" w:hAnsi="Times New Roman"/>
          <w:sz w:val="24"/>
          <w:szCs w:val="24"/>
        </w:rPr>
      </w:pPr>
      <w:r>
        <w:rPr>
          <w:rFonts w:cs="Calibri" w:ascii="Times New Roman" w:hAnsi="Times New Roman" w:cstheme="minorHAnsi"/>
          <w:iCs/>
          <w:sz w:val="24"/>
          <w:szCs w:val="24"/>
        </w:rPr>
        <w:tab/>
        <w:t xml:space="preserve">10.1.2. O prazo </w:t>
      </w:r>
      <w:r>
        <w:rPr>
          <w:rFonts w:cs="Calibri" w:ascii="Times New Roman" w:hAnsi="Times New Roman" w:cstheme="minorHAnsi"/>
          <w:iCs/>
          <w:sz w:val="24"/>
          <w:szCs w:val="24"/>
        </w:rPr>
        <w:t>de entrega</w:t>
      </w:r>
      <w:r>
        <w:rPr>
          <w:rFonts w:cs="Calibri" w:ascii="Times New Roman" w:hAnsi="Times New Roman" w:cstheme="minorHAnsi"/>
          <w:iCs/>
          <w:sz w:val="24"/>
          <w:szCs w:val="24"/>
        </w:rPr>
        <w:t xml:space="preserve"> poderá ser prorrogado, desde que devidamente justificado e aceito pelo órgão contratante.</w:t>
      </w:r>
    </w:p>
    <w:p>
      <w:pPr>
        <w:pStyle w:val="Normal"/>
        <w:jc w:val="both"/>
        <w:rPr>
          <w:rFonts w:ascii="Times New Roman" w:hAnsi="Times New Roman"/>
          <w:sz w:val="24"/>
          <w:szCs w:val="24"/>
        </w:rPr>
      </w:pPr>
      <w:r>
        <w:rPr>
          <w:rFonts w:ascii="Times New Roman" w:hAnsi="Times New Roman"/>
          <w:sz w:val="24"/>
          <w:szCs w:val="24"/>
        </w:rPr>
      </w:r>
    </w:p>
    <w:p>
      <w:pPr>
        <w:pStyle w:val="Normal"/>
        <w:jc w:val="both"/>
        <w:rPr>
          <w:rFonts w:ascii="Times New Roman" w:hAnsi="Times New Roman"/>
          <w:i w:val="false"/>
          <w:i w:val="false"/>
          <w:iCs w:val="false"/>
          <w:sz w:val="24"/>
          <w:szCs w:val="24"/>
        </w:rPr>
      </w:pPr>
      <w:r>
        <w:rPr>
          <w:rFonts w:cs="Calibri" w:ascii="Times New Roman" w:hAnsi="Times New Roman" w:cstheme="minorHAnsi"/>
          <w:i w:val="false"/>
          <w:iCs w:val="false"/>
          <w:sz w:val="24"/>
          <w:szCs w:val="24"/>
        </w:rPr>
        <w:tab/>
      </w:r>
      <w:r>
        <w:rPr>
          <w:rFonts w:cs="Calibri" w:ascii="Times New Roman" w:hAnsi="Times New Roman" w:cstheme="minorHAnsi"/>
          <w:i w:val="false"/>
          <w:iCs w:val="false"/>
          <w:color w:val="000000"/>
          <w:sz w:val="24"/>
          <w:szCs w:val="24"/>
        </w:rPr>
        <w:t>10.1.3. O objeto desta aquisição deverá ser entregue na Secretaria Municipal do Planejamento, Orçamento e Gestão - SEPLOG, situada no Centro Administrativo Prefeito José Aloísio Campos - Rua Frei Luiz Canolo de Noronha, 42  Conj. Costa e Silva - CEP. 49097-270 - Aracaju - Sergipe – Brasil.</w:t>
      </w:r>
    </w:p>
    <w:p>
      <w:pPr>
        <w:pStyle w:val="Normal"/>
        <w:jc w:val="both"/>
        <w:rPr>
          <w:rFonts w:ascii="Times New Roman" w:hAnsi="Times New Roman" w:cs="Calibri" w:cstheme="minorHAnsi"/>
          <w:color w:val="FF0000"/>
          <w:sz w:val="24"/>
          <w:szCs w:val="24"/>
        </w:rPr>
      </w:pPr>
      <w:r>
        <w:rPr>
          <w:rFonts w:cs="Calibri" w:cstheme="minorHAnsi" w:ascii="Times New Roman" w:hAnsi="Times New Roman"/>
          <w:color w:val="FF0000"/>
          <w:sz w:val="24"/>
          <w:szCs w:val="24"/>
        </w:rPr>
      </w:r>
    </w:p>
    <w:p>
      <w:pPr>
        <w:pStyle w:val="Corpo1"/>
        <w:spacing w:before="0" w:after="0"/>
        <w:jc w:val="both"/>
        <w:rPr>
          <w:rFonts w:ascii="Times New Roman" w:hAnsi="Times New Roman"/>
          <w:sz w:val="24"/>
          <w:szCs w:val="24"/>
        </w:rPr>
      </w:pPr>
      <w:r>
        <w:rPr>
          <w:rFonts w:cs="Calibri" w:cstheme="minorHAnsi"/>
          <w:color w:val="FF0000"/>
          <w:sz w:val="24"/>
          <w:szCs w:val="24"/>
        </w:rPr>
        <w:tab/>
      </w:r>
      <w:r>
        <w:rPr>
          <w:rFonts w:cs="Calibri" w:cstheme="minorHAnsi"/>
          <w:color w:val="000000"/>
          <w:sz w:val="24"/>
          <w:szCs w:val="24"/>
        </w:rPr>
        <w:t xml:space="preserve">10.1.4. </w:t>
      </w:r>
      <w:r>
        <w:rPr>
          <w:rFonts w:cs="Calibri" w:cstheme="minorHAnsi"/>
          <w:bCs/>
          <w:color w:val="000000"/>
          <w:sz w:val="24"/>
          <w:szCs w:val="24"/>
        </w:rPr>
        <w:t>Para a perfeita execução dos serviços, a Contratada deverá disponibilizar os materiais, equipamentos, ferramentas e utensílios necessários, nas quantidades estimadas e qualidades estabelecidas, promovendo sua substituição quando necessário.</w:t>
      </w:r>
    </w:p>
    <w:p>
      <w:pPr>
        <w:pStyle w:val="Normal"/>
        <w:jc w:val="both"/>
        <w:rPr>
          <w:rFonts w:ascii="Times New Roman" w:hAnsi="Times New Roman" w:cs="Calibri" w:cstheme="minorHAnsi"/>
          <w:color w:val="FF0000"/>
          <w:sz w:val="24"/>
          <w:szCs w:val="24"/>
        </w:rPr>
      </w:pPr>
      <w:r>
        <w:rPr>
          <w:rFonts w:cs="Calibri" w:cstheme="minorHAnsi" w:ascii="Times New Roman" w:hAnsi="Times New Roman"/>
          <w:color w:val="FF0000"/>
          <w:sz w:val="24"/>
          <w:szCs w:val="24"/>
        </w:rPr>
      </w:r>
    </w:p>
    <w:p>
      <w:pPr>
        <w:pStyle w:val="Normal"/>
        <w:jc w:val="both"/>
        <w:rPr>
          <w:rFonts w:ascii="Times New Roman" w:hAnsi="Times New Roman"/>
          <w:sz w:val="24"/>
          <w:szCs w:val="24"/>
        </w:rPr>
      </w:pPr>
      <w:r>
        <w:rPr>
          <w:rFonts w:cs="Calibri" w:ascii="Times New Roman" w:hAnsi="Times New Roman" w:cstheme="minorHAnsi"/>
          <w:b/>
          <w:bCs/>
          <w:color w:val="000000"/>
          <w:sz w:val="24"/>
          <w:szCs w:val="24"/>
          <w:lang w:eastAsia="en-US"/>
        </w:rPr>
        <w:t>10.2. Da subcontratação</w:t>
      </w:r>
    </w:p>
    <w:p>
      <w:pPr>
        <w:pStyle w:val="Normal"/>
        <w:suppressAutoHyphens w:val="false"/>
        <w:jc w:val="both"/>
        <w:rPr>
          <w:rFonts w:ascii="Times New Roman" w:hAnsi="Times New Roman" w:cs="Calibri" w:cstheme="minorHAnsi"/>
          <w:iCs/>
          <w:color w:val="FF0000"/>
          <w:sz w:val="24"/>
          <w:szCs w:val="24"/>
        </w:rPr>
      </w:pPr>
      <w:r>
        <w:rPr>
          <w:rFonts w:cs="Calibri" w:cstheme="minorHAnsi" w:ascii="Times New Roman" w:hAnsi="Times New Roman"/>
          <w:iCs/>
          <w:color w:val="FF0000"/>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iCs/>
          <w:color w:val="000000"/>
          <w:sz w:val="24"/>
          <w:szCs w:val="24"/>
        </w:rPr>
        <w:t>10.2.1. Não será admitida a subcontratação do objeto.</w:t>
      </w:r>
    </w:p>
    <w:p>
      <w:pPr>
        <w:pStyle w:val="Normal"/>
        <w:suppressAutoHyphens w:val="false"/>
        <w:jc w:val="both"/>
        <w:rPr>
          <w:rFonts w:ascii="Times New Roman" w:hAnsi="Times New Roman"/>
          <w:sz w:val="24"/>
          <w:szCs w:val="24"/>
        </w:rPr>
      </w:pPr>
      <w:r>
        <w:rPr>
          <w:rFonts w:ascii="Times New Roman" w:hAnsi="Times New Roman"/>
          <w:sz w:val="24"/>
          <w:szCs w:val="24"/>
        </w:rPr>
      </w:r>
    </w:p>
    <w:p>
      <w:pPr>
        <w:pStyle w:val="Default"/>
        <w:rPr>
          <w:rFonts w:ascii="Times New Roman" w:hAnsi="Times New Roman"/>
          <w:sz w:val="24"/>
          <w:szCs w:val="24"/>
        </w:rPr>
      </w:pPr>
      <w:r>
        <w:rPr>
          <w:rFonts w:cs="Calibri" w:ascii="Times New Roman" w:hAnsi="Times New Roman" w:cstheme="minorHAnsi"/>
          <w:b/>
          <w:bCs/>
          <w:iCs/>
          <w:sz w:val="24"/>
          <w:szCs w:val="24"/>
        </w:rPr>
        <w:t xml:space="preserve">11. </w:t>
      </w:r>
      <w:r>
        <w:rPr>
          <w:rFonts w:cs="Calibri" w:ascii="Times New Roman" w:hAnsi="Times New Roman" w:cstheme="minorHAnsi"/>
          <w:b/>
          <w:bCs/>
          <w:sz w:val="24"/>
          <w:szCs w:val="24"/>
        </w:rPr>
        <w:t>DO MODELO DE GESTÃO DO CONTRATO</w:t>
      </w:r>
    </w:p>
    <w:p>
      <w:pPr>
        <w:pStyle w:val="Default"/>
        <w:rPr>
          <w:rFonts w:ascii="Times New Roman" w:hAnsi="Times New Roman" w:cs="Calibri" w:cstheme="minorHAnsi"/>
          <w:b/>
          <w:bCs/>
          <w:sz w:val="24"/>
          <w:szCs w:val="24"/>
        </w:rPr>
      </w:pPr>
      <w:r>
        <w:rPr>
          <w:rFonts w:cs="Calibri" w:cstheme="minorHAnsi" w:ascii="Times New Roman" w:hAnsi="Times New Roman"/>
          <w:b/>
          <w:bCs/>
          <w:sz w:val="24"/>
          <w:szCs w:val="24"/>
        </w:rPr>
      </w:r>
    </w:p>
    <w:p>
      <w:pPr>
        <w:pStyle w:val="Default"/>
        <w:jc w:val="both"/>
        <w:rPr>
          <w:rFonts w:ascii="Times New Roman" w:hAnsi="Times New Roman"/>
          <w:sz w:val="24"/>
          <w:szCs w:val="24"/>
        </w:rPr>
      </w:pPr>
      <w:r>
        <w:rPr>
          <w:rFonts w:cs="Calibri" w:ascii="Times New Roman" w:hAnsi="Times New Roman" w:cstheme="minorHAnsi"/>
          <w:sz w:val="24"/>
          <w:szCs w:val="24"/>
        </w:rPr>
        <w:t>11.1. O contrato deverá ser executado fielmente pelas partes de acordo com as cláusulas avençadas e as disposições da Lei nº 14.133/2021, e cada parte responderá pelas consequências de sua inexecução total ou parcial.</w:t>
      </w:r>
    </w:p>
    <w:p>
      <w:pPr>
        <w:pStyle w:val="Default"/>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Default"/>
        <w:jc w:val="both"/>
        <w:rPr>
          <w:rFonts w:ascii="Times New Roman" w:hAnsi="Times New Roman"/>
          <w:sz w:val="24"/>
          <w:szCs w:val="24"/>
        </w:rPr>
      </w:pPr>
      <w:r>
        <w:rPr>
          <w:rFonts w:cs="Calibri" w:ascii="Times New Roman" w:hAnsi="Times New Roman" w:cstheme="minorHAnsi"/>
          <w:sz w:val="24"/>
          <w:szCs w:val="24"/>
        </w:rPr>
        <w:t xml:space="preserve">11.2. Em caso de impedimento, ordem de paralisação ou suspensão do contrato, o cronograma de execução será prorrogado automaticamente pelo tempo correspondente, anotadas tais circunstâncias através de termo de apostilamento ao contrato.  </w:t>
      </w:r>
    </w:p>
    <w:p>
      <w:pPr>
        <w:pStyle w:val="Default"/>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Default"/>
        <w:jc w:val="both"/>
        <w:rPr>
          <w:rFonts w:ascii="Times New Roman" w:hAnsi="Times New Roman"/>
          <w:sz w:val="24"/>
          <w:szCs w:val="24"/>
        </w:rPr>
      </w:pPr>
      <w:r>
        <w:rPr>
          <w:rFonts w:cs="Calibri" w:ascii="Times New Roman" w:hAnsi="Times New Roman" w:cstheme="minorHAnsi"/>
          <w:sz w:val="24"/>
          <w:szCs w:val="24"/>
        </w:rPr>
        <w:t xml:space="preserve">11.3. A Contratante exercerá ampla e irrestrita fiscalização na execução objeto contratado, por meio de gestor e fiscal integrantes da COAUX a serem oportunamente designados, nos termos </w:t>
      </w:r>
      <w:r>
        <w:rPr>
          <w:rFonts w:cs="Calibri" w:ascii="Times New Roman" w:hAnsi="Times New Roman" w:cstheme="minorHAnsi"/>
          <w:sz w:val="24"/>
          <w:szCs w:val="24"/>
          <w:shd w:fill="auto" w:val="clear"/>
        </w:rPr>
        <w:t>do artigo 19 do Decreto Municipal n</w:t>
      </w:r>
      <w:r>
        <w:rPr>
          <w:rFonts w:cs="Calibri" w:ascii="Times New Roman" w:hAnsi="Times New Roman" w:cstheme="minorHAnsi"/>
          <w:color w:val="000000"/>
          <w:sz w:val="24"/>
          <w:szCs w:val="24"/>
          <w:shd w:fill="auto" w:val="clear"/>
        </w:rPr>
        <w:t>º 7.178/2023 e d</w:t>
      </w:r>
      <w:r>
        <w:rPr>
          <w:rFonts w:cs="Calibri" w:ascii="Times New Roman" w:hAnsi="Times New Roman" w:cstheme="minorHAnsi"/>
          <w:sz w:val="24"/>
          <w:szCs w:val="24"/>
          <w:shd w:fill="auto" w:val="clear"/>
        </w:rPr>
        <w:t>os artigos 69 a 86 da Instrução Normativa Conjunta PGM/CGM/SEPLOG nº 002/2023.</w:t>
      </w:r>
    </w:p>
    <w:p>
      <w:pPr>
        <w:pStyle w:val="Normal"/>
        <w:spacing w:lineRule="auto" w:line="240"/>
        <w:jc w:val="both"/>
        <w:rPr>
          <w:rFonts w:ascii="Times New Roman" w:hAnsi="Times New Roman"/>
          <w:color w:val="auto"/>
          <w:sz w:val="24"/>
          <w:szCs w:val="24"/>
        </w:rPr>
      </w:pPr>
      <w:r>
        <w:rPr>
          <w:rFonts w:ascii="Times New Roman" w:hAnsi="Times New Roman"/>
          <w:color w:val="auto"/>
          <w:sz w:val="24"/>
          <w:szCs w:val="24"/>
        </w:rPr>
      </w:r>
    </w:p>
    <w:p>
      <w:pPr>
        <w:pStyle w:val="Default"/>
        <w:jc w:val="both"/>
        <w:rPr>
          <w:rFonts w:ascii="Times New Roman" w:hAnsi="Times New Roman"/>
          <w:sz w:val="24"/>
          <w:szCs w:val="24"/>
        </w:rPr>
      </w:pPr>
      <w:r>
        <w:rPr>
          <w:rFonts w:cs="Calibri" w:ascii="Times New Roman" w:hAnsi="Times New Roman" w:cstheme="minorHAnsi"/>
          <w:sz w:val="24"/>
          <w:szCs w:val="24"/>
        </w:rPr>
        <w:tab/>
        <w:t>11.3.1. O fiscal designado acompanhará e anotará em registro próprio todas as ocorrências relacionadas com a execução do objeto, determinando o que for necessário à regularização de falhas ou defeitos observados.</w:t>
      </w:r>
    </w:p>
    <w:p>
      <w:pPr>
        <w:pStyle w:val="Default"/>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Default"/>
        <w:jc w:val="both"/>
        <w:rPr>
          <w:rFonts w:ascii="Times New Roman" w:hAnsi="Times New Roman"/>
          <w:sz w:val="24"/>
          <w:szCs w:val="24"/>
        </w:rPr>
      </w:pPr>
      <w:r>
        <w:rPr>
          <w:rFonts w:cs="Calibri" w:ascii="Times New Roman" w:hAnsi="Times New Roman" w:cstheme="minorHAnsi"/>
          <w:sz w:val="24"/>
          <w:szCs w:val="24"/>
        </w:rPr>
        <w:tab/>
        <w:t>11.3.2. O fiscal designado informará a seus superiores, em tempo hábil para a adoção das medidas necessárias, a situação que demandar decisão ou providência que ultrapasse sua competência.</w:t>
      </w:r>
    </w:p>
    <w:p>
      <w:pPr>
        <w:pStyle w:val="Normal"/>
        <w:suppressAutoHyphens w:val="false"/>
        <w:jc w:val="both"/>
        <w:rPr>
          <w:rFonts w:ascii="Times New Roman" w:hAnsi="Times New Roman" w:cs="Calibri" w:cstheme="minorHAnsi"/>
          <w:color w:val="000000"/>
          <w:sz w:val="24"/>
          <w:szCs w:val="24"/>
          <w:lang w:eastAsia="pt-BR"/>
        </w:rPr>
      </w:pPr>
      <w:r>
        <w:rPr>
          <w:rFonts w:cs="Calibri" w:cstheme="minorHAnsi" w:ascii="Times New Roman" w:hAnsi="Times New Roman"/>
          <w:color w:val="000000"/>
          <w:sz w:val="24"/>
          <w:szCs w:val="24"/>
          <w:lang w:eastAsia="pt-BR"/>
        </w:rPr>
      </w:r>
    </w:p>
    <w:p>
      <w:pPr>
        <w:pStyle w:val="Default"/>
        <w:jc w:val="both"/>
        <w:rPr>
          <w:rFonts w:ascii="Times New Roman" w:hAnsi="Times New Roman"/>
          <w:sz w:val="24"/>
          <w:szCs w:val="24"/>
        </w:rPr>
      </w:pPr>
      <w:r>
        <w:rPr>
          <w:rFonts w:cs="Calibri" w:ascii="Times New Roman" w:hAnsi="Times New Roman" w:cstheme="minorHAnsi"/>
          <w:sz w:val="24"/>
          <w:szCs w:val="24"/>
          <w:lang w:eastAsia="pt-BR"/>
        </w:rPr>
        <w:tab/>
        <w:t>11.3.3. O fiscal do contrato poderá ser auxiliado pelos órgãos de assessoramento jurídico e de controle interno da Administração, que deverão dirimir dúvidas e subsidiá-lo com informações relevan</w:t>
      </w:r>
      <w:r>
        <w:rPr>
          <w:rFonts w:cs="Calibri" w:ascii="Times New Roman" w:hAnsi="Times New Roman" w:cstheme="minorHAnsi"/>
          <w:color w:val="000000"/>
          <w:sz w:val="24"/>
          <w:szCs w:val="24"/>
          <w:shd w:fill="auto" w:val="clear"/>
          <w:lang w:eastAsia="pt-BR"/>
        </w:rPr>
        <w:t xml:space="preserve">tes para prevenir riscos na execução contratual, </w:t>
      </w:r>
      <w:bookmarkStart w:id="14" w:name="docs-internal-guid-67945177-7fff-3ab6-fa"/>
      <w:bookmarkEnd w:id="14"/>
      <w:r>
        <w:rPr>
          <w:rFonts w:cs="Calibri" w:ascii="Times New Roman" w:hAnsi="Times New Roman" w:cstheme="minorHAnsi"/>
          <w:b w:val="false"/>
          <w:i w:val="false"/>
          <w:caps w:val="false"/>
          <w:smallCaps w:val="false"/>
          <w:strike w:val="false"/>
          <w:dstrike w:val="false"/>
          <w:color w:val="000000"/>
          <w:sz w:val="24"/>
          <w:szCs w:val="24"/>
          <w:u w:val="none"/>
          <w:effect w:val="none"/>
          <w:shd w:fill="auto" w:val="clear"/>
          <w:lang w:eastAsia="pt-BR"/>
        </w:rPr>
        <w:t>na forma dos artigos 74 e 75 do Decreto Municipal nº 7.177/2023, e dos artigos 316 e 317 do Decreto Municipal nº 7.178/2023, conforme o caso</w:t>
      </w:r>
      <w:r>
        <w:rPr>
          <w:rFonts w:cs="Calibri" w:ascii="Times New Roman" w:hAnsi="Times New Roman" w:cstheme="minorHAnsi"/>
          <w:color w:val="000000"/>
          <w:sz w:val="24"/>
          <w:szCs w:val="24"/>
          <w:shd w:fill="auto" w:val="clear"/>
        </w:rPr>
        <w:t>.</w:t>
      </w:r>
    </w:p>
    <w:p>
      <w:pPr>
        <w:pStyle w:val="Default"/>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Default"/>
        <w:jc w:val="both"/>
        <w:rPr>
          <w:rFonts w:ascii="Times New Roman" w:hAnsi="Times New Roman"/>
          <w:sz w:val="24"/>
          <w:szCs w:val="24"/>
        </w:rPr>
      </w:pPr>
      <w:r>
        <w:rPr>
          <w:rFonts w:cs="Calibri" w:ascii="Times New Roman" w:hAnsi="Times New Roman" w:cstheme="minorHAnsi"/>
          <w:sz w:val="24"/>
          <w:szCs w:val="24"/>
        </w:rPr>
        <w:tab/>
        <w:t>11.3.4.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 artigo 120 da Lei nº 14.133/2021.</w:t>
      </w:r>
    </w:p>
    <w:p>
      <w:pPr>
        <w:pStyle w:val="Default"/>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Corpo1"/>
        <w:shd w:val="clear" w:color="auto" w:fill="FFFFFF"/>
        <w:spacing w:before="0" w:after="0"/>
        <w:jc w:val="both"/>
        <w:rPr>
          <w:rFonts w:ascii="Times New Roman" w:hAnsi="Times New Roman"/>
          <w:sz w:val="24"/>
          <w:szCs w:val="24"/>
        </w:rPr>
      </w:pPr>
      <w:r>
        <w:rPr>
          <w:rFonts w:cs="Calibri" w:cstheme="minorHAnsi"/>
          <w:b/>
          <w:bCs/>
          <w:sz w:val="24"/>
          <w:szCs w:val="24"/>
        </w:rPr>
        <w:t>11.4. Critérios de recebimento e aceitação do objeto</w:t>
      </w:r>
    </w:p>
    <w:p>
      <w:pPr>
        <w:pStyle w:val="Corpo1"/>
        <w:shd w:val="clear" w:color="auto" w:fill="FFFFFF"/>
        <w:spacing w:before="0" w:after="0"/>
        <w:jc w:val="both"/>
        <w:rPr>
          <w:rFonts w:ascii="Times New Roman" w:hAnsi="Times New Roman" w:cs="Calibri" w:cstheme="minorHAnsi"/>
          <w:color w:val="FF0000"/>
          <w:sz w:val="24"/>
          <w:szCs w:val="24"/>
        </w:rPr>
      </w:pPr>
      <w:r>
        <w:rPr>
          <w:rFonts w:cs="Calibri" w:cstheme="minorHAnsi"/>
          <w:color w:val="FF0000"/>
          <w:sz w:val="24"/>
          <w:szCs w:val="24"/>
        </w:rPr>
      </w:r>
    </w:p>
    <w:p>
      <w:pPr>
        <w:pStyle w:val="Normal"/>
        <w:jc w:val="both"/>
        <w:rPr>
          <w:rFonts w:ascii="Times New Roman" w:hAnsi="Times New Roman"/>
          <w:sz w:val="24"/>
          <w:szCs w:val="24"/>
        </w:rPr>
      </w:pPr>
      <w:r>
        <w:rPr>
          <w:rFonts w:cs="Calibri" w:ascii="Times New Roman" w:hAnsi="Times New Roman" w:cstheme="minorHAnsi"/>
          <w:color w:val="000000"/>
          <w:sz w:val="24"/>
          <w:szCs w:val="24"/>
        </w:rPr>
        <w:tab/>
        <w:t>11.4.1. Os serviços serão recebidos provisoriamente no prazo de até 10 (dez) dias corridos, contado do envio da Nota Fiscal atestada</w:t>
      </w:r>
      <w:r>
        <w:rPr>
          <w:rFonts w:cs="Calibri" w:ascii="Times New Roman" w:hAnsi="Times New Roman" w:cstheme="minorHAnsi"/>
          <w:color w:val="FF0000"/>
          <w:sz w:val="24"/>
          <w:szCs w:val="24"/>
        </w:rPr>
        <w:t xml:space="preserve">, </w:t>
      </w:r>
      <w:r>
        <w:rPr>
          <w:rFonts w:cs="Calibri" w:ascii="Times New Roman" w:hAnsi="Times New Roman" w:cstheme="minorHAnsi"/>
          <w:color w:val="000000"/>
          <w:sz w:val="24"/>
          <w:szCs w:val="24"/>
        </w:rPr>
        <w:t xml:space="preserve">pelo(a) </w:t>
      </w:r>
      <w:r>
        <w:rPr>
          <w:rFonts w:cs="Calibri" w:ascii="Times New Roman" w:hAnsi="Times New Roman" w:cstheme="minorHAnsi"/>
          <w:iCs/>
          <w:color w:val="000000"/>
          <w:sz w:val="24"/>
          <w:szCs w:val="24"/>
        </w:rPr>
        <w:t>responsável</w:t>
      </w:r>
      <w:r>
        <w:rPr>
          <w:rFonts w:cs="Calibri" w:ascii="Times New Roman" w:hAnsi="Times New Roman" w:cstheme="minorHAnsi"/>
          <w:color w:val="000000"/>
          <w:sz w:val="24"/>
          <w:szCs w:val="24"/>
        </w:rPr>
        <w:t xml:space="preserve"> pelo acompanhamento e fiscalização do contrato, mediante termo detalhado, quando verificado o cumprimento de exigências de caráter técnico.</w:t>
      </w:r>
    </w:p>
    <w:p>
      <w:pPr>
        <w:pStyle w:val="Normal"/>
        <w:jc w:val="both"/>
        <w:rPr>
          <w:rFonts w:ascii="Times New Roman" w:hAnsi="Times New Roman" w:cs="Calibri" w:cstheme="minorHAnsi"/>
          <w:bCs/>
          <w:color w:val="000000"/>
          <w:sz w:val="24"/>
          <w:szCs w:val="24"/>
        </w:rPr>
      </w:pPr>
      <w:r>
        <w:rPr>
          <w:rFonts w:cs="Calibri" w:cstheme="minorHAnsi" w:ascii="Times New Roman" w:hAnsi="Times New Roman"/>
          <w:bCs/>
          <w:color w:val="000000"/>
          <w:sz w:val="24"/>
          <w:szCs w:val="24"/>
        </w:rPr>
      </w:r>
    </w:p>
    <w:p>
      <w:pPr>
        <w:pStyle w:val="Normal"/>
        <w:jc w:val="both"/>
        <w:rPr>
          <w:rFonts w:ascii="Times New Roman" w:hAnsi="Times New Roman"/>
          <w:sz w:val="24"/>
          <w:szCs w:val="24"/>
        </w:rPr>
      </w:pPr>
      <w:r>
        <w:rPr>
          <w:rFonts w:cs="Calibri" w:ascii="Times New Roman" w:hAnsi="Times New Roman" w:cstheme="minorHAnsi"/>
          <w:bCs/>
          <w:color w:val="000000"/>
          <w:sz w:val="24"/>
          <w:szCs w:val="24"/>
        </w:rPr>
        <w:tab/>
        <w:tab/>
        <w:t>11.4.1.1. Os serviços poderão ser rejeitados, no todo ou em parte, quando em desacordo com as especificações constantes neste Termo de Referência e na proposta, devendo ser corrigidos no prazo de 02 (dois) dias, a contar da notificação da Contratada, às suas custas, sem prejuízo da aplicação das penalidades.</w:t>
      </w:r>
    </w:p>
    <w:p>
      <w:pPr>
        <w:pStyle w:val="Normal"/>
        <w:jc w:val="both"/>
        <w:rPr>
          <w:rFonts w:ascii="Times New Roman" w:hAnsi="Times New Roman" w:cs="Calibri" w:cstheme="minorHAnsi"/>
          <w:bCs/>
          <w:color w:val="000000"/>
          <w:sz w:val="24"/>
          <w:szCs w:val="24"/>
        </w:rPr>
      </w:pPr>
      <w:r>
        <w:rPr>
          <w:rFonts w:cs="Calibri" w:cstheme="minorHAnsi" w:ascii="Times New Roman" w:hAnsi="Times New Roman"/>
          <w:bCs/>
          <w:color w:val="000000"/>
          <w:sz w:val="24"/>
          <w:szCs w:val="24"/>
        </w:rPr>
      </w:r>
    </w:p>
    <w:p>
      <w:pPr>
        <w:pStyle w:val="Normal"/>
        <w:jc w:val="both"/>
        <w:rPr>
          <w:rFonts w:ascii="Times New Roman" w:hAnsi="Times New Roman"/>
          <w:sz w:val="24"/>
          <w:szCs w:val="24"/>
        </w:rPr>
      </w:pPr>
      <w:r>
        <w:rPr>
          <w:rFonts w:cs="Calibri" w:ascii="Times New Roman" w:hAnsi="Times New Roman" w:cstheme="minorHAnsi"/>
          <w:bCs/>
          <w:color w:val="000000"/>
          <w:sz w:val="24"/>
          <w:szCs w:val="24"/>
        </w:rPr>
        <w:tab/>
        <w:tab/>
        <w:t>11.4.1.2. Será realizada inspeção minuciosa de todos os serviços executados, por meio de (profissionais técnicos e/ou profissionais encarregados pelo serviço), com a finalidade de verificar a adequação dos serviços e constatar e relacionar os arremates, retoques ou revisões que se fizerem necessários.</w:t>
      </w:r>
    </w:p>
    <w:p>
      <w:pPr>
        <w:pStyle w:val="Normal"/>
        <w:jc w:val="both"/>
        <w:rPr>
          <w:rFonts w:ascii="Times New Roman" w:hAnsi="Times New Roman" w:cs="Calibri" w:cstheme="minorHAnsi"/>
          <w:bCs/>
          <w:color w:val="000000"/>
          <w:sz w:val="24"/>
          <w:szCs w:val="24"/>
        </w:rPr>
      </w:pPr>
      <w:r>
        <w:rPr>
          <w:rFonts w:cs="Calibri" w:cstheme="minorHAnsi" w:ascii="Times New Roman" w:hAnsi="Times New Roman"/>
          <w:bCs/>
          <w:color w:val="000000"/>
          <w:sz w:val="24"/>
          <w:szCs w:val="24"/>
        </w:rPr>
      </w:r>
    </w:p>
    <w:p>
      <w:pPr>
        <w:pStyle w:val="Normal"/>
        <w:jc w:val="both"/>
        <w:rPr>
          <w:rFonts w:ascii="Times New Roman" w:hAnsi="Times New Roman"/>
          <w:sz w:val="24"/>
          <w:szCs w:val="24"/>
        </w:rPr>
      </w:pPr>
      <w:r>
        <w:rPr>
          <w:rFonts w:cs="Calibri" w:ascii="Times New Roman" w:hAnsi="Times New Roman" w:cstheme="minorHAnsi"/>
          <w:bCs/>
          <w:color w:val="000000"/>
          <w:sz w:val="24"/>
          <w:szCs w:val="24"/>
        </w:rPr>
        <w:tab/>
        <w:tab/>
        <w:t>11.4.1.3. O recebimento provisório ficará sujeito, quando cabível, à conclusão de todos os testes de campo e à entrega dos Manuais e instruções exigíveis.</w:t>
      </w:r>
    </w:p>
    <w:p>
      <w:pPr>
        <w:pStyle w:val="Normal"/>
        <w:jc w:val="both"/>
        <w:rPr>
          <w:rFonts w:ascii="Times New Roman" w:hAnsi="Times New Roman" w:cs="Calibri" w:cstheme="minorHAnsi"/>
          <w:bCs/>
          <w:color w:val="000000"/>
          <w:sz w:val="24"/>
          <w:szCs w:val="24"/>
        </w:rPr>
      </w:pPr>
      <w:r>
        <w:rPr>
          <w:rFonts w:cs="Calibri" w:cstheme="minorHAnsi" w:ascii="Times New Roman" w:hAnsi="Times New Roman"/>
          <w:bCs/>
          <w:color w:val="000000"/>
          <w:sz w:val="24"/>
          <w:szCs w:val="24"/>
        </w:rPr>
      </w:r>
    </w:p>
    <w:p>
      <w:pPr>
        <w:pStyle w:val="Normal"/>
        <w:jc w:val="both"/>
        <w:rPr>
          <w:rFonts w:ascii="Times New Roman" w:hAnsi="Times New Roman"/>
          <w:sz w:val="24"/>
          <w:szCs w:val="24"/>
        </w:rPr>
      </w:pPr>
      <w:r>
        <w:rPr>
          <w:rFonts w:cs="Calibri" w:ascii="Times New Roman" w:hAnsi="Times New Roman" w:cstheme="minorHAnsi"/>
          <w:bCs/>
          <w:color w:val="000000"/>
          <w:sz w:val="24"/>
          <w:szCs w:val="24"/>
        </w:rPr>
        <w:tab/>
        <w:tab/>
        <w:t>11.4.1.5. No prazo indicado no item 11.4.1, o fiscal ou a equipe de fiscalização deverá elaborar relatório circunstanciado de acordo com suas atribuições e encaminhá-lo ao gestor do contrato.</w:t>
      </w:r>
    </w:p>
    <w:p>
      <w:pPr>
        <w:pStyle w:val="Normal"/>
        <w:jc w:val="both"/>
        <w:rPr>
          <w:rFonts w:ascii="Times New Roman" w:hAnsi="Times New Roman" w:cs="Calibri" w:cstheme="minorHAnsi"/>
          <w:color w:val="000000"/>
          <w:sz w:val="24"/>
          <w:szCs w:val="24"/>
          <w:lang w:eastAsia="en-US"/>
        </w:rPr>
      </w:pPr>
      <w:r>
        <w:rPr>
          <w:rFonts w:cs="Calibri" w:cstheme="minorHAnsi" w:ascii="Times New Roman" w:hAnsi="Times New Roman"/>
          <w:color w:val="000000"/>
          <w:sz w:val="24"/>
          <w:szCs w:val="24"/>
          <w:lang w:eastAsia="en-US"/>
        </w:rPr>
      </w:r>
    </w:p>
    <w:p>
      <w:pPr>
        <w:pStyle w:val="Normal"/>
        <w:jc w:val="both"/>
        <w:rPr>
          <w:rFonts w:ascii="Times New Roman" w:hAnsi="Times New Roman"/>
          <w:sz w:val="24"/>
          <w:szCs w:val="24"/>
        </w:rPr>
      </w:pPr>
      <w:r>
        <w:rPr>
          <w:rFonts w:cs="Calibri" w:ascii="Times New Roman" w:hAnsi="Times New Roman" w:cstheme="minorHAnsi"/>
          <w:color w:val="000000"/>
          <w:sz w:val="24"/>
          <w:szCs w:val="24"/>
        </w:rPr>
        <w:tab/>
        <w:t>11.4.2. Os serviços serão recebidos definitivamente no prazo de a</w:t>
      </w:r>
      <w:r>
        <w:rPr>
          <w:rFonts w:cs="Calibri" w:ascii="Times New Roman" w:hAnsi="Times New Roman" w:cstheme="minorHAnsi"/>
          <w:color w:val="111111"/>
          <w:sz w:val="24"/>
          <w:szCs w:val="24"/>
        </w:rPr>
        <w:t xml:space="preserve">té 10 (dez) dias corridos, </w:t>
      </w:r>
      <w:r>
        <w:rPr>
          <w:rFonts w:cs="Calibri" w:ascii="Times New Roman" w:hAnsi="Times New Roman" w:cstheme="minorHAnsi"/>
          <w:color w:val="000000"/>
          <w:sz w:val="24"/>
          <w:szCs w:val="24"/>
        </w:rPr>
        <w:t>contados do recebimento da Nota de Empenho, mediante termo detalhado, após verificação da qualidade e quantidade do serviço executado, observadas as seguintes diretrizes:</w:t>
      </w:r>
    </w:p>
    <w:p>
      <w:pPr>
        <w:pStyle w:val="Normal"/>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Normal"/>
        <w:jc w:val="both"/>
        <w:rPr>
          <w:rFonts w:ascii="Times New Roman" w:hAnsi="Times New Roman"/>
          <w:sz w:val="24"/>
          <w:szCs w:val="24"/>
        </w:rPr>
      </w:pPr>
      <w:r>
        <w:rPr>
          <w:rFonts w:cs="Calibri" w:ascii="Times New Roman" w:hAnsi="Times New Roman" w:cstheme="minorHAnsi"/>
          <w:sz w:val="24"/>
          <w:szCs w:val="24"/>
        </w:rPr>
        <w:tab/>
        <w:tab/>
        <w:t>11.4.2.1.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ormal"/>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Normal"/>
        <w:jc w:val="both"/>
        <w:rPr>
          <w:rFonts w:ascii="Times New Roman" w:hAnsi="Times New Roman"/>
          <w:sz w:val="24"/>
          <w:szCs w:val="24"/>
        </w:rPr>
      </w:pPr>
      <w:r>
        <w:rPr>
          <w:rFonts w:cs="Calibri" w:ascii="Times New Roman" w:hAnsi="Times New Roman" w:cstheme="minorHAnsi"/>
          <w:sz w:val="24"/>
          <w:szCs w:val="24"/>
        </w:rPr>
        <w:tab/>
        <w:tab/>
        <w:t>11.4.2.2. Emitir termo circunstanciado para efeito de recebimento definitivo dos serviços prestados, com base nos relatórios e documentações apresentadas; e</w:t>
      </w:r>
    </w:p>
    <w:p>
      <w:pPr>
        <w:pStyle w:val="Normal"/>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Normal"/>
        <w:jc w:val="both"/>
        <w:rPr>
          <w:rFonts w:ascii="Times New Roman" w:hAnsi="Times New Roman"/>
          <w:sz w:val="24"/>
          <w:szCs w:val="24"/>
        </w:rPr>
      </w:pPr>
      <w:r>
        <w:rPr>
          <w:rFonts w:cs="Calibri" w:ascii="Times New Roman" w:hAnsi="Times New Roman" w:cstheme="minorHAnsi"/>
          <w:sz w:val="24"/>
          <w:szCs w:val="24"/>
        </w:rPr>
        <w:tab/>
        <w:tab/>
        <w:t>11.4.2.3. Comunicar ao</w:t>
      </w:r>
      <w:r>
        <w:rPr>
          <w:rFonts w:cs="Calibri" w:ascii="Times New Roman" w:hAnsi="Times New Roman" w:cstheme="minorHAnsi"/>
          <w:color w:val="000000"/>
          <w:sz w:val="24"/>
          <w:szCs w:val="24"/>
        </w:rPr>
        <w:t xml:space="preserve"> fornecedor para que emita a Nota Fiscal ou Fatura, com o valor exato dimensionado pela fiscalização, com base no Instrumento de Medição de Resultado ou equivalente. </w:t>
      </w:r>
    </w:p>
    <w:p>
      <w:pPr>
        <w:pStyle w:val="Normal"/>
        <w:jc w:val="both"/>
        <w:rPr>
          <w:rFonts w:ascii="Times New Roman" w:hAnsi="Times New Roman" w:cs="Calibri" w:cstheme="minorHAnsi"/>
          <w:color w:val="000000"/>
          <w:sz w:val="24"/>
          <w:szCs w:val="24"/>
        </w:rPr>
      </w:pPr>
      <w:r>
        <w:rPr>
          <w:rFonts w:cs="Calibri" w:cstheme="minorHAnsi" w:ascii="Times New Roman" w:hAnsi="Times New Roman"/>
          <w:color w:val="000000"/>
          <w:sz w:val="24"/>
          <w:szCs w:val="24"/>
        </w:rPr>
      </w:r>
    </w:p>
    <w:p>
      <w:pPr>
        <w:pStyle w:val="Normal"/>
        <w:jc w:val="both"/>
        <w:rPr>
          <w:rFonts w:ascii="Times New Roman" w:hAnsi="Times New Roman"/>
          <w:sz w:val="24"/>
          <w:szCs w:val="24"/>
        </w:rPr>
      </w:pPr>
      <w:r>
        <w:rPr>
          <w:rFonts w:cs="Calibri" w:ascii="Times New Roman" w:hAnsi="Times New Roman" w:cstheme="minorHAnsi"/>
          <w:color w:val="000000"/>
          <w:sz w:val="24"/>
          <w:szCs w:val="24"/>
          <w:lang w:eastAsia="en-US"/>
        </w:rPr>
        <w:tab/>
        <w:t>11.4.3. Na hipótese de a verificação a que se refere o item 11.6 não ser procedida dentro do prazo fixado, reputar-se-á como realizada, consumando-se o recebimento definitivo no dia do esgotamento do prazo.</w:t>
      </w:r>
    </w:p>
    <w:p>
      <w:pPr>
        <w:pStyle w:val="Normal"/>
        <w:jc w:val="both"/>
        <w:rPr>
          <w:rFonts w:ascii="Times New Roman" w:hAnsi="Times New Roman" w:cs="Calibri" w:cstheme="minorHAnsi"/>
          <w:color w:val="000000"/>
          <w:sz w:val="24"/>
          <w:szCs w:val="24"/>
        </w:rPr>
      </w:pPr>
      <w:r>
        <w:rPr>
          <w:rFonts w:cs="Calibri" w:cstheme="minorHAnsi" w:ascii="Times New Roman" w:hAnsi="Times New Roman"/>
          <w:color w:val="000000"/>
          <w:sz w:val="24"/>
          <w:szCs w:val="24"/>
        </w:rPr>
      </w:r>
    </w:p>
    <w:p>
      <w:pPr>
        <w:pStyle w:val="Normal"/>
        <w:jc w:val="both"/>
        <w:rPr>
          <w:rFonts w:ascii="Times New Roman" w:hAnsi="Times New Roman"/>
          <w:sz w:val="24"/>
          <w:szCs w:val="24"/>
        </w:rPr>
      </w:pPr>
      <w:r>
        <w:rPr>
          <w:rFonts w:cs="Calibri" w:ascii="Times New Roman" w:hAnsi="Times New Roman" w:cstheme="minorHAnsi"/>
          <w:color w:val="000000"/>
          <w:sz w:val="24"/>
          <w:szCs w:val="24"/>
          <w:lang w:eastAsia="en-US"/>
        </w:rPr>
        <w:tab/>
        <w:t>11.4.4. O aceite ou aprovação do(s) serviço(s) pela Administração Pública, na forma do § 2º do artigo 140 da Lei nº 14.133/2021, não exclui a responsabilidade civil pela solidez e pela segurança do serviço nem a responsabilidade ético-profissional pela perfeita execução do contrato, nos limites estabelecidos pela lei ou pelo contrato, ou disparidades com as especificações estabelecidas neste Termo de Referência, verificadas posteriormente, garantindo-se à Administração Pública as faculdades previstas no artigo 18 da Lei n.º 8.078/1990 – Código de Defesa do Consumidor.</w:t>
      </w:r>
    </w:p>
    <w:p>
      <w:pPr>
        <w:pStyle w:val="Normal"/>
        <w:jc w:val="both"/>
        <w:rPr>
          <w:rFonts w:ascii="Times New Roman" w:hAnsi="Times New Roman" w:cs="Calibri" w:cstheme="minorHAnsi"/>
          <w:color w:val="000000"/>
          <w:sz w:val="24"/>
          <w:szCs w:val="24"/>
          <w:lang w:eastAsia="en-US"/>
        </w:rPr>
      </w:pPr>
      <w:r>
        <w:rPr>
          <w:rFonts w:cs="Calibri" w:cstheme="minorHAnsi" w:ascii="Times New Roman" w:hAnsi="Times New Roman"/>
          <w:color w:val="000000"/>
          <w:sz w:val="24"/>
          <w:szCs w:val="24"/>
          <w:lang w:eastAsia="en-US"/>
        </w:rPr>
      </w:r>
    </w:p>
    <w:p>
      <w:pPr>
        <w:pStyle w:val="Corpo1"/>
        <w:shd w:val="clear" w:color="auto" w:fill="FFFFFF"/>
        <w:spacing w:before="0" w:after="0"/>
        <w:jc w:val="both"/>
        <w:rPr>
          <w:rFonts w:ascii="Times New Roman" w:hAnsi="Times New Roman"/>
          <w:sz w:val="24"/>
          <w:szCs w:val="24"/>
        </w:rPr>
      </w:pPr>
      <w:r>
        <w:rPr>
          <w:rFonts w:cs="Calibri" w:cstheme="minorHAnsi"/>
          <w:b/>
          <w:bCs/>
          <w:color w:val="000000"/>
          <w:sz w:val="24"/>
          <w:szCs w:val="24"/>
        </w:rPr>
        <w:t>11.5. Rotinas de fiscalização</w:t>
      </w:r>
    </w:p>
    <w:p>
      <w:pPr>
        <w:pStyle w:val="Default"/>
        <w:jc w:val="both"/>
        <w:rPr>
          <w:rFonts w:ascii="Times New Roman" w:hAnsi="Times New Roman" w:cs="Calibri" w:cstheme="minorHAnsi"/>
          <w:color w:val="000000"/>
          <w:sz w:val="24"/>
          <w:szCs w:val="24"/>
        </w:rPr>
      </w:pPr>
      <w:r>
        <w:rPr>
          <w:rFonts w:cs="Calibri" w:cstheme="minorHAnsi" w:ascii="Times New Roman" w:hAnsi="Times New Roman"/>
          <w:color w:val="000000"/>
          <w:sz w:val="24"/>
          <w:szCs w:val="24"/>
        </w:rPr>
      </w:r>
    </w:p>
    <w:p>
      <w:pPr>
        <w:pStyle w:val="Default"/>
        <w:jc w:val="both"/>
        <w:rPr>
          <w:rFonts w:ascii="Times New Roman" w:hAnsi="Times New Roman"/>
          <w:sz w:val="24"/>
          <w:szCs w:val="24"/>
        </w:rPr>
      </w:pPr>
      <w:r>
        <w:rPr>
          <w:rFonts w:cs="Calibri" w:ascii="Times New Roman" w:hAnsi="Times New Roman" w:cstheme="minorHAnsi"/>
          <w:color w:val="000000"/>
          <w:sz w:val="24"/>
          <w:szCs w:val="24"/>
        </w:rPr>
        <w:tab/>
        <w:t>11.5.1. Fiscalizar e acompanhar a efetiva prestação dos serviços</w:t>
      </w:r>
      <w:r>
        <w:rPr>
          <w:rFonts w:cs="Calibri" w:ascii="Times New Roman" w:hAnsi="Times New Roman"/>
          <w:color w:val="000000"/>
          <w:sz w:val="24"/>
          <w:szCs w:val="24"/>
        </w:rPr>
        <w:t>;</w:t>
      </w:r>
    </w:p>
    <w:p>
      <w:pPr>
        <w:pStyle w:val="Default"/>
        <w:jc w:val="both"/>
        <w:rPr>
          <w:rFonts w:ascii="Times New Roman" w:hAnsi="Times New Roman"/>
          <w:color w:val="000000"/>
          <w:sz w:val="24"/>
          <w:szCs w:val="24"/>
        </w:rPr>
      </w:pPr>
      <w:r>
        <w:rPr>
          <w:rFonts w:ascii="Times New Roman" w:hAnsi="Times New Roman"/>
          <w:color w:val="000000"/>
          <w:sz w:val="24"/>
          <w:szCs w:val="24"/>
        </w:rPr>
      </w:r>
    </w:p>
    <w:p>
      <w:pPr>
        <w:pStyle w:val="Normal"/>
        <w:spacing w:before="0" w:after="340"/>
        <w:jc w:val="both"/>
        <w:rPr>
          <w:rFonts w:ascii="Times New Roman" w:hAnsi="Times New Roman"/>
          <w:sz w:val="24"/>
          <w:szCs w:val="24"/>
        </w:rPr>
      </w:pPr>
      <w:r>
        <w:rPr>
          <w:rFonts w:cs="Calibri" w:ascii="Times New Roman" w:hAnsi="Times New Roman"/>
          <w:color w:val="000000"/>
          <w:sz w:val="24"/>
          <w:szCs w:val="24"/>
        </w:rPr>
        <w:tab/>
        <w:t>11.5.2. Caso ocorra algo passível de apuração de aplicação de sanções encaminhar através de Memorando ao Gestor do Contrato para as devidas providências.</w:t>
      </w:r>
    </w:p>
    <w:p>
      <w:pPr>
        <w:pStyle w:val="Corpo1"/>
        <w:spacing w:before="0" w:after="0"/>
        <w:jc w:val="both"/>
        <w:rPr>
          <w:rFonts w:ascii="Times New Roman" w:hAnsi="Times New Roman"/>
          <w:sz w:val="24"/>
          <w:szCs w:val="24"/>
        </w:rPr>
      </w:pPr>
      <w:r>
        <w:rPr>
          <w:rFonts w:cs="Calibri" w:cstheme="minorHAnsi"/>
          <w:b/>
          <w:bCs/>
          <w:iCs/>
          <w:sz w:val="24"/>
          <w:szCs w:val="24"/>
        </w:rPr>
        <w:t>12. PAGAMENTO, CRITÉRIOS DE MEDIÇÃO E DO EQUILÍBRIO ECONÔMICO-FINANCEIRO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Normal"/>
        <w:jc w:val="both"/>
        <w:rPr>
          <w:rFonts w:ascii="Times New Roman" w:hAnsi="Times New Roman"/>
          <w:sz w:val="24"/>
          <w:szCs w:val="24"/>
        </w:rPr>
      </w:pPr>
      <w:r>
        <w:rPr>
          <w:rFonts w:cs="Calibri" w:ascii="Times New Roman" w:hAnsi="Times New Roman" w:cstheme="minorHAnsi"/>
          <w:b/>
          <w:bCs/>
          <w:color w:val="000000"/>
          <w:sz w:val="24"/>
          <w:szCs w:val="24"/>
          <w:lang w:eastAsia="en-US"/>
        </w:rPr>
        <w:t>12.1. Do pagamento</w:t>
      </w:r>
      <w:bookmarkStart w:id="15" w:name="_Hlk111567966"/>
      <w:bookmarkEnd w:id="15"/>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ind w:firstLine="708"/>
        <w:jc w:val="both"/>
        <w:rPr>
          <w:rFonts w:ascii="Times New Roman" w:hAnsi="Times New Roman"/>
          <w:sz w:val="24"/>
          <w:szCs w:val="24"/>
        </w:rPr>
      </w:pPr>
      <w:r>
        <w:rPr>
          <w:rFonts w:cs="Calibri" w:cstheme="minorHAnsi"/>
          <w:sz w:val="24"/>
          <w:szCs w:val="24"/>
        </w:rPr>
        <w:tab/>
        <w:t xml:space="preserve">12.1.1. </w:t>
      </w:r>
      <w:r>
        <w:rPr>
          <w:rFonts w:cs="Calibri" w:cstheme="minorHAnsi"/>
          <w:color w:val="000000"/>
          <w:sz w:val="24"/>
          <w:szCs w:val="24"/>
        </w:rPr>
        <w:t>Deverá ser realizada a liquidação da despesa após a efetiva prestação dos serviços no prazo de até 30 (trinta) dias, com o posterior pagamento por meio de crédito em conta bancária de titularidade da Contratada), no prazo de até 30 (trinta) dias, contados a partir da apresentação da Nota Fiscal ou Fatura, devidamente certificada pelo fiscal do contrato, responsável pelo recebimento do objeto.</w:t>
      </w:r>
    </w:p>
    <w:p>
      <w:pPr>
        <w:pStyle w:val="Normal"/>
        <w:suppressAutoHyphens w:val="false"/>
        <w:jc w:val="both"/>
        <w:rPr>
          <w:rFonts w:ascii="Times New Roman" w:hAnsi="Times New Roman" w:cs="Calibri" w:cstheme="minorHAnsi"/>
          <w:iCs/>
          <w:color w:val="FF0000"/>
          <w:sz w:val="24"/>
          <w:szCs w:val="24"/>
        </w:rPr>
      </w:pPr>
      <w:r>
        <w:rPr>
          <w:rFonts w:cs="Calibri" w:cstheme="minorHAnsi" w:ascii="Times New Roman" w:hAnsi="Times New Roman"/>
          <w:iCs/>
          <w:color w:val="FF0000"/>
          <w:sz w:val="24"/>
          <w:szCs w:val="24"/>
        </w:rPr>
      </w:r>
    </w:p>
    <w:p>
      <w:pPr>
        <w:pStyle w:val="Normal"/>
        <w:jc w:val="both"/>
        <w:rPr>
          <w:rFonts w:ascii="Times New Roman" w:hAnsi="Times New Roman"/>
          <w:sz w:val="24"/>
          <w:szCs w:val="24"/>
        </w:rPr>
      </w:pPr>
      <w:r>
        <w:rPr>
          <w:rFonts w:cs="Calibri" w:ascii="Times New Roman" w:hAnsi="Times New Roman" w:cstheme="minorHAnsi"/>
          <w:sz w:val="24"/>
          <w:szCs w:val="24"/>
        </w:rPr>
        <w:tab/>
        <w:tab/>
        <w:t xml:space="preserve">12.1.1.1. </w:t>
      </w:r>
      <w:r>
        <w:rPr>
          <w:rFonts w:cs="Calibri" w:ascii="Times New Roman" w:hAnsi="Times New Roman" w:cstheme="minorHAnsi"/>
          <w:b/>
          <w:iCs/>
          <w:sz w:val="24"/>
          <w:szCs w:val="24"/>
        </w:rPr>
        <w:t xml:space="preserve">Caso o objeto da contratação contemple a prestação de serviços e a aquisição de bens, o fornecedor deverá emitir uma nota fiscal para o fornecimento de material e uma nota fiscal para a prestação de serviços, considerando o percentual do objeto que corresponde a material e o percentual que corresponde a serviço indicado </w:t>
      </w:r>
      <w:r>
        <w:rPr>
          <w:rFonts w:cs="Calibri" w:ascii="Times New Roman" w:hAnsi="Times New Roman" w:cstheme="minorHAnsi"/>
          <w:b/>
          <w:iCs/>
          <w:color w:val="000000"/>
          <w:sz w:val="24"/>
          <w:szCs w:val="24"/>
        </w:rPr>
        <w:t>no item 4 des</w:t>
      </w:r>
      <w:r>
        <w:rPr>
          <w:rFonts w:cs="Calibri" w:ascii="Times New Roman" w:hAnsi="Times New Roman" w:cstheme="minorHAnsi"/>
          <w:b/>
          <w:iCs/>
          <w:sz w:val="24"/>
          <w:szCs w:val="24"/>
        </w:rPr>
        <w:t>te Termo de Referência, incidindo sobre cada uma delas o valor do imposto do ICMS e do ISSQN correspondente.</w:t>
      </w:r>
    </w:p>
    <w:p>
      <w:pPr>
        <w:pStyle w:val="Normal"/>
        <w:suppressAutoHyphens w:val="false"/>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sz w:val="24"/>
          <w:szCs w:val="24"/>
        </w:rPr>
        <w:tab/>
        <w:tab/>
        <w:t xml:space="preserve">12.1.1.2. </w:t>
      </w:r>
      <w:r>
        <w:rPr>
          <w:rFonts w:cs="Calibri" w:ascii="Times New Roman" w:hAnsi="Times New Roman" w:cstheme="minorHAnsi"/>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Calibri" w:ascii="Times New Roman" w:hAnsi="Times New Roman" w:cstheme="minorHAnsi"/>
          <w:color w:val="000000"/>
          <w:sz w:val="24"/>
          <w:szCs w:val="24"/>
        </w:rPr>
        <w:t>obrigação financeira pendente, decorrente de penalidade imposta ou inadimplência,</w:t>
      </w:r>
      <w:r>
        <w:rPr>
          <w:rFonts w:cs="Calibri" w:ascii="Times New Roman" w:hAnsi="Times New Roman" w:cstheme="minorHAnsi"/>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12.1.2. A Nota Fiscal ou Fatura deverá ser emitida em conformidade com as unidades de medida indicadas no item 3 deste Termo de Referência.</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ab/>
        <w:t>12.1.2.1. Os fornecedores sediados fora do Município de Aracaju devem emitir o Registro Auxiliar de Nota Fiscal de Serviço – RANFS a cada serviço prestado, através de prévio cadastro na página eletrônica do Município de Aracaju, na forma do Decreto Municipal nº 3.393/2011 e suas alterações.</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12.1.3. O aceite da execução do objeto será feito mediante o devido atesto da Nota Fiscal ou Fatura, correspondendo tão somente ao objeto contratado e efetivamente recebido.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Default"/>
        <w:suppressAutoHyphens w:val="false"/>
        <w:jc w:val="both"/>
        <w:rPr>
          <w:rFonts w:ascii="Times New Roman" w:hAnsi="Times New Roman"/>
          <w:sz w:val="24"/>
          <w:szCs w:val="24"/>
        </w:rPr>
      </w:pPr>
      <w:r>
        <w:rPr>
          <w:rFonts w:cs="Calibri" w:ascii="Times New Roman" w:hAnsi="Times New Roman" w:cstheme="minorHAnsi"/>
          <w:sz w:val="24"/>
          <w:szCs w:val="24"/>
        </w:rPr>
        <w:tab/>
        <w:t>12.1.4. No caso de controvérsia sobre a execução do objeto, quanto a dimensão, qualidade e quantidade, a parcela incontroversa deverá ser liberada no prazo previsto para pagamento;</w:t>
      </w:r>
    </w:p>
    <w:p>
      <w:pPr>
        <w:pStyle w:val="Normal"/>
        <w:suppressAutoHyphens w:val="false"/>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color w:val="000000"/>
          <w:sz w:val="24"/>
          <w:szCs w:val="24"/>
        </w:rPr>
        <w:tab/>
        <w:t>12.1.5. Quando do pagamento, será efetuada a retenção tributária prevista na legislação aplicável.</w:t>
      </w:r>
    </w:p>
    <w:p>
      <w:pPr>
        <w:pStyle w:val="Normal"/>
        <w:tabs>
          <w:tab w:val="clear" w:pos="709"/>
          <w:tab w:val="left" w:pos="1440" w:leader="none"/>
        </w:tabs>
        <w:suppressAutoHyphens w:val="false"/>
        <w:snapToGrid w:val="false"/>
        <w:jc w:val="both"/>
        <w:rPr>
          <w:rFonts w:ascii="Times New Roman" w:hAnsi="Times New Roman" w:cs="Calibri" w:cstheme="minorHAnsi"/>
          <w:color w:val="000000"/>
          <w:sz w:val="24"/>
          <w:szCs w:val="24"/>
        </w:rPr>
      </w:pPr>
      <w:r>
        <w:rPr>
          <w:rFonts w:cs="Calibri" w:cstheme="minorHAnsi" w:ascii="Times New Roman" w:hAnsi="Times New Roman"/>
          <w:color w:val="000000"/>
          <w:sz w:val="24"/>
          <w:szCs w:val="24"/>
        </w:rPr>
      </w:r>
    </w:p>
    <w:p>
      <w:pPr>
        <w:pStyle w:val="Normal"/>
        <w:tabs>
          <w:tab w:val="clear" w:pos="709"/>
          <w:tab w:val="left" w:pos="0" w:leader="none"/>
        </w:tabs>
        <w:suppressAutoHyphens w:val="false"/>
        <w:snapToGrid w:val="false"/>
        <w:jc w:val="both"/>
        <w:rPr>
          <w:rFonts w:ascii="Times New Roman" w:hAnsi="Times New Roman"/>
          <w:sz w:val="24"/>
          <w:szCs w:val="24"/>
        </w:rPr>
      </w:pPr>
      <w:r>
        <w:rPr>
          <w:rFonts w:cs="Calibri" w:ascii="Times New Roman" w:hAnsi="Times New Roman" w:cstheme="minorHAnsi"/>
          <w:color w:val="000000"/>
          <w:sz w:val="24"/>
          <w:szCs w:val="24"/>
        </w:rPr>
        <w:tab/>
        <w:tab/>
        <w:t>12.1.5.1.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Calibri" w:ascii="Times New Roman" w:hAnsi="Times New Roman" w:cstheme="minorHAnsi"/>
          <w:sz w:val="24"/>
          <w:szCs w:val="24"/>
          <w:lang w:eastAsia="en-US"/>
        </w:rPr>
        <w:t xml:space="preserve"> </w:t>
      </w:r>
    </w:p>
    <w:p>
      <w:pPr>
        <w:pStyle w:val="Default"/>
        <w:suppressAutoHyphens w:val="false"/>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Normal"/>
        <w:suppressAutoHyphens w:val="false"/>
        <w:jc w:val="both"/>
        <w:rPr>
          <w:rFonts w:ascii="Times New Roman" w:hAnsi="Times New Roman"/>
          <w:sz w:val="24"/>
          <w:szCs w:val="24"/>
        </w:rPr>
      </w:pPr>
      <w:r>
        <w:rPr>
          <w:rFonts w:cs="Calibri" w:ascii="Times New Roman" w:hAnsi="Times New Roman" w:cstheme="minorHAnsi"/>
          <w:sz w:val="24"/>
          <w:szCs w:val="24"/>
        </w:rPr>
        <w:tab/>
        <w:t>12.1.6. Para fins de verificação da manutenção dos critérios de habilitação, o(a) contratado(a) deverá, na forma do inciso XVI do artigo 92 da Lei nº 14.133/2021, apresentar, junto ao documento de cobrança, prova de regularidade perante o FGTS – CRF, Certidões Negativas de Débitos junto às Fazendas Federal, Estadual e Municipal do domicílio do contratado, bem como a Certidão Negativa de Débitos Trabalhistas.</w:t>
      </w:r>
    </w:p>
    <w:p>
      <w:pPr>
        <w:pStyle w:val="Corpo1"/>
        <w:spacing w:before="0" w:after="0"/>
        <w:jc w:val="both"/>
        <w:rPr>
          <w:rFonts w:ascii="Times New Roman" w:hAnsi="Times New Roman" w:cs="Calibri" w:cstheme="minorHAnsi"/>
          <w:bCs/>
          <w:color w:val="0000FF"/>
          <w:sz w:val="24"/>
          <w:szCs w:val="24"/>
          <w:lang w:bidi="pt-BR"/>
        </w:rPr>
      </w:pPr>
      <w:r>
        <w:rPr>
          <w:rFonts w:cs="Calibri" w:cstheme="minorHAnsi"/>
          <w:bCs/>
          <w:color w:val="0000FF"/>
          <w:sz w:val="24"/>
          <w:szCs w:val="24"/>
          <w:lang w:bidi="pt-BR"/>
        </w:rPr>
      </w:r>
    </w:p>
    <w:p>
      <w:pPr>
        <w:pStyle w:val="Corpo1"/>
        <w:spacing w:before="0" w:after="0"/>
        <w:jc w:val="both"/>
        <w:rPr>
          <w:rFonts w:ascii="Times New Roman" w:hAnsi="Times New Roman"/>
          <w:sz w:val="24"/>
          <w:szCs w:val="24"/>
        </w:rPr>
      </w:pPr>
      <w:r>
        <w:rPr>
          <w:rFonts w:cs="Calibri" w:cstheme="minorHAnsi"/>
          <w:bCs/>
          <w:color w:val="0000FF"/>
          <w:sz w:val="24"/>
          <w:szCs w:val="24"/>
          <w:lang w:bidi="pt-BR"/>
        </w:rPr>
        <w:tab/>
      </w:r>
      <w:r>
        <w:rPr>
          <w:rFonts w:cs="Calibri" w:cstheme="minorHAnsi"/>
          <w:bCs/>
          <w:color w:val="FF0000"/>
          <w:sz w:val="24"/>
          <w:szCs w:val="24"/>
          <w:lang w:bidi="pt-BR"/>
        </w:rPr>
        <w:tab/>
      </w:r>
      <w:r>
        <w:rPr>
          <w:rFonts w:cs="Calibri" w:cstheme="minorHAnsi"/>
          <w:bCs/>
          <w:color w:val="000000"/>
          <w:sz w:val="24"/>
          <w:szCs w:val="24"/>
          <w:lang w:bidi="pt-BR"/>
        </w:rPr>
        <w:t xml:space="preserve">a. Na hipótese de restar configurada a ausência de algum dos documentos exigidos ou que a empresa não está regular perante um ou mais dos órgãos elencados no item 12.1.6, o ente contratante deve dar continuidade aos trâmites relativos ao pagamento pelos fornecimentos já regularmente executados e, concomitantemente, notificar a Contratada para que apresente o(s) documento(s) ausente(s) ou adote as providências necessárias à sua regularização fiscal e trabalhista junto aos órgãos competentes, conforme o caso, concedendo-lhe prazo específico para fazê-lo. </w:t>
      </w:r>
    </w:p>
    <w:p>
      <w:pPr>
        <w:pStyle w:val="Corpo1"/>
        <w:spacing w:before="0" w:after="0"/>
        <w:jc w:val="both"/>
        <w:rPr>
          <w:rFonts w:ascii="Times New Roman" w:hAnsi="Times New Roman" w:cs="Calibri" w:cstheme="minorHAnsi"/>
          <w:bCs/>
          <w:color w:val="000000"/>
          <w:sz w:val="24"/>
          <w:szCs w:val="24"/>
          <w:lang w:bidi="pt-BR"/>
        </w:rPr>
      </w:pPr>
      <w:r>
        <w:rPr>
          <w:rFonts w:cs="Calibri" w:cstheme="minorHAnsi"/>
          <w:bCs/>
          <w:color w:val="000000"/>
          <w:sz w:val="24"/>
          <w:szCs w:val="24"/>
          <w:lang w:bidi="pt-BR"/>
        </w:rPr>
      </w:r>
    </w:p>
    <w:p>
      <w:pPr>
        <w:pStyle w:val="Corpo1"/>
        <w:spacing w:before="0" w:after="0"/>
        <w:jc w:val="both"/>
        <w:rPr>
          <w:rFonts w:ascii="Times New Roman" w:hAnsi="Times New Roman"/>
          <w:sz w:val="24"/>
          <w:szCs w:val="24"/>
        </w:rPr>
      </w:pPr>
      <w:r>
        <w:rPr>
          <w:rFonts w:cs="Calibri" w:cstheme="minorHAnsi"/>
          <w:bCs/>
          <w:color w:val="000000"/>
          <w:sz w:val="24"/>
          <w:szCs w:val="24"/>
          <w:lang w:bidi="pt-BR"/>
        </w:rPr>
        <w:tab/>
        <w:tab/>
        <w:t xml:space="preserve">b. Uma vez constatada a irregularidade, a emissão de novas ordens de fornecimento deve ser suspensa até que seja comprovada pela Contratada a sua regularidade fiscal e trabalhista, na forma do item 12.1.6. </w:t>
      </w:r>
    </w:p>
    <w:p>
      <w:pPr>
        <w:pStyle w:val="Corpo1"/>
        <w:spacing w:before="0" w:after="0"/>
        <w:jc w:val="both"/>
        <w:rPr>
          <w:rFonts w:ascii="Times New Roman" w:hAnsi="Times New Roman" w:cs="Calibri" w:cstheme="minorHAnsi"/>
          <w:bCs/>
          <w:color w:val="000000"/>
          <w:sz w:val="24"/>
          <w:szCs w:val="24"/>
          <w:lang w:bidi="pt-BR"/>
        </w:rPr>
      </w:pPr>
      <w:r>
        <w:rPr>
          <w:rFonts w:cs="Calibri" w:cstheme="minorHAnsi"/>
          <w:bCs/>
          <w:color w:val="000000"/>
          <w:sz w:val="24"/>
          <w:szCs w:val="24"/>
          <w:lang w:bidi="pt-BR"/>
        </w:rPr>
      </w:r>
    </w:p>
    <w:p>
      <w:pPr>
        <w:pStyle w:val="Corpo1"/>
        <w:suppressAutoHyphens w:val="false"/>
        <w:spacing w:before="0" w:after="0"/>
        <w:jc w:val="both"/>
        <w:rPr>
          <w:rFonts w:ascii="Times New Roman" w:hAnsi="Times New Roman"/>
          <w:sz w:val="24"/>
          <w:szCs w:val="24"/>
        </w:rPr>
      </w:pPr>
      <w:r>
        <w:rPr>
          <w:rFonts w:cs="Calibri" w:cstheme="minorHAnsi"/>
          <w:bCs/>
          <w:color w:val="000000"/>
          <w:sz w:val="24"/>
          <w:szCs w:val="24"/>
          <w:lang w:bidi="pt-BR"/>
        </w:rPr>
        <w:tab/>
        <w:tab/>
        <w:t>c. Se, transcorrido o prazo concedido sem que a Contratada tenha apresentado o documento faltante ou a comprovação de sua regularidade fiscal e trabalhista, o ente contratante deve adotar as providências cabíveis relativas à rescisão contratual com espeque no inciso I do artigo 137 da Lei nº 14.133/2021.</w:t>
      </w:r>
    </w:p>
    <w:p>
      <w:pPr>
        <w:pStyle w:val="Normal"/>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Normal"/>
        <w:jc w:val="both"/>
        <w:rPr>
          <w:rFonts w:ascii="Times New Roman" w:hAnsi="Times New Roman"/>
          <w:sz w:val="24"/>
          <w:szCs w:val="24"/>
        </w:rPr>
      </w:pPr>
      <w:r>
        <w:rPr>
          <w:rFonts w:cs="Calibri" w:ascii="Times New Roman" w:hAnsi="Times New Roman" w:cstheme="minorHAnsi"/>
          <w:sz w:val="24"/>
          <w:szCs w:val="24"/>
        </w:rPr>
        <w:tab/>
      </w:r>
      <w:r>
        <w:rPr>
          <w:rFonts w:cs="Calibri" w:ascii="Times New Roman" w:hAnsi="Times New Roman" w:cstheme="minorHAnsi"/>
          <w:color w:val="000000"/>
          <w:sz w:val="24"/>
          <w:szCs w:val="24"/>
        </w:rPr>
        <w:t xml:space="preserve">12.1.7. Não haverá pagamento antecipado. </w:t>
      </w:r>
    </w:p>
    <w:p>
      <w:pPr>
        <w:pStyle w:val="Normal"/>
        <w:jc w:val="both"/>
        <w:rPr>
          <w:rFonts w:ascii="Times New Roman" w:hAnsi="Times New Roman" w:cs="Calibri" w:cstheme="minorHAnsi"/>
          <w:color w:val="FF0000"/>
          <w:sz w:val="24"/>
          <w:szCs w:val="24"/>
        </w:rPr>
      </w:pPr>
      <w:r>
        <w:rPr>
          <w:rFonts w:cs="Calibri" w:cstheme="minorHAnsi" w:ascii="Times New Roman" w:hAnsi="Times New Roman"/>
          <w:color w:val="FF0000"/>
          <w:sz w:val="24"/>
          <w:szCs w:val="24"/>
        </w:rPr>
      </w:r>
      <w:bookmarkStart w:id="16" w:name="_Hlk120524470"/>
      <w:bookmarkStart w:id="17" w:name="_Hlk120524470"/>
      <w:bookmarkEnd w:id="17"/>
    </w:p>
    <w:p>
      <w:pPr>
        <w:pStyle w:val="Normal"/>
        <w:jc w:val="both"/>
        <w:rPr>
          <w:rFonts w:ascii="Times New Roman" w:hAnsi="Times New Roman"/>
          <w:sz w:val="24"/>
          <w:szCs w:val="24"/>
        </w:rPr>
      </w:pPr>
      <w:r>
        <w:rPr>
          <w:rFonts w:cs="Calibri" w:ascii="Times New Roman" w:hAnsi="Times New Roman" w:cstheme="minorHAnsi"/>
          <w:sz w:val="24"/>
          <w:szCs w:val="24"/>
        </w:rPr>
        <w:tab/>
        <w:t>12.1.8. No caso de atraso de pagamento, será utilizado, para atualização do valor o Índice Nacional de Preços ao Consumidor – INPC/IBGE.</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ab/>
        <w:t xml:space="preserve">12.1.8.1. </w:t>
      </w:r>
      <w:r>
        <w:rPr>
          <w:rFonts w:cs="Calibri" w:cstheme="minorHAnsi"/>
          <w:sz w:val="24"/>
          <w:szCs w:val="24"/>
          <w:lang w:eastAsia="en-US"/>
        </w:rPr>
        <w:t>Será considerada data do pagamento o dia em que constar como emitida a ordem bancária para pagamento.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Normal"/>
        <w:jc w:val="both"/>
        <w:rPr>
          <w:rFonts w:ascii="Times New Roman" w:hAnsi="Times New Roman"/>
          <w:sz w:val="24"/>
          <w:szCs w:val="24"/>
        </w:rPr>
      </w:pPr>
      <w:r>
        <w:rPr>
          <w:rFonts w:cs="Calibri" w:ascii="Times New Roman" w:hAnsi="Times New Roman" w:cstheme="minorHAnsi"/>
          <w:b/>
          <w:bCs/>
          <w:color w:val="000000"/>
          <w:sz w:val="24"/>
          <w:szCs w:val="24"/>
          <w:lang w:eastAsia="en-US"/>
        </w:rPr>
        <w:t>12.2. Dos critérios de aferição e medição para faturamento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ind w:firstLine="709"/>
        <w:jc w:val="both"/>
        <w:rPr>
          <w:rFonts w:ascii="Times New Roman" w:hAnsi="Times New Roman"/>
          <w:sz w:val="24"/>
          <w:szCs w:val="24"/>
        </w:rPr>
      </w:pPr>
      <w:r>
        <w:rPr>
          <w:rFonts w:cs="Calibri" w:cstheme="minorHAnsi"/>
          <w:color w:val="000000"/>
          <w:sz w:val="24"/>
          <w:szCs w:val="24"/>
        </w:rPr>
        <w:t>12.2.1. A avaliação da execução do objeto utilizará as regras dispostas neste item, devendo haver o redimensionamento no pagamento com base nos indicadores estabelecidos, sempre que a Contratada:</w:t>
      </w:r>
    </w:p>
    <w:p>
      <w:pPr>
        <w:pStyle w:val="Corpo1"/>
        <w:spacing w:before="0" w:after="0"/>
        <w:ind w:firstLine="709"/>
        <w:jc w:val="both"/>
        <w:rPr>
          <w:rFonts w:ascii="Times New Roman" w:hAnsi="Times New Roman" w:cs="Calibri" w:cstheme="minorHAnsi"/>
          <w:sz w:val="24"/>
          <w:szCs w:val="24"/>
        </w:rPr>
      </w:pPr>
      <w:r>
        <w:rPr>
          <w:rFonts w:cs="Calibri" w:cstheme="minorHAnsi"/>
          <w:sz w:val="24"/>
          <w:szCs w:val="24"/>
        </w:rPr>
      </w:r>
    </w:p>
    <w:p>
      <w:pPr>
        <w:pStyle w:val="Corpo1"/>
        <w:spacing w:before="0" w:after="0"/>
        <w:ind w:firstLine="1418"/>
        <w:jc w:val="both"/>
        <w:rPr>
          <w:rFonts w:ascii="Times New Roman" w:hAnsi="Times New Roman"/>
          <w:sz w:val="24"/>
          <w:szCs w:val="24"/>
        </w:rPr>
      </w:pPr>
      <w:r>
        <w:rPr>
          <w:rFonts w:cs="Calibri" w:cstheme="minorHAnsi"/>
          <w:sz w:val="24"/>
          <w:szCs w:val="24"/>
        </w:rPr>
        <w:t>a) não produzir os resultados, deixar de executar, ou não executar com a qualidade mínima exigida as atividades contratadas; ou</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ab/>
        <w:t>b) deixar de utilizar materiais e recursos humanos exigidos para a execução do serviço, ou utilizá-los com qualidade ou quantidade inferior à demandada.</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r>
      <w:r>
        <w:rPr>
          <w:rFonts w:cs="Calibri" w:cstheme="minorHAnsi"/>
          <w:color w:val="000000"/>
          <w:sz w:val="24"/>
          <w:szCs w:val="24"/>
        </w:rPr>
        <w:t>12.2.2. Nos termos do item 1, do Anexo VIII-A da Instrução Normativa SEGES/MP nº 05, de 2017, será indicada a retenção ou glosa no pagamento, proporcional à irregularidade verificada, sem prejuí</w:t>
      </w:r>
      <w:r>
        <w:rPr>
          <w:rFonts w:cs="Calibri" w:cstheme="minorHAnsi"/>
          <w:sz w:val="24"/>
          <w:szCs w:val="24"/>
        </w:rPr>
        <w:t>zo das sanções cabíveis, caso se constate que a Contratada:</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ab/>
        <w:t>12.2.2.1. não produziu os resultados acordados;</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ab/>
        <w:t>12.2.2.2. deixou de executar as atividades contratadas, ou não as executou com a qualidade mínima exigida;</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jc w:val="both"/>
        <w:rPr>
          <w:rFonts w:ascii="Times New Roman" w:hAnsi="Times New Roman"/>
          <w:sz w:val="24"/>
          <w:szCs w:val="24"/>
        </w:rPr>
      </w:pPr>
      <w:r>
        <w:rPr>
          <w:rFonts w:cs="Calibri" w:cstheme="minorHAnsi"/>
          <w:sz w:val="24"/>
          <w:szCs w:val="24"/>
        </w:rPr>
        <w:tab/>
        <w:tab/>
        <w:t>12.2.3.3. deixou de utilizar os materiais e recursos humanos exigidos para a execução do serviço, ou utilizou-os com qualidade ou quantidade inferior à demandada.</w:t>
      </w:r>
    </w:p>
    <w:p>
      <w:pPr>
        <w:pStyle w:val="Corpo1"/>
        <w:suppressAutoHyphens w:val="false"/>
        <w:spacing w:before="0" w:after="0"/>
        <w:jc w:val="both"/>
        <w:rPr>
          <w:rFonts w:ascii="Times New Roman" w:hAnsi="Times New Roman" w:cs="Calibri" w:cstheme="minorHAnsi"/>
          <w:sz w:val="24"/>
          <w:szCs w:val="24"/>
        </w:rPr>
      </w:pPr>
      <w:r>
        <w:rPr>
          <w:rFonts w:cs="Calibri" w:cstheme="minorHAnsi"/>
          <w:sz w:val="24"/>
          <w:szCs w:val="24"/>
        </w:rPr>
      </w:r>
    </w:p>
    <w:p>
      <w:pPr>
        <w:pStyle w:val="Normal"/>
        <w:jc w:val="both"/>
        <w:rPr>
          <w:rFonts w:ascii="Times New Roman" w:hAnsi="Times New Roman"/>
          <w:sz w:val="24"/>
          <w:szCs w:val="24"/>
        </w:rPr>
      </w:pPr>
      <w:r>
        <w:rPr>
          <w:rFonts w:cs="Calibri" w:ascii="Times New Roman" w:hAnsi="Times New Roman" w:cstheme="minorHAnsi"/>
          <w:b/>
          <w:bCs/>
          <w:color w:val="000000"/>
          <w:sz w:val="24"/>
          <w:szCs w:val="24"/>
          <w:lang w:eastAsia="en-US"/>
        </w:rPr>
        <w:t>12.3. Do Equilíbrio Econômico-Financeiro</w:t>
      </w:r>
    </w:p>
    <w:p>
      <w:pPr>
        <w:pStyle w:val="Corpo1"/>
        <w:spacing w:before="0" w:after="0"/>
        <w:jc w:val="both"/>
        <w:rPr>
          <w:rFonts w:ascii="Times New Roman" w:hAnsi="Times New Roman" w:cs="Calibri" w:cstheme="minorHAnsi"/>
          <w:sz w:val="24"/>
          <w:szCs w:val="24"/>
        </w:rPr>
      </w:pPr>
      <w:r>
        <w:rPr>
          <w:rFonts w:cs="Calibri" w:cstheme="minorHAnsi"/>
          <w:sz w:val="24"/>
          <w:szCs w:val="24"/>
        </w:rPr>
      </w:r>
    </w:p>
    <w:p>
      <w:pPr>
        <w:pStyle w:val="Corpo1"/>
        <w:spacing w:before="0" w:after="0"/>
        <w:ind w:firstLine="709"/>
        <w:jc w:val="both"/>
        <w:rPr>
          <w:rFonts w:ascii="Times New Roman" w:hAnsi="Times New Roman"/>
          <w:sz w:val="24"/>
          <w:szCs w:val="24"/>
        </w:rPr>
      </w:pPr>
      <w:r>
        <w:rPr>
          <w:rFonts w:cs="Calibri" w:cstheme="minorHAnsi"/>
          <w:sz w:val="24"/>
          <w:szCs w:val="24"/>
        </w:rPr>
        <w:t>12.3.1. Os preços inicialmente contrata</w:t>
      </w:r>
      <w:r>
        <w:rPr>
          <w:rFonts w:cs="Calibri" w:cstheme="minorHAnsi"/>
          <w:color w:val="111111"/>
          <w:sz w:val="24"/>
          <w:szCs w:val="24"/>
        </w:rPr>
        <w:t>dos são fixos e irreajustáveis.</w:t>
      </w:r>
    </w:p>
    <w:p>
      <w:pPr>
        <w:pStyle w:val="Normal"/>
        <w:jc w:val="both"/>
        <w:rPr>
          <w:rFonts w:ascii="Times New Roman" w:hAnsi="Times New Roman" w:cs="Calibri" w:cstheme="minorHAnsi"/>
          <w:color w:val="FF0000"/>
          <w:sz w:val="24"/>
          <w:szCs w:val="24"/>
        </w:rPr>
      </w:pPr>
      <w:r>
        <w:rPr>
          <w:rFonts w:cs="Calibri" w:cstheme="minorHAnsi" w:ascii="Times New Roman" w:hAnsi="Times New Roman"/>
          <w:color w:val="FF0000"/>
          <w:sz w:val="24"/>
          <w:szCs w:val="24"/>
        </w:rPr>
      </w:r>
    </w:p>
    <w:p>
      <w:pPr>
        <w:pStyle w:val="Normal"/>
        <w:jc w:val="both"/>
        <w:rPr>
          <w:rFonts w:ascii="Times New Roman" w:hAnsi="Times New Roman"/>
          <w:sz w:val="24"/>
          <w:szCs w:val="24"/>
        </w:rPr>
      </w:pPr>
      <w:r>
        <w:rPr>
          <w:rFonts w:cs="Calibri" w:ascii="Times New Roman" w:hAnsi="Times New Roman" w:cstheme="minorHAnsi"/>
          <w:b/>
          <w:bCs/>
          <w:iCs/>
          <w:sz w:val="24"/>
          <w:szCs w:val="24"/>
        </w:rPr>
        <w:t>13. ESTIMATIVA DO VALOR DA CONTRATAÇÃO</w:t>
      </w:r>
    </w:p>
    <w:p>
      <w:pPr>
        <w:pStyle w:val="Normal"/>
        <w:jc w:val="both"/>
        <w:rPr>
          <w:rFonts w:ascii="Times New Roman" w:hAnsi="Times New Roman" w:cs="Calibri" w:cstheme="minorHAnsi"/>
          <w:color w:val="111111"/>
          <w:sz w:val="24"/>
          <w:szCs w:val="24"/>
        </w:rPr>
      </w:pPr>
      <w:r>
        <w:rPr>
          <w:rFonts w:cs="Calibri" w:cstheme="minorHAnsi" w:ascii="Times New Roman" w:hAnsi="Times New Roman"/>
          <w:color w:val="111111"/>
          <w:sz w:val="24"/>
          <w:szCs w:val="24"/>
        </w:rPr>
      </w:r>
    </w:p>
    <w:p>
      <w:pPr>
        <w:pStyle w:val="Normal"/>
        <w:jc w:val="both"/>
        <w:rPr>
          <w:rFonts w:ascii="Times New Roman" w:hAnsi="Times New Roman"/>
          <w:color w:val="111111"/>
          <w:sz w:val="24"/>
          <w:szCs w:val="24"/>
        </w:rPr>
      </w:pPr>
      <w:r>
        <w:rPr>
          <w:rFonts w:cs="Calibri" w:ascii="Times New Roman" w:hAnsi="Times New Roman" w:cstheme="minorHAnsi"/>
          <w:color w:val="111111"/>
          <w:sz w:val="24"/>
          <w:szCs w:val="24"/>
        </w:rPr>
        <w:t xml:space="preserve">13.1. O valor estimado da contratação </w:t>
      </w:r>
      <w:r>
        <w:rPr>
          <w:rFonts w:cs="Calibri" w:ascii="Times New Roman" w:hAnsi="Times New Roman" w:cstheme="minorHAnsi"/>
          <w:b w:val="false"/>
          <w:bCs w:val="false"/>
          <w:color w:val="111111"/>
          <w:sz w:val="24"/>
          <w:szCs w:val="24"/>
        </w:rPr>
        <w:t xml:space="preserve">é de </w:t>
      </w:r>
      <w:r>
        <w:rPr>
          <w:rFonts w:cs="Calibri" w:ascii="Times New Roman" w:hAnsi="Times New Roman" w:cstheme="minorHAnsi"/>
          <w:b w:val="false"/>
          <w:bCs w:val="false"/>
          <w:color w:val="000000"/>
          <w:sz w:val="24"/>
          <w:szCs w:val="24"/>
        </w:rPr>
        <w:t>R$</w:t>
      </w:r>
      <w:r>
        <w:rPr>
          <w:rFonts w:cs="Calibri" w:ascii="Times New Roman" w:hAnsi="Times New Roman" w:cstheme="minorHAnsi"/>
          <w:b w:val="false"/>
          <w:bCs w:val="false"/>
          <w:color w:val="C9211E"/>
          <w:sz w:val="24"/>
          <w:szCs w:val="24"/>
        </w:rPr>
        <w:t xml:space="preserve"> </w:t>
      </w:r>
      <w:r>
        <w:rPr>
          <w:rFonts w:eastAsia="Times New Roman" w:cs="Times New Roman" w:ascii="Times New Roman" w:hAnsi="Times New Roman"/>
          <w:b w:val="false"/>
          <w:bCs w:val="false"/>
          <w:color w:val="000000"/>
          <w:kern w:val="0"/>
          <w:sz w:val="24"/>
          <w:szCs w:val="24"/>
          <w:lang w:val="pt-PT" w:eastAsia="pt-PT" w:bidi="pt-PT"/>
        </w:rPr>
        <w:t>1.164,41</w:t>
      </w:r>
      <w:r>
        <w:rPr>
          <w:rFonts w:cs="Calibri" w:ascii="Times New Roman" w:hAnsi="Times New Roman" w:cstheme="minorHAnsi"/>
          <w:b w:val="false"/>
          <w:bCs w:val="false"/>
          <w:color w:val="111111"/>
          <w:sz w:val="24"/>
          <w:szCs w:val="24"/>
        </w:rPr>
        <w:t xml:space="preserve"> (Hum mil cento e sessenta e quatro reais e quarenta e um centavos)</w:t>
      </w:r>
    </w:p>
    <w:p>
      <w:pPr>
        <w:pStyle w:val="Normal"/>
        <w:jc w:val="both"/>
        <w:rPr>
          <w:rFonts w:ascii="Times New Roman" w:hAnsi="Times New Roman" w:cs="Calibri" w:cstheme="minorHAnsi"/>
          <w:color w:val="FF0000"/>
          <w:sz w:val="24"/>
          <w:szCs w:val="24"/>
          <w:u w:val="single"/>
        </w:rPr>
      </w:pPr>
      <w:r>
        <w:rPr>
          <w:rFonts w:cs="Calibri" w:cstheme="minorHAnsi" w:ascii="Times New Roman" w:hAnsi="Times New Roman"/>
          <w:color w:val="FF0000"/>
          <w:sz w:val="24"/>
          <w:szCs w:val="24"/>
          <w:u w:val="single"/>
        </w:rPr>
      </w:r>
    </w:p>
    <w:p>
      <w:pPr>
        <w:pStyle w:val="Normal"/>
        <w:jc w:val="both"/>
        <w:rPr>
          <w:rFonts w:ascii="Times New Roman" w:hAnsi="Times New Roman"/>
          <w:sz w:val="24"/>
          <w:szCs w:val="24"/>
        </w:rPr>
      </w:pPr>
      <w:r>
        <w:rPr>
          <w:rFonts w:cs="Calibri" w:ascii="Times New Roman" w:hAnsi="Times New Roman" w:cstheme="minorHAnsi"/>
          <w:b/>
          <w:bCs/>
          <w:sz w:val="24"/>
          <w:szCs w:val="24"/>
        </w:rPr>
        <w:t>14. ADEQUAÇÃO ORÇAMENTÁRIA</w:t>
      </w:r>
    </w:p>
    <w:p>
      <w:pPr>
        <w:pStyle w:val="Normal"/>
        <w:jc w:val="both"/>
        <w:rPr>
          <w:rFonts w:ascii="Times New Roman" w:hAnsi="Times New Roman" w:cs="Calibri" w:cstheme="minorHAnsi"/>
          <w:color w:val="FF0000"/>
          <w:sz w:val="24"/>
          <w:szCs w:val="24"/>
        </w:rPr>
      </w:pPr>
      <w:r>
        <w:rPr>
          <w:rFonts w:cs="Calibri" w:cstheme="minorHAnsi" w:ascii="Times New Roman" w:hAnsi="Times New Roman"/>
          <w:color w:val="FF0000"/>
          <w:sz w:val="24"/>
          <w:szCs w:val="24"/>
        </w:rPr>
      </w:r>
    </w:p>
    <w:p>
      <w:pPr>
        <w:pStyle w:val="Normal"/>
        <w:jc w:val="both"/>
        <w:rPr>
          <w:rFonts w:ascii="Times New Roman" w:hAnsi="Times New Roman"/>
          <w:color w:val="111111"/>
          <w:sz w:val="24"/>
          <w:szCs w:val="24"/>
        </w:rPr>
      </w:pPr>
      <w:r>
        <w:rPr>
          <w:rFonts w:cs="Calibri" w:ascii="Times New Roman" w:hAnsi="Times New Roman" w:cstheme="minorHAnsi"/>
          <w:color w:val="111111"/>
          <w:sz w:val="24"/>
          <w:szCs w:val="24"/>
        </w:rPr>
        <w:t>14.1. As despesas com o pagamento do referido objeto correrão à conta de recursos consignados no Orçamento do Município de Aracaju, atendido pela dotação orçamentária abaixo especificada:</w:t>
      </w:r>
    </w:p>
    <w:p>
      <w:pPr>
        <w:pStyle w:val="Normal"/>
        <w:jc w:val="both"/>
        <w:rPr>
          <w:rFonts w:ascii="Times New Roman" w:hAnsi="Times New Roman" w:cs="Calibri" w:cstheme="minorHAnsi"/>
          <w:color w:val="FF0000"/>
          <w:sz w:val="24"/>
          <w:szCs w:val="24"/>
        </w:rPr>
      </w:pPr>
      <w:r>
        <w:rPr>
          <w:rFonts w:cs="Calibri" w:cstheme="minorHAnsi" w:ascii="Times New Roman" w:hAnsi="Times New Roman"/>
          <w:color w:val="FF0000"/>
          <w:sz w:val="24"/>
          <w:szCs w:val="24"/>
        </w:rPr>
      </w:r>
    </w:p>
    <w:tbl>
      <w:tblPr>
        <w:tblW w:w="9671"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2133"/>
        <w:gridCol w:w="2184"/>
        <w:gridCol w:w="1746"/>
        <w:gridCol w:w="1766"/>
        <w:gridCol w:w="1842"/>
      </w:tblGrid>
      <w:tr>
        <w:trPr>
          <w:trHeight w:val="1200" w:hRule="atLeast"/>
        </w:trPr>
        <w:tc>
          <w:tcPr>
            <w:tcW w:w="2133" w:type="dxa"/>
            <w:tcBorders>
              <w:top w:val="single" w:sz="4" w:space="0" w:color="000000"/>
              <w:left w:val="single" w:sz="4" w:space="0" w:color="000000"/>
              <w:bottom w:val="single" w:sz="4" w:space="0" w:color="000000"/>
            </w:tcBorders>
            <w:shd w:color="auto" w:fill="E5E5E5"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
                <w:color w:val="111111"/>
                <w:sz w:val="24"/>
                <w:szCs w:val="24"/>
              </w:rPr>
              <w:t>UNIDADE ORÇAMENTÁRIA</w:t>
            </w:r>
          </w:p>
        </w:tc>
        <w:tc>
          <w:tcPr>
            <w:tcW w:w="2184" w:type="dxa"/>
            <w:tcBorders>
              <w:top w:val="single" w:sz="4" w:space="0" w:color="000000"/>
              <w:left w:val="single" w:sz="4" w:space="0" w:color="000000"/>
              <w:bottom w:val="single" w:sz="4" w:space="0" w:color="000000"/>
            </w:tcBorders>
            <w:shd w:color="auto" w:fill="E5E5E5"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
                <w:color w:val="111111"/>
                <w:sz w:val="24"/>
                <w:szCs w:val="24"/>
              </w:rPr>
              <w:t>CLASSIFICAÇÃO FUNCIONAL PROGRAMÁTICA</w:t>
            </w:r>
          </w:p>
        </w:tc>
        <w:tc>
          <w:tcPr>
            <w:tcW w:w="1746" w:type="dxa"/>
            <w:tcBorders>
              <w:top w:val="single" w:sz="4" w:space="0" w:color="000000"/>
              <w:left w:val="single" w:sz="4" w:space="0" w:color="000000"/>
              <w:bottom w:val="single" w:sz="4" w:space="0" w:color="000000"/>
            </w:tcBorders>
            <w:shd w:color="auto" w:fill="E5E5E5"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
                <w:color w:val="111111"/>
                <w:sz w:val="24"/>
                <w:szCs w:val="24"/>
              </w:rPr>
              <w:t>PROJETO OU ATIVIDADE</w:t>
            </w:r>
          </w:p>
        </w:tc>
        <w:tc>
          <w:tcPr>
            <w:tcW w:w="1766" w:type="dxa"/>
            <w:tcBorders>
              <w:top w:val="single" w:sz="4" w:space="0" w:color="000000"/>
              <w:left w:val="single" w:sz="4" w:space="0" w:color="000000"/>
              <w:bottom w:val="single" w:sz="4" w:space="0" w:color="000000"/>
            </w:tcBorders>
            <w:shd w:color="auto" w:fill="E5E5E5"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
                <w:color w:val="111111"/>
                <w:sz w:val="24"/>
                <w:szCs w:val="24"/>
              </w:rPr>
              <w:t>ELEMENTO DE DESPESA</w:t>
            </w:r>
          </w:p>
        </w:tc>
        <w:tc>
          <w:tcPr>
            <w:tcW w:w="1842" w:type="dxa"/>
            <w:tcBorders>
              <w:top w:val="single" w:sz="4" w:space="0" w:color="000000"/>
              <w:left w:val="single" w:sz="4" w:space="0" w:color="000000"/>
              <w:bottom w:val="single" w:sz="4" w:space="0" w:color="000000"/>
              <w:right w:val="single" w:sz="4" w:space="0" w:color="000000"/>
            </w:tcBorders>
            <w:shd w:color="auto" w:fill="E5E5E5"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
                <w:color w:val="111111"/>
                <w:sz w:val="24"/>
                <w:szCs w:val="24"/>
              </w:rPr>
              <w:t>FONTE DE RECURSO</w:t>
            </w:r>
          </w:p>
        </w:tc>
      </w:tr>
      <w:tr>
        <w:trPr>
          <w:trHeight w:val="250" w:hRule="atLeast"/>
        </w:trPr>
        <w:tc>
          <w:tcPr>
            <w:tcW w:w="2133" w:type="dxa"/>
            <w:tcBorders>
              <w:left w:val="single" w:sz="4" w:space="0" w:color="000000"/>
              <w:bottom w:val="single" w:sz="4" w:space="0" w:color="000000"/>
            </w:tcBorders>
            <w:shd w:color="auto" w:fill="auto"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Cs/>
                <w:color w:val="111111"/>
                <w:sz w:val="24"/>
                <w:szCs w:val="24"/>
              </w:rPr>
              <w:t>21101</w:t>
            </w:r>
          </w:p>
          <w:p>
            <w:pPr>
              <w:pStyle w:val="Normal"/>
              <w:widowControl w:val="false"/>
              <w:snapToGrid w:val="false"/>
              <w:jc w:val="center"/>
              <w:rPr>
                <w:rFonts w:ascii="Times New Roman" w:hAnsi="Times New Roman"/>
                <w:color w:val="111111"/>
                <w:sz w:val="24"/>
                <w:szCs w:val="24"/>
              </w:rPr>
            </w:pPr>
            <w:r>
              <w:rPr>
                <w:rFonts w:ascii="Times New Roman" w:hAnsi="Times New Roman"/>
                <w:color w:val="111111"/>
                <w:sz w:val="24"/>
                <w:szCs w:val="24"/>
              </w:rPr>
            </w:r>
          </w:p>
        </w:tc>
        <w:tc>
          <w:tcPr>
            <w:tcW w:w="2184" w:type="dxa"/>
            <w:tcBorders>
              <w:left w:val="single" w:sz="4" w:space="0" w:color="000000"/>
              <w:bottom w:val="single" w:sz="4" w:space="0" w:color="000000"/>
            </w:tcBorders>
            <w:shd w:color="auto" w:fill="auto"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Cs/>
                <w:color w:val="111111"/>
                <w:sz w:val="24"/>
                <w:szCs w:val="24"/>
              </w:rPr>
              <w:t>04.122.0213</w:t>
            </w:r>
          </w:p>
          <w:p>
            <w:pPr>
              <w:pStyle w:val="Normal"/>
              <w:widowControl w:val="false"/>
              <w:snapToGrid w:val="false"/>
              <w:jc w:val="center"/>
              <w:rPr>
                <w:rFonts w:ascii="Times New Roman" w:hAnsi="Times New Roman"/>
                <w:color w:val="111111"/>
                <w:sz w:val="24"/>
                <w:szCs w:val="24"/>
              </w:rPr>
            </w:pPr>
            <w:r>
              <w:rPr>
                <w:rFonts w:ascii="Times New Roman" w:hAnsi="Times New Roman"/>
                <w:color w:val="111111"/>
                <w:sz w:val="24"/>
                <w:szCs w:val="24"/>
              </w:rPr>
            </w:r>
          </w:p>
        </w:tc>
        <w:tc>
          <w:tcPr>
            <w:tcW w:w="1746" w:type="dxa"/>
            <w:tcBorders>
              <w:left w:val="single" w:sz="4" w:space="0" w:color="000000"/>
              <w:bottom w:val="single" w:sz="4" w:space="0" w:color="000000"/>
            </w:tcBorders>
            <w:shd w:color="auto" w:fill="auto"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Cs/>
                <w:color w:val="111111"/>
                <w:sz w:val="24"/>
                <w:szCs w:val="24"/>
              </w:rPr>
              <w:t>2130</w:t>
            </w:r>
          </w:p>
          <w:p>
            <w:pPr>
              <w:pStyle w:val="Normal"/>
              <w:widowControl w:val="false"/>
              <w:snapToGrid w:val="false"/>
              <w:jc w:val="center"/>
              <w:rPr>
                <w:rFonts w:ascii="Times New Roman" w:hAnsi="Times New Roman"/>
                <w:color w:val="111111"/>
                <w:sz w:val="24"/>
                <w:szCs w:val="24"/>
              </w:rPr>
            </w:pPr>
            <w:r>
              <w:rPr>
                <w:rFonts w:ascii="Times New Roman" w:hAnsi="Times New Roman"/>
                <w:color w:val="111111"/>
                <w:sz w:val="24"/>
                <w:szCs w:val="24"/>
              </w:rPr>
            </w:r>
          </w:p>
        </w:tc>
        <w:tc>
          <w:tcPr>
            <w:tcW w:w="1766" w:type="dxa"/>
            <w:tcBorders>
              <w:left w:val="single" w:sz="4" w:space="0" w:color="000000"/>
              <w:bottom w:val="single" w:sz="4" w:space="0" w:color="000000"/>
            </w:tcBorders>
            <w:shd w:color="auto" w:fill="auto"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Cs/>
                <w:color w:val="111111"/>
                <w:sz w:val="24"/>
                <w:szCs w:val="24"/>
              </w:rPr>
              <w:t>339030</w:t>
            </w:r>
          </w:p>
          <w:p>
            <w:pPr>
              <w:pStyle w:val="Normal"/>
              <w:widowControl w:val="false"/>
              <w:snapToGrid w:val="false"/>
              <w:jc w:val="center"/>
              <w:rPr>
                <w:rFonts w:ascii="Times New Roman" w:hAnsi="Times New Roman"/>
                <w:color w:val="111111"/>
                <w:sz w:val="24"/>
                <w:szCs w:val="24"/>
              </w:rPr>
            </w:pPr>
            <w:r>
              <w:rPr>
                <w:rFonts w:ascii="Times New Roman" w:hAnsi="Times New Roman"/>
                <w:color w:val="111111"/>
                <w:sz w:val="24"/>
                <w:szCs w:val="24"/>
              </w:rPr>
            </w:r>
          </w:p>
        </w:tc>
        <w:tc>
          <w:tcPr>
            <w:tcW w:w="1842"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center"/>
              <w:rPr>
                <w:rFonts w:ascii="Times New Roman" w:hAnsi="Times New Roman"/>
                <w:color w:val="111111"/>
                <w:sz w:val="24"/>
                <w:szCs w:val="24"/>
              </w:rPr>
            </w:pPr>
            <w:r>
              <w:rPr>
                <w:rFonts w:cs="Calibri" w:ascii="Times New Roman" w:hAnsi="Times New Roman" w:cstheme="minorHAnsi"/>
                <w:bCs/>
                <w:color w:val="111111"/>
                <w:sz w:val="24"/>
                <w:szCs w:val="24"/>
              </w:rPr>
              <w:t>150000</w:t>
            </w:r>
          </w:p>
        </w:tc>
      </w:tr>
    </w:tbl>
    <w:p>
      <w:pPr>
        <w:pStyle w:val="Normal"/>
        <w:jc w:val="center"/>
        <w:rPr>
          <w:rFonts w:ascii="Times New Roman" w:hAnsi="Times New Roman" w:cs="Calibri" w:cstheme="minorHAnsi"/>
          <w:color w:val="FF0000"/>
          <w:sz w:val="24"/>
          <w:szCs w:val="24"/>
        </w:rPr>
      </w:pPr>
      <w:r>
        <w:rPr>
          <w:rFonts w:cs="Calibri" w:cstheme="minorHAnsi" w:ascii="Times New Roman" w:hAnsi="Times New Roman"/>
          <w:color w:val="FF0000"/>
          <w:sz w:val="24"/>
          <w:szCs w:val="24"/>
        </w:rPr>
      </w:r>
    </w:p>
    <w:p>
      <w:pPr>
        <w:pStyle w:val="Normal"/>
        <w:jc w:val="both"/>
        <w:rPr>
          <w:rFonts w:ascii="Times New Roman" w:hAnsi="Times New Roman"/>
          <w:color w:val="111111"/>
          <w:sz w:val="24"/>
          <w:szCs w:val="24"/>
        </w:rPr>
      </w:pPr>
      <w:r>
        <w:rPr>
          <w:rFonts w:cs="Calibri" w:ascii="Times New Roman" w:hAnsi="Times New Roman" w:cstheme="minorHAnsi"/>
          <w:color w:val="111111"/>
          <w:sz w:val="24"/>
          <w:szCs w:val="24"/>
        </w:rPr>
        <w:t>14.2. A dotação relativa aos exercícios financeiros subsequentes será indicada após aprovação da Lei Orçamentária respectiva e da liberação dos créditos correspondentes, mediante termo de apostilamento ao contrato.</w:t>
      </w:r>
    </w:p>
    <w:p>
      <w:pPr>
        <w:pStyle w:val="Normal"/>
        <w:jc w:val="center"/>
        <w:rPr>
          <w:rFonts w:ascii="Times New Roman" w:hAnsi="Times New Roman" w:cs="Calibri" w:cstheme="minorHAnsi"/>
          <w:color w:val="FF0000"/>
          <w:sz w:val="24"/>
          <w:szCs w:val="24"/>
        </w:rPr>
      </w:pPr>
      <w:r>
        <w:rPr>
          <w:rFonts w:cs="Calibri" w:cstheme="minorHAnsi" w:ascii="Times New Roman" w:hAnsi="Times New Roman"/>
          <w:color w:val="FF0000"/>
          <w:sz w:val="24"/>
          <w:szCs w:val="24"/>
        </w:rPr>
      </w:r>
    </w:p>
    <w:p>
      <w:pPr>
        <w:pStyle w:val="Default"/>
        <w:rPr>
          <w:rFonts w:ascii="Times New Roman" w:hAnsi="Times New Roman"/>
          <w:sz w:val="24"/>
          <w:szCs w:val="24"/>
        </w:rPr>
      </w:pPr>
      <w:r>
        <w:rPr>
          <w:rFonts w:cs="Calibri" w:ascii="Times New Roman" w:hAnsi="Times New Roman" w:cstheme="minorHAnsi"/>
          <w:b/>
          <w:bCs/>
          <w:sz w:val="24"/>
          <w:szCs w:val="24"/>
        </w:rPr>
        <w:t>15. DAS SANÇÕES ADMINISTRATIVAS</w:t>
      </w:r>
    </w:p>
    <w:p>
      <w:pPr>
        <w:pStyle w:val="Normal"/>
        <w:ind w:hanging="0" w:right="-15"/>
        <w:jc w:val="both"/>
        <w:rPr>
          <w:rFonts w:ascii="Times New Roman" w:hAnsi="Times New Roman" w:cs="Calibri" w:cstheme="minorHAnsi"/>
          <w:sz w:val="24"/>
          <w:szCs w:val="24"/>
        </w:rPr>
      </w:pPr>
      <w:r>
        <w:rPr>
          <w:rFonts w:cs="Calibri" w:cstheme="minorHAnsi" w:ascii="Times New Roman" w:hAnsi="Times New Roman"/>
          <w:sz w:val="24"/>
          <w:szCs w:val="24"/>
        </w:rPr>
      </w:r>
    </w:p>
    <w:p>
      <w:pPr>
        <w:pStyle w:val="ListParagraph"/>
        <w:tabs>
          <w:tab w:val="clear" w:pos="709"/>
          <w:tab w:val="left" w:pos="3650" w:leader="none"/>
        </w:tabs>
        <w:spacing w:before="0" w:after="0"/>
        <w:ind w:hanging="0" w:left="0"/>
        <w:contextualSpacing/>
        <w:jc w:val="both"/>
        <w:rPr>
          <w:rFonts w:ascii="Times New Roman" w:hAnsi="Times New Roman"/>
          <w:sz w:val="24"/>
          <w:szCs w:val="24"/>
        </w:rPr>
      </w:pPr>
      <w:r>
        <w:rPr>
          <w:rFonts w:cs="Calibri" w:ascii="Times New Roman" w:hAnsi="Times New Roman" w:cstheme="minorHAnsi"/>
          <w:color w:themeColor="text1" w:val="000000"/>
          <w:sz w:val="24"/>
          <w:szCs w:val="24"/>
        </w:rPr>
        <w:t xml:space="preserve">15.1. </w:t>
      </w:r>
      <w:r>
        <w:rPr>
          <w:rFonts w:cs="Calibri" w:ascii="Times New Roman" w:hAnsi="Times New Roman" w:cstheme="minorHAnsi"/>
          <w:color w:val="111111"/>
          <w:sz w:val="24"/>
          <w:szCs w:val="24"/>
        </w:rPr>
        <w:t xml:space="preserve">As sanções referentes à execução do contrato são aquelas previstas no item 09 do </w:t>
      </w:r>
      <w:r>
        <w:rPr>
          <w:rFonts w:cs="Calibri" w:ascii="Times New Roman" w:hAnsi="Times New Roman" w:cstheme="minorHAnsi"/>
          <w:iCs/>
          <w:color w:val="111111"/>
          <w:sz w:val="24"/>
          <w:szCs w:val="24"/>
        </w:rPr>
        <w:t>Aviso de Contratação Direta</w:t>
      </w:r>
      <w:r>
        <w:rPr>
          <w:rFonts w:cs="Calibri" w:ascii="Times New Roman" w:hAnsi="Times New Roman" w:cstheme="minorHAnsi"/>
          <w:color w:val="111111"/>
          <w:sz w:val="24"/>
          <w:szCs w:val="24"/>
        </w:rPr>
        <w:t>, consoante gradação da penalidade de multa compensatória discriminada a seguir:</w:t>
      </w:r>
    </w:p>
    <w:p>
      <w:pPr>
        <w:pStyle w:val="ListParagraph"/>
        <w:tabs>
          <w:tab w:val="clear" w:pos="709"/>
          <w:tab w:val="left" w:pos="0" w:leader="none"/>
        </w:tabs>
        <w:spacing w:before="0" w:after="0"/>
        <w:ind w:hanging="0" w:left="0"/>
        <w:contextualSpacing/>
        <w:jc w:val="both"/>
        <w:rPr>
          <w:rFonts w:ascii="Times New Roman" w:hAnsi="Times New Roman" w:cs="Calibri" w:cstheme="minorHAnsi"/>
          <w:color w:themeColor="text1" w:val="000000"/>
          <w:sz w:val="24"/>
          <w:szCs w:val="24"/>
        </w:rPr>
      </w:pPr>
      <w:r>
        <w:rPr>
          <w:rFonts w:cs="Calibri" w:cstheme="minorHAnsi" w:ascii="Times New Roman" w:hAnsi="Times New Roman"/>
          <w:color w:themeColor="text1" w:val="000000"/>
          <w:sz w:val="24"/>
          <w:szCs w:val="24"/>
        </w:rPr>
      </w:r>
    </w:p>
    <w:p>
      <w:pPr>
        <w:pStyle w:val="ListParagraph"/>
        <w:tabs>
          <w:tab w:val="clear" w:pos="709"/>
          <w:tab w:val="left" w:pos="0" w:leader="none"/>
        </w:tabs>
        <w:spacing w:before="0" w:after="0"/>
        <w:ind w:hanging="0" w:left="0"/>
        <w:contextualSpacing/>
        <w:jc w:val="both"/>
        <w:rPr>
          <w:rFonts w:ascii="Times New Roman" w:hAnsi="Times New Roman"/>
          <w:sz w:val="24"/>
          <w:szCs w:val="24"/>
        </w:rPr>
      </w:pPr>
      <w:r>
        <w:rPr>
          <w:rFonts w:cs="Calibri" w:ascii="Times New Roman" w:hAnsi="Times New Roman" w:cstheme="minorHAnsi"/>
          <w:color w:themeColor="text1" w:val="000000"/>
          <w:sz w:val="24"/>
          <w:szCs w:val="24"/>
        </w:rPr>
        <w:tab/>
      </w:r>
      <w:r>
        <w:rPr>
          <w:rFonts w:cs="Calibri" w:ascii="Times New Roman" w:hAnsi="Times New Roman" w:cstheme="minorHAnsi"/>
          <w:color w:val="000000"/>
          <w:sz w:val="24"/>
          <w:szCs w:val="24"/>
        </w:rPr>
        <w:t xml:space="preserve">15.1. As sanções referentes à execução do contrato são aquelas previstas no item 4 do </w:t>
      </w:r>
      <w:r>
        <w:rPr>
          <w:rFonts w:cs="Calibri" w:ascii="Times New Roman" w:hAnsi="Times New Roman" w:cstheme="minorHAnsi"/>
          <w:iCs/>
          <w:color w:val="000000"/>
          <w:sz w:val="24"/>
          <w:szCs w:val="24"/>
        </w:rPr>
        <w:t>Aviso de Contratação Direta</w:t>
      </w:r>
      <w:r>
        <w:rPr>
          <w:rFonts w:cs="Calibri" w:ascii="Times New Roman" w:hAnsi="Times New Roman" w:cstheme="minorHAnsi"/>
          <w:color w:val="000000"/>
          <w:sz w:val="24"/>
          <w:szCs w:val="24"/>
        </w:rPr>
        <w:t>, consoante gradação da penalidade de multa compensatória discriminada a seguir:</w:t>
      </w:r>
    </w:p>
    <w:p>
      <w:pPr>
        <w:pStyle w:val="ListParagraph"/>
        <w:tabs>
          <w:tab w:val="clear" w:pos="709"/>
          <w:tab w:val="left" w:pos="0" w:leader="none"/>
        </w:tabs>
        <w:spacing w:before="0" w:after="0"/>
        <w:ind w:hanging="0" w:left="0"/>
        <w:contextualSpacing/>
        <w:jc w:val="both"/>
        <w:rPr>
          <w:rFonts w:ascii="Times New Roman" w:hAnsi="Times New Roman" w:cs="Calibri"/>
          <w:color w:themeColor="text1" w:val="000000"/>
          <w:sz w:val="24"/>
          <w:szCs w:val="24"/>
        </w:rPr>
      </w:pPr>
      <w:r>
        <w:rPr>
          <w:rFonts w:cs="Calibri" w:ascii="Times New Roman" w:hAnsi="Times New Roman"/>
          <w:color w:themeColor="text1" w:val="000000"/>
          <w:sz w:val="24"/>
          <w:szCs w:val="24"/>
        </w:rPr>
      </w:r>
    </w:p>
    <w:p>
      <w:pPr>
        <w:pStyle w:val="ListParagraph"/>
        <w:tabs>
          <w:tab w:val="clear" w:pos="709"/>
          <w:tab w:val="left" w:pos="0" w:leader="none"/>
        </w:tabs>
        <w:spacing w:before="0" w:after="0"/>
        <w:ind w:hanging="0" w:left="0"/>
        <w:contextualSpacing/>
        <w:jc w:val="both"/>
        <w:rPr>
          <w:rFonts w:ascii="Times New Roman" w:hAnsi="Times New Roman"/>
        </w:rPr>
      </w:pPr>
      <w:r>
        <w:rPr>
          <w:rFonts w:cs="Calibri" w:ascii="Times New Roman" w:hAnsi="Times New Roman"/>
          <w:color w:themeColor="text1" w:val="000000"/>
          <w:sz w:val="24"/>
          <w:szCs w:val="24"/>
        </w:rPr>
        <w:tab/>
      </w:r>
      <w:r>
        <w:rPr>
          <w:rFonts w:cs="Calibri" w:ascii="Times New Roman" w:hAnsi="Times New Roman"/>
          <w:color w:val="000000"/>
          <w:sz w:val="24"/>
          <w:szCs w:val="24"/>
        </w:rPr>
        <w:t>15.1.1 – Para a infração de inexecução parcial do Contrato ou equivalente incidirá multa de até 10%;</w:t>
      </w:r>
    </w:p>
    <w:p>
      <w:pPr>
        <w:pStyle w:val="ListParagraph"/>
        <w:tabs>
          <w:tab w:val="clear" w:pos="709"/>
          <w:tab w:val="left" w:pos="0" w:leader="none"/>
        </w:tabs>
        <w:spacing w:lineRule="auto" w:line="276" w:before="0" w:after="0"/>
        <w:ind w:hanging="0" w:left="72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r>
    </w:p>
    <w:p>
      <w:pPr>
        <w:pStyle w:val="ListParagraph"/>
        <w:tabs>
          <w:tab w:val="clear" w:pos="709"/>
          <w:tab w:val="left" w:pos="0" w:leader="none"/>
        </w:tabs>
        <w:spacing w:lineRule="auto" w:line="276" w:before="0" w:after="0"/>
        <w:ind w:hanging="0" w:left="0" w:right="0"/>
        <w:contextualSpacing/>
        <w:jc w:val="both"/>
        <w:rPr>
          <w:rFonts w:ascii="Times New Roman" w:hAnsi="Times New Roman"/>
          <w:color w:val="000000"/>
          <w:sz w:val="24"/>
          <w:szCs w:val="24"/>
        </w:rPr>
      </w:pPr>
      <w:r>
        <w:rPr>
          <w:rFonts w:cs="Calibri" w:ascii="Times New Roman" w:hAnsi="Times New Roman"/>
          <w:color w:val="000000"/>
          <w:sz w:val="24"/>
          <w:szCs w:val="24"/>
        </w:rPr>
        <w:tab/>
        <w:t xml:space="preserve">15.1.2 – Para a infração de </w:t>
      </w:r>
      <w:r>
        <w:rPr>
          <w:rFonts w:cs="Calibri" w:ascii="Times New Roman" w:hAnsi="Times New Roman"/>
          <w:iCs/>
          <w:color w:val="000000"/>
          <w:sz w:val="24"/>
          <w:szCs w:val="24"/>
        </w:rPr>
        <w:t>inexecução parcial do contrato ou equivalente que cause grave dano à Administração, ao funcionamento dos serviços públicos ou ao interesse coletivo</w:t>
      </w:r>
      <w:r>
        <w:rPr>
          <w:rFonts w:cs="Calibri" w:ascii="Times New Roman" w:hAnsi="Times New Roman"/>
          <w:color w:val="000000"/>
          <w:sz w:val="24"/>
          <w:szCs w:val="24"/>
        </w:rPr>
        <w:t xml:space="preserve"> incidirá multa de até 30%;</w:t>
      </w:r>
    </w:p>
    <w:p>
      <w:pPr>
        <w:pStyle w:val="ListParagraph"/>
        <w:tabs>
          <w:tab w:val="clear" w:pos="709"/>
          <w:tab w:val="left" w:pos="0" w:leader="none"/>
        </w:tabs>
        <w:spacing w:lineRule="auto" w:line="276" w:before="0" w:after="0"/>
        <w:ind w:hanging="0" w:left="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tab/>
      </w:r>
    </w:p>
    <w:p>
      <w:pPr>
        <w:pStyle w:val="ListParagraph"/>
        <w:tabs>
          <w:tab w:val="clear" w:pos="709"/>
          <w:tab w:val="left" w:pos="0" w:leader="none"/>
        </w:tabs>
        <w:spacing w:lineRule="auto" w:line="276" w:before="0" w:after="0"/>
        <w:ind w:hanging="0" w:left="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tab/>
        <w:t>15.1.3 - Para a infração de deixar de entregar a documentação exigida para o certame incidirá multa de até 10%;</w:t>
      </w:r>
    </w:p>
    <w:p>
      <w:pPr>
        <w:pStyle w:val="ListParagraph"/>
        <w:tabs>
          <w:tab w:val="clear" w:pos="709"/>
          <w:tab w:val="left" w:pos="0" w:leader="none"/>
        </w:tabs>
        <w:spacing w:lineRule="auto" w:line="276" w:before="0" w:after="0"/>
        <w:ind w:hanging="0" w:left="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r>
    </w:p>
    <w:p>
      <w:pPr>
        <w:pStyle w:val="ListParagraph"/>
        <w:tabs>
          <w:tab w:val="clear" w:pos="709"/>
          <w:tab w:val="left" w:pos="0" w:leader="none"/>
        </w:tabs>
        <w:spacing w:lineRule="auto" w:line="276" w:before="0" w:after="0"/>
        <w:ind w:hanging="0" w:left="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tab/>
        <w:t>15.1.4 - Para a infração de não manter a proposta, salvo em decorrência de fato superveniente devidamente justificado incidirá multa de até 10%;</w:t>
      </w:r>
    </w:p>
    <w:p>
      <w:pPr>
        <w:pStyle w:val="ListParagraph"/>
        <w:tabs>
          <w:tab w:val="clear" w:pos="709"/>
          <w:tab w:val="left" w:pos="0" w:leader="none"/>
        </w:tabs>
        <w:spacing w:lineRule="auto" w:line="276" w:before="0" w:after="0"/>
        <w:ind w:hanging="0" w:left="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r>
    </w:p>
    <w:p>
      <w:pPr>
        <w:pStyle w:val="ListParagraph"/>
        <w:tabs>
          <w:tab w:val="clear" w:pos="709"/>
          <w:tab w:val="left" w:pos="0" w:leader="none"/>
        </w:tabs>
        <w:spacing w:lineRule="auto" w:line="276" w:before="0" w:after="0"/>
        <w:ind w:hanging="0" w:left="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tab/>
        <w:t>15.1.5 - Para o atraso injustificado na entrega do objeto do item pelo período de até 07 (sete) dias corridos incidirá multa de 0,5 a 10%;</w:t>
      </w:r>
    </w:p>
    <w:p>
      <w:pPr>
        <w:pStyle w:val="ListParagraph"/>
        <w:tabs>
          <w:tab w:val="clear" w:pos="709"/>
          <w:tab w:val="left" w:pos="0" w:leader="none"/>
        </w:tabs>
        <w:spacing w:lineRule="auto" w:line="276" w:before="0" w:after="0"/>
        <w:ind w:hanging="0" w:left="72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r>
    </w:p>
    <w:p>
      <w:pPr>
        <w:pStyle w:val="ListParagraph"/>
        <w:tabs>
          <w:tab w:val="clear" w:pos="709"/>
          <w:tab w:val="left" w:pos="0" w:leader="none"/>
        </w:tabs>
        <w:spacing w:lineRule="auto" w:line="276" w:before="0" w:after="0"/>
        <w:ind w:hanging="0" w:left="0" w:right="0"/>
        <w:contextualSpacing/>
        <w:jc w:val="both"/>
        <w:rPr>
          <w:rFonts w:ascii="Times New Roman" w:hAnsi="Times New Roman" w:cs="Calibri"/>
          <w:color w:val="000000"/>
          <w:sz w:val="24"/>
          <w:szCs w:val="24"/>
        </w:rPr>
      </w:pPr>
      <w:r>
        <w:rPr>
          <w:rFonts w:cs="Calibri" w:ascii="Times New Roman" w:hAnsi="Times New Roman"/>
          <w:color w:val="000000"/>
          <w:sz w:val="24"/>
          <w:szCs w:val="24"/>
        </w:rPr>
        <w:tab/>
        <w:t>15.1.6 – Para o atraso injustificado na entrega do objeto do item pelo período superior a 07 (sete) dias incidirá multa de 10 a 20%.</w:t>
      </w:r>
    </w:p>
    <w:p>
      <w:pPr>
        <w:pStyle w:val="Default"/>
        <w:spacing w:lineRule="auto" w:line="276"/>
        <w:rPr>
          <w:rFonts w:ascii="Times New Roman" w:hAnsi="Times New Roman" w:cs="Calibri"/>
          <w:iCs/>
          <w:color w:val="000000"/>
          <w:sz w:val="24"/>
          <w:szCs w:val="24"/>
        </w:rPr>
      </w:pPr>
      <w:r>
        <w:rPr>
          <w:rFonts w:cs="Calibri" w:ascii="Times New Roman" w:hAnsi="Times New Roman"/>
          <w:iCs/>
          <w:color w:val="000000"/>
          <w:sz w:val="24"/>
          <w:szCs w:val="24"/>
        </w:rPr>
      </w:r>
    </w:p>
    <w:p>
      <w:pPr>
        <w:pStyle w:val="Default"/>
        <w:spacing w:lineRule="auto" w:line="276"/>
        <w:jc w:val="both"/>
        <w:rPr>
          <w:rFonts w:ascii="Times New Roman" w:hAnsi="Times New Roman" w:cs="Calibri"/>
          <w:iCs/>
          <w:color w:val="000000"/>
          <w:sz w:val="24"/>
          <w:szCs w:val="24"/>
        </w:rPr>
      </w:pPr>
      <w:r>
        <w:rPr>
          <w:rFonts w:cs="Calibri" w:ascii="Times New Roman" w:hAnsi="Times New Roman"/>
          <w:iCs/>
          <w:color w:val="000000"/>
          <w:sz w:val="24"/>
          <w:szCs w:val="24"/>
        </w:rPr>
        <w:tab/>
        <w:t>15.1.7 -  Para a infração de apresentar declaração ou documentação falsa exigida para o certame ou prestar declaração falsa durante a dispensa de licitação ou a execução do contrato ou equivalente, incidirá multa de até 30%;</w:t>
      </w:r>
    </w:p>
    <w:p>
      <w:pPr>
        <w:pStyle w:val="Default"/>
        <w:spacing w:lineRule="auto" w:line="276"/>
        <w:jc w:val="both"/>
        <w:rPr>
          <w:rFonts w:ascii="Times New Roman" w:hAnsi="Times New Roman" w:cs="Calibri"/>
          <w:iCs/>
          <w:color w:val="000000"/>
          <w:sz w:val="24"/>
          <w:szCs w:val="24"/>
        </w:rPr>
      </w:pPr>
      <w:r>
        <w:rPr>
          <w:rFonts w:cs="Calibri" w:ascii="Times New Roman" w:hAnsi="Times New Roman"/>
          <w:iCs/>
          <w:color w:val="000000"/>
          <w:sz w:val="24"/>
          <w:szCs w:val="24"/>
        </w:rPr>
      </w:r>
    </w:p>
    <w:p>
      <w:pPr>
        <w:pStyle w:val="Default"/>
        <w:spacing w:lineRule="auto" w:line="276"/>
        <w:jc w:val="both"/>
        <w:rPr>
          <w:rFonts w:ascii="Times New Roman" w:hAnsi="Times New Roman" w:cs="Calibri"/>
          <w:iCs/>
          <w:color w:val="000000"/>
          <w:sz w:val="24"/>
          <w:szCs w:val="24"/>
        </w:rPr>
      </w:pPr>
      <w:r>
        <w:rPr>
          <w:rFonts w:cs="Calibri" w:ascii="Times New Roman" w:hAnsi="Times New Roman"/>
          <w:iCs/>
          <w:color w:val="000000"/>
          <w:sz w:val="24"/>
          <w:szCs w:val="24"/>
        </w:rPr>
        <w:tab/>
        <w:t>15.1.8 - Para a infração de fraudar a dispensa de licitação ou praticar ato fraudulento na execução do contrato ou equivalente, incidirá multa de até 30%;</w:t>
      </w:r>
    </w:p>
    <w:p>
      <w:pPr>
        <w:pStyle w:val="Default"/>
        <w:spacing w:lineRule="auto" w:line="276"/>
        <w:jc w:val="both"/>
        <w:rPr>
          <w:rFonts w:ascii="Times New Roman" w:hAnsi="Times New Roman" w:cs="Calibri"/>
          <w:iCs/>
          <w:color w:val="000000"/>
          <w:sz w:val="24"/>
          <w:szCs w:val="24"/>
        </w:rPr>
      </w:pPr>
      <w:r>
        <w:rPr>
          <w:rFonts w:cs="Calibri" w:ascii="Times New Roman" w:hAnsi="Times New Roman"/>
          <w:iCs/>
          <w:color w:val="000000"/>
          <w:sz w:val="24"/>
          <w:szCs w:val="24"/>
        </w:rPr>
        <w:tab/>
      </w:r>
    </w:p>
    <w:p>
      <w:pPr>
        <w:pStyle w:val="Default"/>
        <w:spacing w:lineRule="auto" w:line="276"/>
        <w:jc w:val="both"/>
        <w:rPr>
          <w:rFonts w:ascii="Times New Roman" w:hAnsi="Times New Roman" w:cs="Calibri"/>
          <w:iCs/>
          <w:color w:val="000000"/>
          <w:sz w:val="24"/>
          <w:szCs w:val="24"/>
        </w:rPr>
      </w:pPr>
      <w:r>
        <w:rPr>
          <w:rFonts w:cs="Calibri" w:ascii="Times New Roman" w:hAnsi="Times New Roman"/>
          <w:iCs/>
          <w:color w:val="000000"/>
          <w:sz w:val="24"/>
          <w:szCs w:val="24"/>
        </w:rPr>
        <w:tab/>
        <w:t>15.1.9 -  Para a infração de comportar-se de modo inidôneo ou cometer fraude de qualquer natureza, incidirá multa de até 30%;</w:t>
      </w:r>
    </w:p>
    <w:p>
      <w:pPr>
        <w:pStyle w:val="Default"/>
        <w:spacing w:lineRule="auto" w:line="276"/>
        <w:jc w:val="both"/>
        <w:rPr>
          <w:rFonts w:ascii="Times New Roman" w:hAnsi="Times New Roman" w:cs="Calibri"/>
          <w:iCs/>
          <w:color w:val="000000"/>
          <w:sz w:val="24"/>
          <w:szCs w:val="24"/>
        </w:rPr>
      </w:pPr>
      <w:r>
        <w:rPr>
          <w:rFonts w:cs="Calibri" w:ascii="Times New Roman" w:hAnsi="Times New Roman"/>
          <w:iCs/>
          <w:color w:val="000000"/>
          <w:sz w:val="24"/>
          <w:szCs w:val="24"/>
        </w:rPr>
      </w:r>
    </w:p>
    <w:p>
      <w:pPr>
        <w:pStyle w:val="Default"/>
        <w:spacing w:lineRule="auto" w:line="276"/>
        <w:jc w:val="both"/>
        <w:rPr/>
      </w:pPr>
      <w:r>
        <w:rPr>
          <w:rFonts w:cs="Calibri" w:ascii="Times New Roman" w:hAnsi="Times New Roman"/>
          <w:iCs/>
          <w:color w:val="000000"/>
          <w:sz w:val="24"/>
          <w:szCs w:val="24"/>
        </w:rPr>
        <w:tab/>
        <w:t xml:space="preserve">15.1.10 - Para a infração de praticar ato lesivo previsto no </w:t>
      </w:r>
      <w:r>
        <w:fldChar w:fldCharType="begin"/>
      </w:r>
      <w:r>
        <w:rPr>
          <w:sz w:val="24"/>
          <w:szCs w:val="24"/>
          <w:iCs/>
          <w:rFonts w:cs="Calibri" w:ascii="Times New Roman" w:hAnsi="Times New Roman"/>
          <w:color w:val="000000"/>
        </w:rPr>
        <w:instrText xml:space="preserve"> HYPERLINK "http://www.planalto.gov.br/ccivil_03/_Ato2011-2014/2013/Lei/L12846.htm" \l "art5"</w:instrText>
      </w:r>
      <w:r>
        <w:rPr>
          <w:sz w:val="24"/>
          <w:szCs w:val="24"/>
          <w:iCs/>
          <w:rFonts w:cs="Calibri" w:ascii="Times New Roman" w:hAnsi="Times New Roman"/>
          <w:color w:val="000000"/>
        </w:rPr>
        <w:fldChar w:fldCharType="separate"/>
      </w:r>
      <w:r>
        <w:rPr>
          <w:rFonts w:cs="Calibri" w:ascii="Times New Roman" w:hAnsi="Times New Roman"/>
          <w:iCs/>
          <w:color w:val="000000"/>
          <w:sz w:val="24"/>
          <w:szCs w:val="24"/>
        </w:rPr>
        <w:t>art. 5º da Lei nº 12.846, de 1º de agosto de 2013</w:t>
      </w:r>
      <w:r>
        <w:rPr>
          <w:sz w:val="24"/>
          <w:szCs w:val="24"/>
          <w:iCs/>
          <w:rFonts w:cs="Calibri" w:ascii="Times New Roman" w:hAnsi="Times New Roman"/>
          <w:color w:val="000000"/>
        </w:rPr>
        <w:fldChar w:fldCharType="end"/>
      </w:r>
      <w:r>
        <w:rPr>
          <w:rFonts w:cs="Calibri" w:ascii="Times New Roman" w:hAnsi="Times New Roman"/>
          <w:iCs/>
          <w:color w:val="000000"/>
          <w:sz w:val="24"/>
          <w:szCs w:val="24"/>
        </w:rPr>
        <w:t>, incidirá multa de até 30%.</w:t>
      </w:r>
    </w:p>
    <w:p>
      <w:pPr>
        <w:pStyle w:val="Default"/>
        <w:spacing w:lineRule="auto" w:line="276"/>
        <w:jc w:val="both"/>
        <w:rPr>
          <w:rFonts w:ascii="Arial" w:hAnsi="Arial" w:cs="Calibri"/>
          <w:color w:val="000000"/>
          <w:sz w:val="24"/>
          <w:szCs w:val="24"/>
        </w:rPr>
      </w:pPr>
      <w:r>
        <w:rPr>
          <w:rFonts w:cs="Calibri"/>
          <w:color w:val="000000"/>
          <w:sz w:val="24"/>
          <w:szCs w:val="24"/>
        </w:rPr>
      </w:r>
    </w:p>
    <w:p>
      <w:pPr>
        <w:pStyle w:val="Default"/>
        <w:spacing w:lineRule="auto" w:line="276"/>
        <w:jc w:val="both"/>
        <w:rPr>
          <w:rFonts w:ascii="Arial" w:hAnsi="Arial" w:cs="Calibri"/>
          <w:color w:val="000000"/>
          <w:sz w:val="24"/>
          <w:szCs w:val="24"/>
        </w:rPr>
      </w:pPr>
      <w:r>
        <w:rPr>
          <w:rFonts w:cs="Calibri"/>
          <w:color w:val="000000"/>
          <w:sz w:val="24"/>
          <w:szCs w:val="24"/>
        </w:rPr>
      </w:r>
    </w:p>
    <w:p>
      <w:pPr>
        <w:pStyle w:val="LO-normal"/>
        <w:widowControl/>
        <w:jc w:val="center"/>
        <w:rPr>
          <w:rFonts w:ascii="Times New Roman" w:hAnsi="Times New Roman" w:eastAsia="Calibri" w:cs="Calibri"/>
          <w:b/>
          <w:bCs/>
          <w:color w:val="111111"/>
          <w:sz w:val="24"/>
          <w:szCs w:val="24"/>
        </w:rPr>
      </w:pPr>
      <w:r>
        <w:rPr>
          <w:rFonts w:eastAsia="Calibri" w:cs="Calibri" w:ascii="Times New Roman" w:hAnsi="Times New Roman"/>
          <w:b/>
          <w:bCs/>
          <w:color w:val="111111"/>
          <w:sz w:val="24"/>
          <w:szCs w:val="24"/>
        </w:rPr>
        <w:t>Almir Carvalho da Silva</w:t>
      </w:r>
    </w:p>
    <w:p>
      <w:pPr>
        <w:pStyle w:val="LO-normal"/>
        <w:widowControl/>
        <w:jc w:val="center"/>
        <w:rPr>
          <w:rFonts w:ascii="Times New Roman" w:hAnsi="Times New Roman" w:eastAsia="Calibri" w:cs="Times New Roman"/>
          <w:b w:val="false"/>
          <w:bCs w:val="false"/>
          <w:iCs/>
          <w:color w:val="111111"/>
          <w:sz w:val="24"/>
          <w:szCs w:val="24"/>
        </w:rPr>
      </w:pPr>
      <w:r>
        <w:rPr>
          <w:rFonts w:eastAsia="Calibri" w:cs="Times New Roman" w:ascii="Times New Roman" w:hAnsi="Times New Roman"/>
          <w:b w:val="false"/>
          <w:bCs w:val="false"/>
          <w:iCs/>
          <w:color w:val="111111"/>
          <w:sz w:val="24"/>
          <w:szCs w:val="24"/>
        </w:rPr>
        <w:t>Agente de Contratação - Matrícula 440.310</w:t>
      </w:r>
    </w:p>
    <w:p>
      <w:pPr>
        <w:pStyle w:val="LO-normal"/>
        <w:widowControl/>
        <w:jc w:val="center"/>
        <w:rPr>
          <w:b/>
          <w:bCs/>
          <w:color w:val="000000"/>
        </w:rPr>
      </w:pPr>
      <w:r>
        <w:rPr>
          <w:b/>
          <w:bCs/>
          <w:color w:val="000000"/>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p>
      <w:pPr>
        <w:pStyle w:val="ListParagraph"/>
        <w:tabs>
          <w:tab w:val="clear" w:pos="709"/>
          <w:tab w:val="left" w:pos="0" w:leader="none"/>
        </w:tabs>
        <w:spacing w:before="0" w:after="0"/>
        <w:ind w:hanging="0" w:left="0"/>
        <w:contextualSpacing/>
        <w:jc w:val="center"/>
        <w:rPr>
          <w:rFonts w:ascii="Times New Roman" w:hAnsi="Times New Roman"/>
          <w:sz w:val="24"/>
          <w:szCs w:val="24"/>
        </w:rPr>
      </w:pPr>
      <w:r>
        <w:rPr>
          <w:rFonts w:ascii="Times New Roman" w:hAnsi="Times New Roman"/>
          <w:sz w:val="24"/>
          <w:szCs w:val="24"/>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1134" w:top="3137" w:footer="1134" w:bottom="164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Arial">
    <w:charset w:val="00"/>
    <w:family w:val="roman"/>
    <w:pitch w:val="variable"/>
  </w:font>
  <w:font w:name="Tahoma">
    <w:charset w:val="00"/>
    <w:family w:val="roman"/>
    <w:pitch w:val="variable"/>
  </w:font>
  <w:font w:name="Liberation Sans">
    <w:altName w:val="Arial"/>
    <w:charset w:val="00"/>
    <w:family w:val="roman"/>
    <w:pitch w:val="variable"/>
  </w:font>
  <w:font w:name="Ecofont_Spranq_eco_Sans">
    <w:altName w:val="Cambria"/>
    <w:charset w:val="00"/>
    <w:family w:val="roman"/>
    <w:pitch w:val="variable"/>
  </w:font>
  <w:font w:name="Ecofont_Spranq_eco_Sans">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1"/>
      <w:jc w:val="center"/>
      <w:rPr>
        <w:rFonts w:ascii="Times New Roman" w:hAnsi="Times New Roman"/>
        <w:i/>
        <w:i/>
        <w:sz w:val="20"/>
        <w:szCs w:val="20"/>
      </w:rPr>
    </w:pPr>
    <w:r>
      <w:rPr>
        <w:rFonts w:ascii="Times New Roman" w:hAnsi="Times New Roman"/>
        <w:i/>
        <w:sz w:val="20"/>
        <w:szCs w:val="20"/>
      </w:rPr>
      <w:t xml:space="preserve">Centro Administrativo Prefeito José Aloísio Campos - Rua Frei Luiz Canelo de Noronha, 42 </w:t>
    </w:r>
  </w:p>
  <w:p>
    <w:pPr>
      <w:pStyle w:val="Rodap1"/>
      <w:jc w:val="center"/>
      <w:rPr>
        <w:rFonts w:ascii="Times New Roman" w:hAnsi="Times New Roman"/>
        <w:sz w:val="20"/>
        <w:szCs w:val="20"/>
      </w:rPr>
    </w:pPr>
    <w:r>
      <w:rPr>
        <w:rFonts w:ascii="Times New Roman" w:hAnsi="Times New Roman"/>
        <w:i/>
        <w:sz w:val="20"/>
        <w:szCs w:val="20"/>
      </w:rPr>
      <w:t>Conj. Costa e Silva - CEP. 49097-270 - Aracaju - Sergipe – Brasil.</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1"/>
      <w:jc w:val="center"/>
      <w:rPr>
        <w:rFonts w:ascii="Times New Roman" w:hAnsi="Times New Roman"/>
        <w:i/>
        <w:i/>
        <w:sz w:val="20"/>
        <w:szCs w:val="20"/>
      </w:rPr>
    </w:pPr>
    <w:r>
      <w:rPr>
        <w:rFonts w:ascii="Times New Roman" w:hAnsi="Times New Roman"/>
        <w:i/>
        <w:sz w:val="20"/>
        <w:szCs w:val="20"/>
      </w:rPr>
      <w:t xml:space="preserve">Centro Administrativo Prefeito José Aloísio Campos - Rua Frei Luiz Canelo de Noronha, 42 </w:t>
    </w:r>
  </w:p>
  <w:p>
    <w:pPr>
      <w:pStyle w:val="Rodap1"/>
      <w:jc w:val="center"/>
      <w:rPr>
        <w:rFonts w:ascii="Times New Roman" w:hAnsi="Times New Roman"/>
        <w:sz w:val="20"/>
        <w:szCs w:val="20"/>
      </w:rPr>
    </w:pPr>
    <w:r>
      <w:rPr>
        <w:rFonts w:ascii="Times New Roman" w:hAnsi="Times New Roman"/>
        <w:i/>
        <w:sz w:val="20"/>
        <w:szCs w:val="20"/>
      </w:rPr>
      <w:t>Conj. Costa e Silva - CEP. 49097-270 - Aracaju - Sergipe – Brasil.</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5400040" cy="741680"/>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tretch>
                    <a:fillRect/>
                  </a:stretch>
                </pic:blipFill>
                <pic:spPr bwMode="auto">
                  <a:xfrm>
                    <a:off x="0" y="0"/>
                    <a:ext cx="5400040" cy="741680"/>
                  </a:xfrm>
                  <a:prstGeom prst="rect">
                    <a:avLst/>
                  </a:prstGeom>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5400040" cy="74168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5400040" cy="741680"/>
                  </a:xfrm>
                  <a:prstGeom prst="rect">
                    <a:avLst/>
                  </a:prstGeom>
                </pic:spPr>
              </pic:pic>
            </a:graphicData>
          </a:graphic>
        </wp:inline>
      </w:drawing>
    </w:r>
  </w:p>
</w:hdr>
</file>

<file path=word/settings.xml><?xml version="1.0" encoding="utf-8"?>
<w:settings xmlns:w="http://schemas.openxmlformats.org/wordprocessingml/2006/main">
  <w:zoom w:percent="90"/>
  <w:defaultTabStop w:val="709"/>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Cs w:val="24"/>
        <w:lang w:val="pt-B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Heading1">
    <w:name w:val="Heading 1"/>
    <w:basedOn w:val="Normal"/>
    <w:next w:val="Normal"/>
    <w:link w:val="Ttulo1Char"/>
    <w:uiPriority w:val="9"/>
    <w:qFormat/>
    <w:rsid w:val="00a7488d"/>
    <w:pPr>
      <w:keepNext w:val="true"/>
      <w:keepLines/>
      <w:spacing w:before="240" w:after="0"/>
      <w:outlineLvl w:val="0"/>
    </w:pPr>
    <w:rPr>
      <w:rFonts w:ascii="Calibri Light" w:hAnsi="Calibri Light" w:eastAsia="" w:cs="Mangal" w:asciiTheme="majorHAnsi" w:eastAsiaTheme="majorEastAsia" w:hAnsiTheme="majorHAnsi"/>
      <w:color w:themeColor="accent1" w:themeShade="bf" w:val="2F5496"/>
      <w:sz w:val="32"/>
      <w:szCs w:val="29"/>
    </w:rPr>
  </w:style>
  <w:style w:type="character" w:styleId="DefaultParagraphFont" w:default="1">
    <w:name w:val="Default Paragraph Font"/>
    <w:uiPriority w:val="1"/>
    <w:semiHidden/>
    <w:unhideWhenUsed/>
    <w:qFormat/>
    <w:rPr/>
  </w:style>
  <w:style w:type="character" w:styleId="Normalchar1" w:customStyle="1">
    <w:name w:val="normal__char1"/>
    <w:qFormat/>
    <w:rPr>
      <w:rFonts w:ascii="Arial" w:hAnsi="Arial" w:cs="Arial"/>
      <w:strike w:val="false"/>
      <w:dstrike w:val="false"/>
      <w:sz w:val="24"/>
      <w:szCs w:val="24"/>
      <w:u w:val="none"/>
    </w:rPr>
  </w:style>
  <w:style w:type="character" w:styleId="InternetLink" w:customStyle="1">
    <w:name w:val="Internet Link"/>
    <w:basedOn w:val="DefaultParagraphFont"/>
    <w:uiPriority w:val="99"/>
    <w:unhideWhenUsed/>
    <w:qFormat/>
    <w:rsid w:val="00f401da"/>
    <w:rPr>
      <w:color w:themeColor="hyperlink" w:val="0563C1"/>
      <w:u w:val="single"/>
    </w:rPr>
  </w:style>
  <w:style w:type="character" w:styleId="WW8Num3z0" w:customStyle="1">
    <w:name w:val="WW8Num3z0"/>
    <w:qFormat/>
    <w:rsid w:val="00504b47"/>
    <w:rPr/>
  </w:style>
  <w:style w:type="character" w:styleId="WW8Num2z0" w:customStyle="1">
    <w:name w:val="WW8Num2z0"/>
    <w:qFormat/>
    <w:rsid w:val="00504b47"/>
    <w:rPr>
      <w:lang w:val="pt-BR"/>
    </w:rPr>
  </w:style>
  <w:style w:type="character" w:styleId="Ttulo1Char" w:customStyle="1">
    <w:name w:val="Título 1 Char"/>
    <w:basedOn w:val="DefaultParagraphFont"/>
    <w:uiPriority w:val="9"/>
    <w:qFormat/>
    <w:rsid w:val="00a7488d"/>
    <w:rPr>
      <w:rFonts w:ascii="Calibri Light" w:hAnsi="Calibri Light" w:eastAsia="" w:cs="Mangal" w:asciiTheme="majorHAnsi" w:eastAsiaTheme="majorEastAsia" w:hAnsiTheme="majorHAnsi"/>
      <w:color w:themeColor="accent1" w:themeShade="bf" w:val="2F5496"/>
      <w:sz w:val="32"/>
      <w:szCs w:val="29"/>
    </w:rPr>
  </w:style>
  <w:style w:type="character" w:styleId="Nivel1Char" w:customStyle="1">
    <w:name w:val="Nivel1 Char"/>
    <w:basedOn w:val="Ttulo1Char"/>
    <w:link w:val="Nivel1"/>
    <w:qFormat/>
    <w:rsid w:val="00a55d41"/>
    <w:rPr>
      <w:rFonts w:ascii="Arial" w:hAnsi="Arial" w:eastAsia="" w:cs="Times New Roman" w:eastAsiaTheme="majorEastAsia"/>
      <w:b/>
      <w:color w:themeColor="accent1" w:themeShade="bf" w:val="000000"/>
      <w:kern w:val="0"/>
      <w:sz w:val="20"/>
      <w:szCs w:val="20"/>
      <w:lang w:eastAsia="pt-BR" w:bidi="ar-SA"/>
    </w:rPr>
  </w:style>
  <w:style w:type="character" w:styleId="WW8Num3z1" w:customStyle="1">
    <w:name w:val="WW8Num3z1"/>
    <w:qFormat/>
    <w:rsid w:val="00965940"/>
    <w:rPr>
      <w:b w:val="false"/>
      <w:i w:val="false"/>
      <w:strike w:val="false"/>
      <w:dstrike w:val="false"/>
      <w:color w:val="000000"/>
    </w:rPr>
  </w:style>
  <w:style w:type="character" w:styleId="WW8Num4z0" w:customStyle="1">
    <w:name w:val="WW8Num4z0"/>
    <w:qFormat/>
    <w:rsid w:val="008a125c"/>
    <w:rPr>
      <w:b w:val="false"/>
      <w:bCs w:val="false"/>
      <w:i w:val="false"/>
      <w:strike w:val="false"/>
      <w:dstrike w:val="false"/>
    </w:rPr>
  </w:style>
  <w:style w:type="character" w:styleId="WW8Num6z0" w:customStyle="1">
    <w:name w:val="WW8Num6z0"/>
    <w:qFormat/>
    <w:rPr/>
  </w:style>
  <w:style w:type="character" w:styleId="Smbolosdenumerao" w:customStyle="1">
    <w:name w:val="Símbolos de numeração"/>
    <w:qFormat/>
    <w:rPr>
      <w:rFonts w:ascii="Times New Roman" w:hAnsi="Times New Roman"/>
    </w:rPr>
  </w:style>
  <w:style w:type="character" w:styleId="WW8Num4z7" w:customStyle="1">
    <w:name w:val="WW8Num4z7"/>
    <w:qFormat/>
    <w:rsid w:val="00917c84"/>
    <w:rPr/>
  </w:style>
  <w:style w:type="character" w:styleId="Fontepargpadro">
    <w:name w:val="Fonte parág. padrão"/>
    <w:qFormat/>
    <w:rPr/>
  </w:style>
  <w:style w:type="character" w:styleId="InternetLink1">
    <w:name w:val="Internet Link1"/>
    <w:qFormat/>
    <w:rPr>
      <w:color w:val="000080"/>
      <w:u w:val="single"/>
    </w:rPr>
  </w:style>
  <w:style w:type="character" w:styleId="Strong">
    <w:name w:val="Strong"/>
    <w:qFormat/>
    <w:rPr>
      <w:b/>
      <w:bCs/>
    </w:rPr>
  </w:style>
  <w:style w:type="character" w:styleId="Hyperlink">
    <w:name w:val="Hyperlink"/>
    <w:rPr>
      <w:color w:val="000080"/>
      <w:u w:val="single"/>
    </w:rPr>
  </w:style>
  <w:style w:type="character" w:styleId="DefaultParagraphFont1">
    <w:name w:val="Default Paragraph Font1"/>
    <w:qFormat/>
    <w:rPr/>
  </w:style>
  <w:style w:type="character" w:styleId="Markedcontent">
    <w:name w:val="markedcontent"/>
    <w:basedOn w:val="DefaultParagraphFont1"/>
    <w:qFormat/>
    <w:rPr/>
  </w:style>
  <w:style w:type="character" w:styleId="CabealhoChar">
    <w:name w:val="Cabeçalho Char"/>
    <w:qFormat/>
    <w:rPr>
      <w:rFonts w:ascii="Times New Roman" w:hAnsi="Times New Roman" w:eastAsia="Times New Roman" w:cs="Times New Roman"/>
      <w:color w:val="000000"/>
      <w:szCs w:val="24"/>
    </w:rPr>
  </w:style>
  <w:style w:type="character" w:styleId="TextodebaloChar">
    <w:name w:val="Texto de balão Char"/>
    <w:qFormat/>
    <w:rPr>
      <w:rFonts w:ascii="Tahoma" w:hAnsi="Tahoma" w:eastAsia="Times New Roman" w:cs="Mangal"/>
      <w:color w:val="000000"/>
      <w:sz w:val="16"/>
      <w:szCs w:val="14"/>
    </w:rPr>
  </w:style>
  <w:style w:type="character" w:styleId="RodapChar">
    <w:name w:val="Rodapé Char"/>
    <w:qFormat/>
    <w:rPr>
      <w:rFonts w:ascii="Times New Roman" w:hAnsi="Times New Roman" w:eastAsia="Times New Roman" w:cs="Mangal"/>
      <w:color w:val="000000"/>
      <w:szCs w:val="21"/>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style>
  <w:style w:type="paragraph" w:styleId="Title">
    <w:name w:val="Title"/>
    <w:basedOn w:val="Normal"/>
    <w:next w:val="BodyText"/>
    <w:uiPriority w:val="10"/>
    <w:qFormat/>
    <w:pPr>
      <w:keepNext w:val="true"/>
      <w:spacing w:before="240" w:after="120"/>
    </w:pPr>
    <w:rPr>
      <w:rFonts w:ascii="Liberation Sans" w:hAnsi="Liberation Sans" w:eastAsia="Microsoft YaHei"/>
      <w:sz w:val="28"/>
      <w:szCs w:val="28"/>
    </w:rPr>
  </w:style>
  <w:style w:type="paragraph" w:styleId="Caption1">
    <w:name w:val="caption1"/>
    <w:basedOn w:val="Normal"/>
    <w:qFormat/>
    <w:pPr>
      <w:suppressLineNumbers/>
      <w:spacing w:before="120" w:after="120"/>
    </w:pPr>
    <w:rPr>
      <w:i/>
      <w:iCs/>
    </w:rPr>
  </w:style>
  <w:style w:type="paragraph" w:styleId="ListParagraph">
    <w:name w:val="List Paragraph"/>
    <w:basedOn w:val="Normal"/>
    <w:qFormat/>
    <w:pPr>
      <w:ind w:hanging="0" w:left="708"/>
    </w:pPr>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Cambria" w:hAnsi="Ecofont_Spranq_eco_Sans;Cambria" w:eastAsia="Calibri" w:cs="Times New Roman"/>
      <w:i/>
      <w:iCs/>
      <w:color w:val="000000"/>
    </w:rPr>
  </w:style>
  <w:style w:type="paragraph" w:styleId="Corpo" w:customStyle="1">
    <w:name w:val="Corpo"/>
    <w:qFormat/>
    <w:pPr>
      <w:widowControl/>
      <w:suppressAutoHyphens w:val="true"/>
      <w:bidi w:val="0"/>
      <w:spacing w:before="0" w:after="0"/>
      <w:jc w:val="left"/>
    </w:pPr>
    <w:rPr>
      <w:rFonts w:ascii="Times New Roman" w:hAnsi="Times New Roman" w:eastAsia="Times New Roman" w:cs="Times New Roman"/>
      <w:color w:val="000000"/>
      <w:kern w:val="2"/>
      <w:sz w:val="24"/>
      <w:szCs w:val="20"/>
      <w:lang w:val="pt-BR" w:eastAsia="zh-CN" w:bidi="ar-SA"/>
    </w:rPr>
  </w:style>
  <w:style w:type="paragraph" w:styleId="Tabela" w:customStyle="1">
    <w:name w:val="Tabela"/>
    <w:qFormat/>
    <w:pPr>
      <w:widowControl/>
      <w:suppressAutoHyphens w:val="true"/>
      <w:bidi w:val="0"/>
      <w:spacing w:before="0" w:after="0"/>
      <w:jc w:val="left"/>
    </w:pPr>
    <w:rPr>
      <w:rFonts w:ascii="Times New Roman" w:hAnsi="Times New Roman" w:eastAsia="Times New Roman" w:cs="Times New Roman"/>
      <w:color w:val="000000"/>
      <w:kern w:val="2"/>
      <w:sz w:val="24"/>
      <w:szCs w:val="20"/>
      <w:lang w:val="pt-BR" w:eastAsia="zh-CN" w:bidi="ar-SA"/>
    </w:rPr>
  </w:style>
  <w:style w:type="paragraph" w:styleId="Default" w:customStyle="1">
    <w:name w:val="Default"/>
    <w:qFormat/>
    <w:pPr>
      <w:widowControl/>
      <w:suppressAutoHyphens w:val="true"/>
      <w:bidi w:val="0"/>
      <w:spacing w:before="0" w:after="0"/>
      <w:jc w:val="left"/>
    </w:pPr>
    <w:rPr>
      <w:rFonts w:ascii="Arial" w:hAnsi="Arial" w:eastAsia="Times New Roman" w:cs="Arial"/>
      <w:color w:val="000000"/>
      <w:kern w:val="2"/>
      <w:sz w:val="24"/>
      <w:szCs w:val="24"/>
      <w:lang w:val="pt-BR" w:eastAsia="zh-CN" w:bidi="ar-SA"/>
    </w:rPr>
  </w:style>
  <w:style w:type="paragraph" w:styleId="Corpo1" w:customStyle="1">
    <w:name w:val="corpo1"/>
    <w:basedOn w:val="Normal"/>
    <w:qFormat/>
    <w:pPr>
      <w:spacing w:before="280" w:after="280"/>
    </w:pPr>
    <w:rPr>
      <w:rFonts w:ascii="Times New Roman" w:hAnsi="Times New Roman" w:cs="Times New Roman"/>
    </w:rPr>
  </w:style>
  <w:style w:type="paragraph" w:styleId="NormalWeb">
    <w:name w:val="Normal (Web)"/>
    <w:basedOn w:val="Normal"/>
    <w:qFormat/>
    <w:pPr>
      <w:spacing w:before="280" w:after="280"/>
    </w:pPr>
    <w:rPr>
      <w:rFonts w:ascii="Times New Roman" w:hAnsi="Times New Roman" w:cs="Times New Roman"/>
    </w:rPr>
  </w:style>
  <w:style w:type="paragraph" w:styleId="Contedodatabela" w:customStyle="1">
    <w:name w:val="Conteúdo da tabela"/>
    <w:basedOn w:val="Normal"/>
    <w:qFormat/>
    <w:pPr>
      <w:suppressLineNumbers/>
    </w:pPr>
    <w:rPr/>
  </w:style>
  <w:style w:type="paragraph" w:styleId="Nivel1" w:customStyle="1">
    <w:name w:val="Nivel1"/>
    <w:basedOn w:val="Heading1"/>
    <w:link w:val="Nivel1Char"/>
    <w:qFormat/>
    <w:rsid w:val="00a7488d"/>
    <w:pPr>
      <w:suppressAutoHyphens w:val="false"/>
      <w:spacing w:lineRule="auto" w:line="276" w:before="480" w:after="0"/>
      <w:ind w:hanging="0" w:left="502"/>
      <w:jc w:val="both"/>
    </w:pPr>
    <w:rPr>
      <w:rFonts w:ascii="Arial" w:hAnsi="Arial" w:cs="Times New Roman"/>
      <w:b/>
      <w:color w:themeColor="accent1" w:themeShade="bf" w:val="000000"/>
      <w:kern w:val="0"/>
      <w:sz w:val="20"/>
      <w:szCs w:val="20"/>
      <w:lang w:eastAsia="pt-BR" w:bidi="ar-SA"/>
    </w:rPr>
  </w:style>
  <w:style w:type="paragraph" w:styleId="ListBullet5">
    <w:name w:val="List Bullet 5"/>
    <w:basedOn w:val="Normal"/>
    <w:qFormat/>
    <w:rsid w:val="00e10930"/>
    <w:pPr>
      <w:suppressAutoHyphens w:val="false"/>
      <w:spacing w:before="0" w:after="0"/>
      <w:contextualSpacing/>
    </w:pPr>
    <w:rPr>
      <w:rFonts w:ascii="Arial" w:hAnsi="Arial" w:eastAsia="Times New Roman" w:cs="Tahoma"/>
      <w:kern w:val="0"/>
      <w:sz w:val="20"/>
      <w:lang w:eastAsia="pt-BR" w:bidi="ar-SA"/>
    </w:rPr>
  </w:style>
  <w:style w:type="paragraph" w:styleId="LO-normal" w:customStyle="1">
    <w:name w:val="LO-normal"/>
    <w:qFormat/>
    <w:pPr>
      <w:widowControl w:val="false"/>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tulodetabela" w:customStyle="1">
    <w:name w:val="Título de tabela"/>
    <w:basedOn w:val="Contedodatabela"/>
    <w:qFormat/>
    <w:pPr>
      <w:jc w:val="center"/>
    </w:pPr>
    <w:rPr>
      <w:b/>
      <w:bC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suppressLineNumbers/>
      <w:tabs>
        <w:tab w:val="clear" w:pos="709"/>
        <w:tab w:val="center" w:pos="4819" w:leader="none"/>
        <w:tab w:val="right" w:pos="9638" w:leader="none"/>
      </w:tabs>
    </w:pPr>
    <w:rPr/>
  </w:style>
  <w:style w:type="paragraph" w:styleId="Footer">
    <w:name w:val="Footer"/>
    <w:basedOn w:val="Normal"/>
    <w:pPr>
      <w:suppressLineNumbers/>
      <w:tabs>
        <w:tab w:val="clear" w:pos="709"/>
        <w:tab w:val="center" w:pos="4819" w:leader="none"/>
        <w:tab w:val="right" w:pos="9638" w:leader="none"/>
      </w:tabs>
    </w:pPr>
    <w:rPr/>
  </w:style>
  <w:style w:type="paragraph" w:styleId="Rodap1" w:customStyle="1">
    <w:name w:val="Rodapé1"/>
    <w:basedOn w:val="Normal"/>
    <w:qFormat/>
    <w:pPr/>
    <w:rPr>
      <w:rFonts w:ascii="Ecofont_Spranq_eco_Sans;Cambria" w:hAnsi="Ecofont_Spranq_eco_Sans;Cambria" w:eastAsia="Times New Roman" w:cs="Times New Roman"/>
      <w:lang w:bidi="ar-SA"/>
    </w:rPr>
  </w:style>
  <w:style w:type="paragraph" w:styleId="PargrafodaLista2" w:customStyle="1">
    <w:name w:val="Parágrafo da Lista2"/>
    <w:basedOn w:val="Normal"/>
    <w:qFormat/>
    <w:rsid w:val="00f50e55"/>
    <w:pPr>
      <w:spacing w:before="0" w:after="0"/>
      <w:ind w:hanging="0" w:left="720"/>
      <w:contextualSpacing/>
    </w:pPr>
    <w:rPr>
      <w:rFonts w:ascii="Times New Roman" w:hAnsi="Times New Roman" w:eastAsia="Times New Roman" w:cs="Times New Roman"/>
      <w:kern w:val="0"/>
      <w:lang w:bidi="ar-SA"/>
    </w:rPr>
  </w:style>
  <w:style w:type="paragraph" w:styleId="TableParagraph">
    <w:name w:val="Table Paragraph"/>
    <w:basedOn w:val="Normal"/>
    <w:qFormat/>
    <w:pPr/>
    <w:rPr>
      <w:rFonts w:ascii="Times New Roman" w:hAnsi="Times New Roman" w:eastAsia="Times New Roman" w:cs="Times New Roman"/>
      <w:color w:val="000000"/>
      <w:lang w:val="pt-PT" w:eastAsia="en-US" w:bidi="ar-SA"/>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en-US"/>
    </w:rPr>
  </w:style>
  <w:style w:type="paragraph" w:styleId="Cabealho1">
    <w:name w:val="Cabeçalho1"/>
    <w:basedOn w:val="Normal"/>
    <w:qFormat/>
    <w:pPr>
      <w:widowControl/>
      <w:tabs>
        <w:tab w:val="clear" w:pos="709"/>
        <w:tab w:val="center" w:pos="4252" w:leader="none"/>
        <w:tab w:val="right" w:pos="8504" w:leader="none"/>
      </w:tabs>
    </w:pPr>
    <w:rPr>
      <w:rFonts w:ascii="Times New Roman" w:hAnsi="Times New Roman" w:eastAsia="Times New Roman" w:cs="Times New Roman"/>
      <w:color w:val="000000"/>
    </w:rPr>
  </w:style>
  <w:style w:type="paragraph" w:styleId="BalloonText">
    <w:name w:val="Balloon Text"/>
    <w:basedOn w:val="Normal"/>
    <w:qFormat/>
    <w:pPr/>
    <w:rPr>
      <w:rFonts w:ascii="Tahoma" w:hAnsi="Tahoma" w:cs="Mangal"/>
      <w:color w:val="000000"/>
      <w:sz w:val="16"/>
      <w:szCs w:val="14"/>
    </w:rPr>
  </w:style>
  <w:style w:type="numbering" w:styleId="Semlista" w:default="1">
    <w:name w:val="Sem lista"/>
    <w:uiPriority w:val="99"/>
    <w:semiHidden/>
    <w:unhideWhenUsed/>
    <w:qFormat/>
  </w:style>
  <w:style w:type="numbering" w:styleId="WW8Num6" w:customStyle="1">
    <w:name w:val="WW8Num6"/>
    <w:qFormat/>
  </w:style>
  <w:style w:type="numbering" w:styleId="WW8Num4" w:customStyle="1">
    <w:name w:val="WW8Num4"/>
    <w:qFormat/>
  </w:style>
  <w:style w:type="numbering" w:styleId="WW8Num3" w:customStyle="1">
    <w:name w:val="WW8Num3"/>
    <w:qFormat/>
  </w:style>
  <w:style w:type="numbering" w:styleId="WW8Num7" w:customStyle="1">
    <w:name w:val="WW8Num7"/>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63b3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rsid w:val="00294a43"/>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5C85C-2367-4310-BCF7-592C66402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2156</TotalTime>
  <Application>LibreOffice/7.6.0.3$Windows_X86_64 LibreOffice_project/69edd8b8ebc41d00b4de3915dc82f8f0fc3b6265</Application>
  <AppVersion>15.0000</AppVersion>
  <Pages>16</Pages>
  <Words>4970</Words>
  <Characters>28298</Characters>
  <CharactersWithSpaces>33269</CharactersWithSpaces>
  <Paragraphs>211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Marília Albuquerque</dc:creator>
  <dc:description/>
  <dc:language>pt-BR</dc:language>
  <cp:lastModifiedBy/>
  <dcterms:modified xsi:type="dcterms:W3CDTF">2025-08-11T14:59:17Z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