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AC19A" w14:textId="77777777" w:rsidR="00A37E29" w:rsidRDefault="00A37E29" w:rsidP="00A37E29">
      <w:pPr>
        <w:pStyle w:val="Ttulo"/>
        <w:jc w:val="both"/>
      </w:pPr>
      <w:r>
        <w:t>PEDIDO DE ESCLARECIMENTOS – EDITAL Nº 10/2026 – CM GRANPAL</w:t>
      </w:r>
    </w:p>
    <w:p w14:paraId="10FF1F4C" w14:textId="77777777" w:rsidR="00A37E29" w:rsidRPr="00A37E29" w:rsidRDefault="00A37E29" w:rsidP="00A37E29"/>
    <w:p w14:paraId="5781E0F9" w14:textId="77777777" w:rsidR="00A37E29" w:rsidRPr="00A37E29" w:rsidRDefault="00A37E29" w:rsidP="00A37E29">
      <w:pPr>
        <w:spacing w:after="0" w:line="360" w:lineRule="auto"/>
        <w:rPr>
          <w:sz w:val="24"/>
          <w:szCs w:val="24"/>
        </w:rPr>
      </w:pPr>
      <w:r>
        <w:t xml:space="preserve">À </w:t>
      </w:r>
      <w:r w:rsidRPr="00A37E29">
        <w:rPr>
          <w:sz w:val="24"/>
          <w:szCs w:val="24"/>
        </w:rPr>
        <w:t>Comissão de Licitação,</w:t>
      </w:r>
      <w:r>
        <w:br/>
      </w:r>
    </w:p>
    <w:p w14:paraId="2CA09ADC" w14:textId="0B46A610" w:rsidR="00A37E29" w:rsidRPr="00A37E29" w:rsidRDefault="00A37E29" w:rsidP="00A37E29">
      <w:pPr>
        <w:spacing w:after="0" w:line="360" w:lineRule="auto"/>
        <w:rPr>
          <w:sz w:val="24"/>
          <w:szCs w:val="24"/>
        </w:rPr>
      </w:pPr>
      <w:r w:rsidRPr="00A37E29">
        <w:rPr>
          <w:sz w:val="24"/>
          <w:szCs w:val="24"/>
        </w:rPr>
        <w:t>Com base na análise do Edital nº 10/2026 e seus anexos, especialmente o Termo de Referência e as Composições de Preços Referenciais, apresentamos os</w:t>
      </w:r>
      <w:r>
        <w:rPr>
          <w:sz w:val="24"/>
          <w:szCs w:val="24"/>
        </w:rPr>
        <w:t xml:space="preserve"> s</w:t>
      </w:r>
      <w:r w:rsidRPr="00A37E29">
        <w:rPr>
          <w:sz w:val="24"/>
          <w:szCs w:val="24"/>
        </w:rPr>
        <w:t>eguintes</w:t>
      </w:r>
      <w:r>
        <w:rPr>
          <w:sz w:val="24"/>
          <w:szCs w:val="24"/>
        </w:rPr>
        <w:t xml:space="preserve"> </w:t>
      </w:r>
      <w:r w:rsidRPr="00A37E29">
        <w:rPr>
          <w:sz w:val="24"/>
          <w:szCs w:val="24"/>
        </w:rPr>
        <w:t>pedidos de esclarecimentos:</w:t>
      </w:r>
      <w:r w:rsidRPr="00A37E29">
        <w:rPr>
          <w:sz w:val="24"/>
          <w:szCs w:val="24"/>
        </w:rPr>
        <w:br/>
      </w:r>
    </w:p>
    <w:p w14:paraId="0BA0C6C9" w14:textId="77777777" w:rsidR="00A37E29" w:rsidRDefault="00A37E29" w:rsidP="00A37E29">
      <w:pPr>
        <w:spacing w:after="0" w:line="360" w:lineRule="auto"/>
        <w:rPr>
          <w:sz w:val="24"/>
          <w:szCs w:val="24"/>
        </w:rPr>
      </w:pPr>
    </w:p>
    <w:p w14:paraId="60359179" w14:textId="77777777" w:rsidR="00A37E29" w:rsidRDefault="00A37E29" w:rsidP="00A37E29">
      <w:pPr>
        <w:spacing w:after="0" w:line="360" w:lineRule="auto"/>
        <w:rPr>
          <w:sz w:val="24"/>
          <w:szCs w:val="24"/>
        </w:rPr>
      </w:pPr>
    </w:p>
    <w:p w14:paraId="258BB6B3" w14:textId="31F6B2C9" w:rsidR="00FC1CB4" w:rsidRDefault="000824D0">
      <w:pPr>
        <w:rPr>
          <w:sz w:val="24"/>
          <w:szCs w:val="24"/>
        </w:rPr>
      </w:pPr>
      <w:r w:rsidRPr="000824D0">
        <w:rPr>
          <w:sz w:val="24"/>
          <w:szCs w:val="24"/>
        </w:rPr>
        <w:t>Sobre o Anexo D- Composições – Preços Referenciais</w:t>
      </w:r>
    </w:p>
    <w:p w14:paraId="1638BC35" w14:textId="77777777" w:rsidR="00E07BCC" w:rsidRDefault="00E07BCC">
      <w:pPr>
        <w:rPr>
          <w:sz w:val="24"/>
          <w:szCs w:val="24"/>
        </w:rPr>
      </w:pPr>
    </w:p>
    <w:p w14:paraId="1DA82CF7" w14:textId="41D8AFC4" w:rsidR="00E07BCC" w:rsidRPr="00A37E29" w:rsidRDefault="00E07BCC" w:rsidP="00A37E29">
      <w:pPr>
        <w:pStyle w:val="PargrafodaLista"/>
        <w:numPr>
          <w:ilvl w:val="0"/>
          <w:numId w:val="2"/>
        </w:numPr>
        <w:rPr>
          <w:b/>
          <w:bCs/>
          <w:sz w:val="24"/>
          <w:szCs w:val="24"/>
        </w:rPr>
      </w:pPr>
      <w:r w:rsidRPr="00A37E29">
        <w:rPr>
          <w:b/>
          <w:bCs/>
          <w:sz w:val="24"/>
          <w:szCs w:val="24"/>
        </w:rPr>
        <w:t>TAPA BURACO</w:t>
      </w:r>
    </w:p>
    <w:p w14:paraId="0EE5AC76" w14:textId="77777777" w:rsidR="000824D0" w:rsidRPr="000824D0" w:rsidRDefault="000824D0" w:rsidP="00C54775">
      <w:pPr>
        <w:spacing w:after="0" w:line="360" w:lineRule="auto"/>
        <w:rPr>
          <w:sz w:val="24"/>
          <w:szCs w:val="24"/>
        </w:rPr>
      </w:pPr>
    </w:p>
    <w:p w14:paraId="0FEB3187" w14:textId="41FB9565" w:rsidR="000824D0" w:rsidRDefault="000824D0" w:rsidP="00FB5F15">
      <w:pPr>
        <w:spacing w:after="0" w:line="360" w:lineRule="auto"/>
        <w:ind w:firstLine="709"/>
        <w:jc w:val="both"/>
        <w:rPr>
          <w:sz w:val="24"/>
          <w:szCs w:val="24"/>
        </w:rPr>
      </w:pPr>
      <w:r w:rsidRPr="000824D0">
        <w:rPr>
          <w:sz w:val="24"/>
          <w:szCs w:val="24"/>
        </w:rPr>
        <w:t xml:space="preserve">A administração utiliza </w:t>
      </w:r>
      <w:r>
        <w:rPr>
          <w:sz w:val="24"/>
          <w:szCs w:val="24"/>
        </w:rPr>
        <w:t xml:space="preserve">na composição do item 1 _ Execução de Serviços de Tapa Buraco o item da SINAPI – 104364 - </w:t>
      </w:r>
      <w:r w:rsidRPr="000824D0">
        <w:rPr>
          <w:sz w:val="24"/>
          <w:szCs w:val="24"/>
        </w:rPr>
        <w:t>EXECUÇÃO DE TAPA</w:t>
      </w:r>
      <w:r>
        <w:rPr>
          <w:sz w:val="24"/>
          <w:szCs w:val="24"/>
        </w:rPr>
        <w:t xml:space="preserve"> </w:t>
      </w:r>
      <w:r w:rsidRPr="000824D0">
        <w:rPr>
          <w:sz w:val="24"/>
          <w:szCs w:val="24"/>
        </w:rPr>
        <w:t>BURACO COM APLICAÇÃO</w:t>
      </w:r>
      <w:r>
        <w:rPr>
          <w:sz w:val="24"/>
          <w:szCs w:val="24"/>
        </w:rPr>
        <w:t xml:space="preserve"> </w:t>
      </w:r>
      <w:r w:rsidRPr="000824D0">
        <w:rPr>
          <w:sz w:val="24"/>
          <w:szCs w:val="24"/>
        </w:rPr>
        <w:t>DE CONCRETO ASFÁLTICO</w:t>
      </w:r>
      <w:r>
        <w:rPr>
          <w:sz w:val="24"/>
          <w:szCs w:val="24"/>
        </w:rPr>
        <w:t xml:space="preserve"> </w:t>
      </w:r>
      <w:r w:rsidRPr="000824D0">
        <w:rPr>
          <w:sz w:val="24"/>
          <w:szCs w:val="24"/>
        </w:rPr>
        <w:t>(USINAGEM PRÓPRIA) E</w:t>
      </w:r>
      <w:r>
        <w:rPr>
          <w:sz w:val="24"/>
          <w:szCs w:val="24"/>
        </w:rPr>
        <w:t xml:space="preserve"> </w:t>
      </w:r>
      <w:r w:rsidRPr="000824D0">
        <w:rPr>
          <w:sz w:val="24"/>
          <w:szCs w:val="24"/>
        </w:rPr>
        <w:t>PINTURA DE LIGAÇÃO.</w:t>
      </w:r>
      <w:r w:rsidR="00C54775">
        <w:rPr>
          <w:sz w:val="24"/>
          <w:szCs w:val="24"/>
        </w:rPr>
        <w:t xml:space="preserve"> Ocorre</w:t>
      </w:r>
      <w:r w:rsidR="00FB5F15">
        <w:rPr>
          <w:sz w:val="24"/>
          <w:szCs w:val="24"/>
        </w:rPr>
        <w:t>,</w:t>
      </w:r>
      <w:r w:rsidR="00C54775">
        <w:rPr>
          <w:sz w:val="24"/>
          <w:szCs w:val="24"/>
        </w:rPr>
        <w:t xml:space="preserve"> que a utilização dessa composição contradiz o </w:t>
      </w:r>
      <w:r w:rsidR="00FB5F15">
        <w:rPr>
          <w:sz w:val="24"/>
          <w:szCs w:val="24"/>
        </w:rPr>
        <w:t xml:space="preserve">Anexo I - Termo de Referência, uma vez que este diz no item 5- Descrição dos Serviços o seguinte: “ </w:t>
      </w:r>
      <w:r w:rsidR="00FB5F15" w:rsidRPr="00FB5F15">
        <w:rPr>
          <w:sz w:val="24"/>
          <w:szCs w:val="24"/>
        </w:rPr>
        <w:t>O CBUQ necessário à execução dos serviços (faixas III ou IV, conforme especificações do DER/RS),</w:t>
      </w:r>
      <w:r w:rsidR="00FB5F15">
        <w:rPr>
          <w:sz w:val="24"/>
          <w:szCs w:val="24"/>
        </w:rPr>
        <w:t xml:space="preserve"> </w:t>
      </w:r>
      <w:r w:rsidR="00FB5F15" w:rsidRPr="00FB5F15">
        <w:rPr>
          <w:sz w:val="24"/>
          <w:szCs w:val="24"/>
        </w:rPr>
        <w:t>bem como os materiais complementares, incluindo emulsão asfáltica RR-2C, brita 1, brita 2 ou</w:t>
      </w:r>
      <w:r w:rsidR="00FB5F15">
        <w:rPr>
          <w:sz w:val="24"/>
          <w:szCs w:val="24"/>
        </w:rPr>
        <w:t xml:space="preserve"> </w:t>
      </w:r>
      <w:r w:rsidR="00FB5F15" w:rsidRPr="00FB5F15">
        <w:rPr>
          <w:sz w:val="24"/>
          <w:szCs w:val="24"/>
        </w:rPr>
        <w:t xml:space="preserve">material fresado (RAP), deverão ser </w:t>
      </w:r>
      <w:r w:rsidR="00FB5F15" w:rsidRPr="0016106B">
        <w:rPr>
          <w:b/>
          <w:bCs/>
          <w:sz w:val="24"/>
          <w:szCs w:val="24"/>
        </w:rPr>
        <w:t>integralmente fornecidos pela empresa credenciada</w:t>
      </w:r>
      <w:r w:rsidR="00FB5F15">
        <w:rPr>
          <w:sz w:val="24"/>
          <w:szCs w:val="24"/>
        </w:rPr>
        <w:t>” , já a composição não contempla o fornecimento do CAP, vejamos</w:t>
      </w:r>
      <w:r w:rsidR="00561463">
        <w:rPr>
          <w:sz w:val="24"/>
          <w:szCs w:val="24"/>
        </w:rPr>
        <w:t xml:space="preserve"> a composição do item em referência:</w:t>
      </w:r>
    </w:p>
    <w:p w14:paraId="1C0D37A5" w14:textId="57405E25" w:rsidR="00561463" w:rsidRDefault="00561463" w:rsidP="00FB5F15">
      <w:pPr>
        <w:spacing w:after="0" w:line="360" w:lineRule="auto"/>
        <w:ind w:firstLine="709"/>
        <w:jc w:val="both"/>
        <w:rPr>
          <w:sz w:val="24"/>
          <w:szCs w:val="24"/>
        </w:rPr>
      </w:pPr>
    </w:p>
    <w:p w14:paraId="322EA56A" w14:textId="77777777" w:rsidR="00FB5F15" w:rsidRDefault="00FB5F15" w:rsidP="00FB5F15">
      <w:pPr>
        <w:spacing w:after="0" w:line="360" w:lineRule="auto"/>
        <w:ind w:firstLine="709"/>
        <w:jc w:val="both"/>
        <w:rPr>
          <w:sz w:val="24"/>
          <w:szCs w:val="24"/>
        </w:rPr>
      </w:pPr>
    </w:p>
    <w:p w14:paraId="29A98398" w14:textId="5205EBF5" w:rsidR="00FB5F15" w:rsidRDefault="00561463" w:rsidP="00561463">
      <w:pPr>
        <w:spacing w:after="0" w:line="360" w:lineRule="auto"/>
        <w:ind w:firstLine="284"/>
        <w:jc w:val="both"/>
        <w:rPr>
          <w:sz w:val="24"/>
          <w:szCs w:val="24"/>
        </w:rPr>
      </w:pPr>
      <w:r w:rsidRPr="00561463">
        <w:rPr>
          <w:noProof/>
          <w:sz w:val="24"/>
          <w:szCs w:val="24"/>
        </w:rPr>
        <w:lastRenderedPageBreak/>
        <w:drawing>
          <wp:inline distT="0" distB="0" distL="0" distR="0" wp14:anchorId="483A01C0" wp14:editId="3B6CF67C">
            <wp:extent cx="5400040" cy="3778885"/>
            <wp:effectExtent l="0" t="0" r="0" b="0"/>
            <wp:docPr id="197443762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43762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778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205464" w14:textId="77777777" w:rsidR="00561463" w:rsidRDefault="00561463" w:rsidP="00561463">
      <w:pPr>
        <w:rPr>
          <w:sz w:val="24"/>
          <w:szCs w:val="24"/>
        </w:rPr>
      </w:pPr>
    </w:p>
    <w:p w14:paraId="0A6DE8E2" w14:textId="2079006E" w:rsidR="00561463" w:rsidRDefault="00561463" w:rsidP="00561463">
      <w:pPr>
        <w:spacing w:after="0"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Ao analisarmos a composição do item destacado em amarelo que </w:t>
      </w:r>
      <w:r w:rsidR="0016106B">
        <w:rPr>
          <w:sz w:val="24"/>
          <w:szCs w:val="24"/>
        </w:rPr>
        <w:t>se refere</w:t>
      </w:r>
      <w:r>
        <w:rPr>
          <w:sz w:val="24"/>
          <w:szCs w:val="24"/>
        </w:rPr>
        <w:t xml:space="preserve"> a composição de usinagem própria, verificamos o seguinte:</w:t>
      </w:r>
    </w:p>
    <w:p w14:paraId="65FB7572" w14:textId="77777777" w:rsidR="00561463" w:rsidRDefault="00561463" w:rsidP="00561463">
      <w:pPr>
        <w:spacing w:after="0" w:line="360" w:lineRule="auto"/>
        <w:ind w:firstLine="709"/>
        <w:rPr>
          <w:sz w:val="24"/>
          <w:szCs w:val="24"/>
        </w:rPr>
      </w:pPr>
    </w:p>
    <w:p w14:paraId="50E1CD77" w14:textId="06961034" w:rsidR="00561463" w:rsidRDefault="005C2CEB" w:rsidP="00561463">
      <w:pPr>
        <w:spacing w:after="0"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São Paulo, 01 de abril de 2026</w:t>
      </w:r>
    </w:p>
    <w:p w14:paraId="627B96F7" w14:textId="77777777" w:rsidR="005C2CEB" w:rsidRDefault="005C2CEB" w:rsidP="00561463">
      <w:pPr>
        <w:spacing w:after="0" w:line="360" w:lineRule="auto"/>
        <w:ind w:firstLine="709"/>
        <w:rPr>
          <w:sz w:val="24"/>
          <w:szCs w:val="24"/>
        </w:rPr>
      </w:pPr>
    </w:p>
    <w:p w14:paraId="76F259BD" w14:textId="77777777" w:rsidR="005C2CEB" w:rsidRDefault="005C2CEB" w:rsidP="00561463">
      <w:pPr>
        <w:spacing w:after="0" w:line="360" w:lineRule="auto"/>
        <w:ind w:firstLine="709"/>
        <w:rPr>
          <w:sz w:val="24"/>
          <w:szCs w:val="24"/>
        </w:rPr>
      </w:pPr>
    </w:p>
    <w:p w14:paraId="529BCF0F" w14:textId="77777777" w:rsidR="005C2CEB" w:rsidRDefault="005C2CEB" w:rsidP="00561463">
      <w:pPr>
        <w:spacing w:after="0" w:line="360" w:lineRule="auto"/>
        <w:ind w:firstLine="709"/>
        <w:rPr>
          <w:sz w:val="24"/>
          <w:szCs w:val="24"/>
        </w:rPr>
      </w:pPr>
    </w:p>
    <w:p w14:paraId="051BC5E9" w14:textId="77777777" w:rsidR="005C2CEB" w:rsidRDefault="005C2CEB" w:rsidP="00561463">
      <w:pPr>
        <w:spacing w:after="0" w:line="360" w:lineRule="auto"/>
        <w:ind w:firstLine="709"/>
        <w:rPr>
          <w:sz w:val="24"/>
          <w:szCs w:val="24"/>
        </w:rPr>
      </w:pPr>
    </w:p>
    <w:p w14:paraId="2C5C0601" w14:textId="677C28B4" w:rsidR="00561463" w:rsidRDefault="00561463" w:rsidP="00F0352F">
      <w:pPr>
        <w:spacing w:after="0" w:line="240" w:lineRule="auto"/>
        <w:rPr>
          <w:sz w:val="24"/>
          <w:szCs w:val="24"/>
        </w:rPr>
      </w:pPr>
      <w:r w:rsidRPr="00561463">
        <w:rPr>
          <w:noProof/>
          <w:sz w:val="24"/>
          <w:szCs w:val="24"/>
        </w:rPr>
        <w:lastRenderedPageBreak/>
        <w:drawing>
          <wp:inline distT="0" distB="0" distL="0" distR="0" wp14:anchorId="02CE432B" wp14:editId="17D5AD15">
            <wp:extent cx="5880688" cy="4762500"/>
            <wp:effectExtent l="0" t="0" r="6350" b="0"/>
            <wp:docPr id="193483638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483638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83808" cy="4765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A093CA" w14:textId="77777777" w:rsidR="00561463" w:rsidRDefault="00561463" w:rsidP="00561463">
      <w:pPr>
        <w:rPr>
          <w:sz w:val="24"/>
          <w:szCs w:val="24"/>
        </w:rPr>
      </w:pPr>
    </w:p>
    <w:p w14:paraId="5A067A2C" w14:textId="3569B908" w:rsidR="00561463" w:rsidRDefault="00561463" w:rsidP="0016106B">
      <w:pPr>
        <w:spacing w:after="0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Verifica-se nessa composição que o fornecimento do CAP não está incluso, desta forma o fornecimento </w:t>
      </w:r>
      <w:r w:rsidR="0016106B">
        <w:rPr>
          <w:sz w:val="24"/>
          <w:szCs w:val="24"/>
        </w:rPr>
        <w:t xml:space="preserve">do CBUQ conforme TR, </w:t>
      </w:r>
      <w:r w:rsidR="00784F14" w:rsidRPr="00784F14">
        <w:rPr>
          <w:sz w:val="24"/>
          <w:szCs w:val="24"/>
        </w:rPr>
        <w:t>não está devidamente contemplado, resultando em inconsistência no orçamento estimativo.</w:t>
      </w:r>
    </w:p>
    <w:p w14:paraId="1643D5E2" w14:textId="4ACBFE8B" w:rsidR="00784F14" w:rsidRDefault="00784F14" w:rsidP="0016106B">
      <w:pPr>
        <w:spacing w:after="0" w:line="360" w:lineRule="auto"/>
        <w:ind w:firstLine="709"/>
        <w:jc w:val="both"/>
        <w:rPr>
          <w:sz w:val="24"/>
          <w:szCs w:val="24"/>
        </w:rPr>
      </w:pPr>
      <w:r w:rsidRPr="00784F14">
        <w:rPr>
          <w:sz w:val="24"/>
          <w:szCs w:val="24"/>
        </w:rPr>
        <w:t>Ademais, a escolha da composição 104364 mostra-se inadequada por diversos fatores, comprometendo a viabilidade da contratação, conforme exposto a seguir</w:t>
      </w:r>
    </w:p>
    <w:p w14:paraId="7C06ADA1" w14:textId="3E128778" w:rsidR="00784F14" w:rsidRDefault="00D33F0C" w:rsidP="00D74471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sz w:val="24"/>
          <w:szCs w:val="24"/>
        </w:rPr>
      </w:pPr>
      <w:r w:rsidRPr="00784F14">
        <w:rPr>
          <w:sz w:val="24"/>
          <w:szCs w:val="24"/>
        </w:rPr>
        <w:t xml:space="preserve">A utilização de usina móvel </w:t>
      </w:r>
      <w:r w:rsidR="00784F14" w:rsidRPr="00784F14">
        <w:rPr>
          <w:sz w:val="24"/>
          <w:szCs w:val="24"/>
        </w:rPr>
        <w:t>implica a necessidade de</w:t>
      </w:r>
      <w:r w:rsidRPr="00784F14">
        <w:rPr>
          <w:sz w:val="24"/>
          <w:szCs w:val="24"/>
        </w:rPr>
        <w:t xml:space="preserve"> licenciamento ambiental, por tratar-se de atividade potencialmente poluidora</w:t>
      </w:r>
      <w:r w:rsidR="00784F14">
        <w:t xml:space="preserve">. </w:t>
      </w:r>
      <w:r w:rsidR="00784F14" w:rsidRPr="00784F14">
        <w:rPr>
          <w:sz w:val="24"/>
          <w:szCs w:val="24"/>
        </w:rPr>
        <w:t>Considerando que o objeto da contratação envolve serviços pulverizados, com execução em diversos municípios consorciados, a obtenção de licenciamento ambiental para múltiplas instalações torna-se, na prática, inviável do ponto de vista operacional e regulatório</w:t>
      </w:r>
    </w:p>
    <w:p w14:paraId="2EAFFB8F" w14:textId="37957718" w:rsidR="00D33F0C" w:rsidRPr="00784F14" w:rsidRDefault="00D33F0C" w:rsidP="00D74471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sz w:val="24"/>
          <w:szCs w:val="24"/>
        </w:rPr>
      </w:pPr>
      <w:r w:rsidRPr="00784F14">
        <w:rPr>
          <w:sz w:val="24"/>
          <w:szCs w:val="24"/>
        </w:rPr>
        <w:lastRenderedPageBreak/>
        <w:t>Os custos de mobilização e desmobilização da usina móvel não est</w:t>
      </w:r>
      <w:r w:rsidR="0039554B" w:rsidRPr="00784F14">
        <w:rPr>
          <w:sz w:val="24"/>
          <w:szCs w:val="24"/>
        </w:rPr>
        <w:t xml:space="preserve">ão </w:t>
      </w:r>
      <w:r w:rsidRPr="00784F14">
        <w:rPr>
          <w:sz w:val="24"/>
          <w:szCs w:val="24"/>
        </w:rPr>
        <w:t>considerado</w:t>
      </w:r>
      <w:r w:rsidR="0039554B" w:rsidRPr="00784F14">
        <w:rPr>
          <w:sz w:val="24"/>
          <w:szCs w:val="24"/>
        </w:rPr>
        <w:t>s</w:t>
      </w:r>
      <w:r w:rsidRPr="00784F14">
        <w:rPr>
          <w:sz w:val="24"/>
          <w:szCs w:val="24"/>
        </w:rPr>
        <w:t>;</w:t>
      </w:r>
    </w:p>
    <w:p w14:paraId="071CFFAF" w14:textId="4D9C3A91" w:rsidR="00D33F0C" w:rsidRDefault="00D33F0C" w:rsidP="00D33F0C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sz w:val="24"/>
          <w:szCs w:val="24"/>
        </w:rPr>
      </w:pPr>
      <w:r w:rsidRPr="00D33F0C">
        <w:rPr>
          <w:sz w:val="24"/>
          <w:szCs w:val="24"/>
        </w:rPr>
        <w:t>As usinas de asfalto comerciais (fixas), contam com sistemas mais avançados de automação e controle, garantindo assim maior precisão na dosagem dos materiais e uma mistura mais uniforme, resultando em asfalto de melhor qualidade</w:t>
      </w:r>
      <w:r w:rsidR="0039554B">
        <w:rPr>
          <w:sz w:val="24"/>
          <w:szCs w:val="24"/>
        </w:rPr>
        <w:t>.</w:t>
      </w:r>
    </w:p>
    <w:p w14:paraId="2FF265B9" w14:textId="5FB4900C" w:rsidR="00E07BCC" w:rsidRDefault="00784F14" w:rsidP="00E07BCC">
      <w:pPr>
        <w:pStyle w:val="PargrafodaLista"/>
        <w:spacing w:after="0" w:line="360" w:lineRule="auto"/>
        <w:ind w:left="1429"/>
        <w:jc w:val="both"/>
        <w:rPr>
          <w:sz w:val="24"/>
          <w:szCs w:val="24"/>
        </w:rPr>
      </w:pPr>
      <w:r w:rsidRPr="00784F14">
        <w:rPr>
          <w:sz w:val="24"/>
          <w:szCs w:val="24"/>
        </w:rPr>
        <w:t>A adoção da referida composição, aliada à premissa de utilização de usina móvel e à ausência de inclusão do CAP, resulta em orçamento estimativo subdimensionado. Tal cenário tende a atrair propostas inexequíveis, favorecendo a participação de empresas sem capacidade técnica e econômico-financeira adequada, o que frequentemente culmina na não conclusão dos serviços e eventual abandono contratual.</w:t>
      </w:r>
    </w:p>
    <w:p w14:paraId="76541302" w14:textId="77777777" w:rsidR="00784F14" w:rsidRDefault="00784F14" w:rsidP="00E07BCC">
      <w:pPr>
        <w:pStyle w:val="PargrafodaLista"/>
        <w:spacing w:after="0" w:line="360" w:lineRule="auto"/>
        <w:ind w:left="1429"/>
        <w:jc w:val="both"/>
        <w:rPr>
          <w:sz w:val="24"/>
          <w:szCs w:val="24"/>
        </w:rPr>
      </w:pPr>
    </w:p>
    <w:p w14:paraId="617D8F9B" w14:textId="4255CE38" w:rsidR="00E07BCC" w:rsidRDefault="00E07BCC" w:rsidP="00E07BCC">
      <w:pPr>
        <w:pStyle w:val="PargrafodaLista"/>
        <w:spacing w:line="360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O item mais indicado da SINAPI , que considera o fornecimento do CAP e a aquisição do asfalto em usina é o 104387 “</w:t>
      </w:r>
      <w:r w:rsidRPr="00E07BCC">
        <w:rPr>
          <w:sz w:val="24"/>
          <w:szCs w:val="24"/>
        </w:rPr>
        <w:t>EXECUÇÃO DE TAPA BURACO COM APLICAÇÃO DE CONCRETO ASFÁLTICO (AQUISIÇÃO EM USINA) E PINTURA DE LIGAÇÃO. AF_12/2020</w:t>
      </w:r>
      <w:r>
        <w:rPr>
          <w:sz w:val="24"/>
          <w:szCs w:val="24"/>
        </w:rPr>
        <w:t>”.</w:t>
      </w:r>
    </w:p>
    <w:p w14:paraId="3782D71F" w14:textId="77777777" w:rsidR="00E07BCC" w:rsidRDefault="00E07BCC" w:rsidP="00E07BCC">
      <w:pPr>
        <w:pStyle w:val="PargrafodaLista"/>
        <w:spacing w:line="360" w:lineRule="auto"/>
        <w:ind w:firstLine="851"/>
        <w:jc w:val="both"/>
        <w:rPr>
          <w:sz w:val="24"/>
          <w:szCs w:val="24"/>
        </w:rPr>
      </w:pPr>
    </w:p>
    <w:p w14:paraId="1E490550" w14:textId="6B6BF816" w:rsidR="00E07BCC" w:rsidRDefault="0030091C" w:rsidP="00E07BCC">
      <w:pPr>
        <w:pStyle w:val="PargrafodaLista"/>
        <w:spacing w:line="360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Ainda, sobre o serviço de tapa buraco, faz-se necessário verificar os índices utilizados na composição. </w:t>
      </w:r>
    </w:p>
    <w:p w14:paraId="41E8F3D2" w14:textId="77777777" w:rsidR="00784F14" w:rsidRPr="00784F14" w:rsidRDefault="00784F14" w:rsidP="00784F14">
      <w:pPr>
        <w:pStyle w:val="PargrafodaLista"/>
        <w:spacing w:line="360" w:lineRule="auto"/>
        <w:ind w:firstLine="851"/>
        <w:jc w:val="both"/>
        <w:rPr>
          <w:sz w:val="24"/>
          <w:szCs w:val="24"/>
        </w:rPr>
      </w:pPr>
      <w:r w:rsidRPr="00784F14">
        <w:rPr>
          <w:sz w:val="24"/>
          <w:szCs w:val="24"/>
        </w:rPr>
        <w:t>Como exemplo, cita-se o item E9520 – Caminhão com caçamba térmica com capacidade de 6 m³ – 136 kW, para o qual foi considerado o coeficiente de 0,05 h/tonelada. Tal parâmetro implica uma produtividade de 20 toneladas por hora de serviço executado.</w:t>
      </w:r>
      <w:r w:rsidR="0030091C">
        <w:rPr>
          <w:sz w:val="24"/>
          <w:szCs w:val="24"/>
        </w:rPr>
        <w:t xml:space="preserve"> </w:t>
      </w:r>
      <w:r w:rsidRPr="00784F14">
        <w:rPr>
          <w:sz w:val="24"/>
          <w:szCs w:val="24"/>
        </w:rPr>
        <w:t>Entretanto, verifica-se inconsistência ao confrontar esse índice com a capacidade operacional do equipamento. Considerando a capacidade volumétrica do caminhão (6 m³) e a densidade média do CBUQ (2,4 t/m³), obtém-se uma carga máxima aproximada de 14,40 toneladas por viagem.</w:t>
      </w:r>
    </w:p>
    <w:p w14:paraId="20DE9191" w14:textId="77777777" w:rsidR="00784F14" w:rsidRPr="00784F14" w:rsidRDefault="00784F14" w:rsidP="00784F14">
      <w:pPr>
        <w:pStyle w:val="PargrafodaLista"/>
        <w:spacing w:line="360" w:lineRule="auto"/>
        <w:ind w:firstLine="851"/>
        <w:jc w:val="both"/>
        <w:rPr>
          <w:sz w:val="24"/>
          <w:szCs w:val="24"/>
        </w:rPr>
      </w:pPr>
      <w:r w:rsidRPr="00784F14">
        <w:rPr>
          <w:sz w:val="24"/>
          <w:szCs w:val="24"/>
        </w:rPr>
        <w:t>Dessa forma, para atingir a produtividade de 20 t/h, seria necessário um ciclo operacional inferior a uma hora por viagem, desconsiderando etapas essenciais do serviço, tais como:</w:t>
      </w:r>
    </w:p>
    <w:p w14:paraId="15831CBA" w14:textId="67F96A22" w:rsidR="00784F14" w:rsidRPr="00784F14" w:rsidRDefault="00784F14" w:rsidP="00784F14">
      <w:pPr>
        <w:pStyle w:val="PargrafodaLista"/>
        <w:spacing w:line="360" w:lineRule="auto"/>
        <w:ind w:hanging="11"/>
        <w:rPr>
          <w:sz w:val="24"/>
          <w:szCs w:val="24"/>
        </w:rPr>
      </w:pPr>
      <w:r w:rsidRPr="00784F14">
        <w:rPr>
          <w:sz w:val="24"/>
          <w:szCs w:val="24"/>
        </w:rPr>
        <w:lastRenderedPageBreak/>
        <w:t>•</w:t>
      </w:r>
      <w:r>
        <w:rPr>
          <w:sz w:val="24"/>
          <w:szCs w:val="24"/>
        </w:rPr>
        <w:t xml:space="preserve"> </w:t>
      </w:r>
      <w:r w:rsidRPr="00784F14">
        <w:rPr>
          <w:sz w:val="24"/>
          <w:szCs w:val="24"/>
        </w:rPr>
        <w:t>deslocamento entre usina e frente de serviço;</w:t>
      </w:r>
      <w:r w:rsidRPr="00784F14">
        <w:rPr>
          <w:sz w:val="24"/>
          <w:szCs w:val="24"/>
        </w:rPr>
        <w:br/>
        <w:t>• corte e preparação da área (remoção de material deteriorado);</w:t>
      </w:r>
      <w:r w:rsidRPr="00784F14">
        <w:rPr>
          <w:sz w:val="24"/>
          <w:szCs w:val="24"/>
        </w:rPr>
        <w:br/>
        <w:t>• limpeza e aplicação de pintura de ligação;</w:t>
      </w:r>
      <w:r w:rsidRPr="00784F14">
        <w:rPr>
          <w:sz w:val="24"/>
          <w:szCs w:val="24"/>
        </w:rPr>
        <w:br/>
        <w:t>• lançamento e espalhamento do CBUQ;</w:t>
      </w:r>
      <w:r w:rsidRPr="00784F14">
        <w:rPr>
          <w:sz w:val="24"/>
          <w:szCs w:val="24"/>
        </w:rPr>
        <w:br/>
        <w:t>• compactação;</w:t>
      </w:r>
      <w:r w:rsidRPr="00784F14">
        <w:rPr>
          <w:sz w:val="24"/>
          <w:szCs w:val="24"/>
        </w:rPr>
        <w:br/>
        <w:t>• eventuais interrupções e deslocamentos entre pontos de intervenção.</w:t>
      </w:r>
    </w:p>
    <w:p w14:paraId="0D0ADCC1" w14:textId="77777777" w:rsidR="008B3E43" w:rsidRPr="008B3E43" w:rsidRDefault="008B3E43" w:rsidP="008B3E43">
      <w:pPr>
        <w:pStyle w:val="PargrafodaLista"/>
        <w:spacing w:line="360" w:lineRule="auto"/>
        <w:ind w:firstLine="851"/>
        <w:jc w:val="both"/>
        <w:rPr>
          <w:sz w:val="24"/>
          <w:szCs w:val="24"/>
        </w:rPr>
      </w:pPr>
      <w:r w:rsidRPr="008B3E43">
        <w:rPr>
          <w:sz w:val="24"/>
          <w:szCs w:val="24"/>
        </w:rPr>
        <w:t>Ressalta-se que os serviços de tapa-buraco possuem natureza tipicamente pulverizada, com múltiplos pontos de execução, o que reduz significativamente a produtividade efetiva das equipes e dos equipamentos envolvidos.</w:t>
      </w:r>
    </w:p>
    <w:p w14:paraId="45FB01E6" w14:textId="4BA6F20C" w:rsidR="0030091C" w:rsidRDefault="008B3E43" w:rsidP="0030091C">
      <w:pPr>
        <w:pStyle w:val="PargrafodaLista"/>
        <w:spacing w:line="360" w:lineRule="auto"/>
        <w:ind w:firstLine="851"/>
        <w:jc w:val="both"/>
        <w:rPr>
          <w:sz w:val="24"/>
          <w:szCs w:val="24"/>
        </w:rPr>
      </w:pPr>
      <w:r w:rsidRPr="008B3E43">
        <w:rPr>
          <w:sz w:val="24"/>
          <w:szCs w:val="24"/>
        </w:rPr>
        <w:t>Diante disso, conclui-se que o índice de produtividade adotado se encontra superdimensionado, não refletindo as condições reais de execução do serviço, o que pode resultar em subavaliação dos custos operacionais e, consequentemente, comprometer a exequibilidade do contrato.</w:t>
      </w:r>
      <w:r w:rsidR="00BB15F1">
        <w:rPr>
          <w:sz w:val="24"/>
          <w:szCs w:val="24"/>
        </w:rPr>
        <w:t xml:space="preserve"> </w:t>
      </w:r>
    </w:p>
    <w:p w14:paraId="7C903841" w14:textId="59394FE6" w:rsidR="000D221C" w:rsidRPr="000D221C" w:rsidRDefault="000D221C" w:rsidP="000D221C">
      <w:pPr>
        <w:pStyle w:val="PargrafodaLista"/>
        <w:spacing w:line="360" w:lineRule="auto"/>
        <w:ind w:firstLine="851"/>
        <w:jc w:val="both"/>
        <w:rPr>
          <w:sz w:val="24"/>
          <w:szCs w:val="24"/>
        </w:rPr>
      </w:pPr>
      <w:r w:rsidRPr="000D221C">
        <w:rPr>
          <w:sz w:val="24"/>
          <w:szCs w:val="24"/>
        </w:rPr>
        <w:t>Verifica-se inconsistência no índice de produtividade adotado para o item de fresagem. O valor utilizado de 20 m²/ton (0,05 ton/m²) corresponde, na prática, a uma relação entre área e volume (m² x m³), desconsiderando a densidade do material fresado.</w:t>
      </w:r>
    </w:p>
    <w:p w14:paraId="43CB1464" w14:textId="77777777" w:rsidR="000D221C" w:rsidRPr="000D221C" w:rsidRDefault="000D221C" w:rsidP="000D221C">
      <w:pPr>
        <w:pStyle w:val="PargrafodaLista"/>
        <w:spacing w:line="360" w:lineRule="auto"/>
        <w:ind w:firstLine="851"/>
        <w:jc w:val="both"/>
        <w:rPr>
          <w:sz w:val="24"/>
          <w:szCs w:val="24"/>
        </w:rPr>
      </w:pPr>
      <w:r w:rsidRPr="000D221C">
        <w:rPr>
          <w:sz w:val="24"/>
          <w:szCs w:val="24"/>
        </w:rPr>
        <w:t>Considerando espessura de 5 cm e densidade média de 2,4 t/m³, tem-se que 1 m² corresponde a 0,05 m³ e, portanto, 1 m³ equivale a 20 m². Aplicando a conversão para massa, 1 m³ = 2,4 t, resultando em 1 tonelada correspondente a 8,33 m².</w:t>
      </w:r>
    </w:p>
    <w:p w14:paraId="6172C00B" w14:textId="60DA270E" w:rsidR="00F04288" w:rsidRDefault="000D221C" w:rsidP="000D221C">
      <w:pPr>
        <w:pStyle w:val="PargrafodaLista"/>
        <w:spacing w:line="360" w:lineRule="auto"/>
        <w:ind w:firstLine="851"/>
        <w:jc w:val="both"/>
        <w:rPr>
          <w:sz w:val="24"/>
          <w:szCs w:val="24"/>
        </w:rPr>
      </w:pPr>
      <w:r w:rsidRPr="000D221C">
        <w:rPr>
          <w:sz w:val="24"/>
          <w:szCs w:val="24"/>
        </w:rPr>
        <w:t>Assim, o índice correto seria da ordem de 8,33 m²/ton (ou 0,12 ton/m²), evidenciando que o valor adotado subestima significativamente a quantidade de material e superestima a produtividade do serviço.”</w:t>
      </w:r>
    </w:p>
    <w:p w14:paraId="7E4E5888" w14:textId="77777777" w:rsidR="000D221C" w:rsidRDefault="00BB4B2A" w:rsidP="0030091C">
      <w:pPr>
        <w:pStyle w:val="PargrafodaLista"/>
        <w:spacing w:line="360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Desta forma</w:t>
      </w:r>
      <w:r w:rsidR="000D221C">
        <w:rPr>
          <w:sz w:val="24"/>
          <w:szCs w:val="24"/>
        </w:rPr>
        <w:t xml:space="preserve"> alterando-se todos os apontamentos descritos chegaríamos a uma composição conforme a seguir: </w:t>
      </w:r>
    </w:p>
    <w:p w14:paraId="16227C0A" w14:textId="77777777" w:rsidR="000D221C" w:rsidRDefault="000D221C" w:rsidP="0030091C">
      <w:pPr>
        <w:pStyle w:val="PargrafodaLista"/>
        <w:spacing w:line="360" w:lineRule="auto"/>
        <w:ind w:firstLine="851"/>
        <w:jc w:val="both"/>
        <w:rPr>
          <w:sz w:val="24"/>
          <w:szCs w:val="24"/>
        </w:rPr>
      </w:pPr>
    </w:p>
    <w:p w14:paraId="1F206AAB" w14:textId="2534DD66" w:rsidR="000D221C" w:rsidRDefault="000D221C" w:rsidP="000D221C">
      <w:pPr>
        <w:pStyle w:val="PargrafodaLista"/>
        <w:spacing w:line="360" w:lineRule="auto"/>
        <w:ind w:left="284"/>
        <w:jc w:val="center"/>
        <w:rPr>
          <w:sz w:val="24"/>
          <w:szCs w:val="24"/>
        </w:rPr>
      </w:pPr>
      <w:r w:rsidRPr="000D221C">
        <w:rPr>
          <w:noProof/>
          <w:sz w:val="24"/>
          <w:szCs w:val="24"/>
        </w:rPr>
        <w:lastRenderedPageBreak/>
        <w:drawing>
          <wp:inline distT="0" distB="0" distL="0" distR="0" wp14:anchorId="781E5291" wp14:editId="4C696D5F">
            <wp:extent cx="5400040" cy="2164080"/>
            <wp:effectExtent l="0" t="0" r="0" b="7620"/>
            <wp:docPr id="200615332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615332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64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89D761" w14:textId="77777777" w:rsidR="000D221C" w:rsidRDefault="000D221C" w:rsidP="0030091C">
      <w:pPr>
        <w:pStyle w:val="PargrafodaLista"/>
        <w:spacing w:line="360" w:lineRule="auto"/>
        <w:ind w:firstLine="851"/>
        <w:jc w:val="both"/>
        <w:rPr>
          <w:sz w:val="24"/>
          <w:szCs w:val="24"/>
        </w:rPr>
      </w:pPr>
    </w:p>
    <w:p w14:paraId="076BA2E3" w14:textId="37664915" w:rsidR="00100074" w:rsidRDefault="00100074" w:rsidP="00BB15F1">
      <w:pPr>
        <w:pStyle w:val="PargrafodaLista"/>
        <w:spacing w:line="360" w:lineRule="auto"/>
        <w:ind w:hanging="11"/>
        <w:jc w:val="both"/>
        <w:rPr>
          <w:sz w:val="24"/>
          <w:szCs w:val="24"/>
        </w:rPr>
      </w:pPr>
    </w:p>
    <w:p w14:paraId="0812F543" w14:textId="6A100085" w:rsidR="000D221C" w:rsidRDefault="000D221C" w:rsidP="000D221C">
      <w:pPr>
        <w:pStyle w:val="PargrafodaLista"/>
        <w:spacing w:line="360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 w:rsidR="00944846">
        <w:rPr>
          <w:sz w:val="24"/>
          <w:szCs w:val="24"/>
        </w:rPr>
        <w:t>correção</w:t>
      </w:r>
      <w:r>
        <w:rPr>
          <w:sz w:val="24"/>
          <w:szCs w:val="24"/>
        </w:rPr>
        <w:t xml:space="preserve"> desses itens resulta em um valor por tonelada de R$ 1.616,30, valor este 94,85% maior que o estimado pela administração e uma diferença de R$ 786,77 por tonelada. </w:t>
      </w:r>
      <w:r w:rsidR="00944846" w:rsidRPr="00944846">
        <w:rPr>
          <w:sz w:val="24"/>
          <w:szCs w:val="24"/>
        </w:rPr>
        <w:t xml:space="preserve">Tal discrepância decorre </w:t>
      </w:r>
      <w:r w:rsidR="00944846">
        <w:rPr>
          <w:sz w:val="24"/>
          <w:szCs w:val="24"/>
        </w:rPr>
        <w:t xml:space="preserve">da não inclusão do CBUQ e </w:t>
      </w:r>
      <w:r w:rsidR="00944846" w:rsidRPr="00944846">
        <w:rPr>
          <w:sz w:val="24"/>
          <w:szCs w:val="24"/>
        </w:rPr>
        <w:t>da utilização de índices de produtividade inconsistente com a realidade do serviço</w:t>
      </w:r>
      <w:r w:rsidR="00944846">
        <w:rPr>
          <w:sz w:val="24"/>
          <w:szCs w:val="24"/>
        </w:rPr>
        <w:t xml:space="preserve"> tornando este um custo inexequível.</w:t>
      </w:r>
    </w:p>
    <w:p w14:paraId="359CA168" w14:textId="77777777" w:rsidR="00A37E29" w:rsidRDefault="00A37E29" w:rsidP="000D221C">
      <w:pPr>
        <w:pStyle w:val="PargrafodaLista"/>
        <w:spacing w:line="360" w:lineRule="auto"/>
        <w:ind w:firstLine="851"/>
        <w:jc w:val="both"/>
        <w:rPr>
          <w:sz w:val="24"/>
          <w:szCs w:val="24"/>
        </w:rPr>
      </w:pPr>
    </w:p>
    <w:p w14:paraId="188DD8FB" w14:textId="799CDDDF" w:rsidR="000D221C" w:rsidRPr="00A37E29" w:rsidRDefault="00944846" w:rsidP="00A37E29">
      <w:pPr>
        <w:pStyle w:val="PargrafodaLista"/>
        <w:numPr>
          <w:ilvl w:val="0"/>
          <w:numId w:val="3"/>
        </w:numPr>
        <w:spacing w:line="360" w:lineRule="auto"/>
        <w:jc w:val="both"/>
        <w:rPr>
          <w:sz w:val="24"/>
          <w:szCs w:val="24"/>
          <w:u w:val="single"/>
        </w:rPr>
      </w:pPr>
      <w:r w:rsidRPr="00A37E29">
        <w:rPr>
          <w:sz w:val="24"/>
          <w:szCs w:val="24"/>
          <w:u w:val="single"/>
        </w:rPr>
        <w:t>Diante do acima exposto, entendemos que a administração</w:t>
      </w:r>
      <w:r w:rsidR="000D221C" w:rsidRPr="00A37E29">
        <w:rPr>
          <w:sz w:val="24"/>
          <w:szCs w:val="24"/>
          <w:u w:val="single"/>
        </w:rPr>
        <w:t xml:space="preserve"> revisará as composições e produtividade utilizadas, alterando assim o valor estimado para o serviço de tapa buraco, conforme demonstração </w:t>
      </w:r>
      <w:r w:rsidRPr="00A37E29">
        <w:rPr>
          <w:sz w:val="24"/>
          <w:szCs w:val="24"/>
          <w:u w:val="single"/>
        </w:rPr>
        <w:t>acima, com preço de R$ 1.616,30/tonelada?</w:t>
      </w:r>
    </w:p>
    <w:p w14:paraId="71537A72" w14:textId="77777777" w:rsidR="00944846" w:rsidRDefault="00944846" w:rsidP="000D221C">
      <w:pPr>
        <w:pStyle w:val="PargrafodaLista"/>
        <w:spacing w:line="360" w:lineRule="auto"/>
        <w:ind w:firstLine="851"/>
        <w:jc w:val="both"/>
        <w:rPr>
          <w:sz w:val="24"/>
          <w:szCs w:val="24"/>
        </w:rPr>
      </w:pPr>
    </w:p>
    <w:p w14:paraId="0C00FED7" w14:textId="77777777" w:rsidR="00944846" w:rsidRDefault="00944846" w:rsidP="000D221C">
      <w:pPr>
        <w:pStyle w:val="PargrafodaLista"/>
        <w:spacing w:line="360" w:lineRule="auto"/>
        <w:ind w:firstLine="851"/>
        <w:jc w:val="both"/>
        <w:rPr>
          <w:sz w:val="24"/>
          <w:szCs w:val="24"/>
        </w:rPr>
      </w:pPr>
    </w:p>
    <w:p w14:paraId="51B1FB22" w14:textId="77777777" w:rsidR="00944846" w:rsidRDefault="00944846" w:rsidP="000D221C">
      <w:pPr>
        <w:pStyle w:val="PargrafodaLista"/>
        <w:spacing w:line="360" w:lineRule="auto"/>
        <w:ind w:firstLine="851"/>
        <w:jc w:val="both"/>
        <w:rPr>
          <w:sz w:val="24"/>
          <w:szCs w:val="24"/>
        </w:rPr>
      </w:pPr>
    </w:p>
    <w:p w14:paraId="6C77F09D" w14:textId="77777777" w:rsidR="00944846" w:rsidRDefault="00944846" w:rsidP="000D221C">
      <w:pPr>
        <w:pStyle w:val="PargrafodaLista"/>
        <w:spacing w:line="360" w:lineRule="auto"/>
        <w:ind w:firstLine="851"/>
        <w:jc w:val="both"/>
        <w:rPr>
          <w:sz w:val="24"/>
          <w:szCs w:val="24"/>
        </w:rPr>
      </w:pPr>
    </w:p>
    <w:p w14:paraId="2E5FCE82" w14:textId="77777777" w:rsidR="008E591A" w:rsidRDefault="008E591A" w:rsidP="0030091C">
      <w:pPr>
        <w:pStyle w:val="PargrafodaLista"/>
        <w:spacing w:line="360" w:lineRule="auto"/>
        <w:ind w:firstLine="851"/>
        <w:jc w:val="both"/>
        <w:rPr>
          <w:sz w:val="24"/>
          <w:szCs w:val="24"/>
        </w:rPr>
      </w:pPr>
    </w:p>
    <w:p w14:paraId="17340E70" w14:textId="77777777" w:rsidR="008E591A" w:rsidRDefault="008E591A" w:rsidP="0030091C">
      <w:pPr>
        <w:pStyle w:val="PargrafodaLista"/>
        <w:spacing w:line="360" w:lineRule="auto"/>
        <w:ind w:firstLine="851"/>
        <w:jc w:val="both"/>
        <w:rPr>
          <w:sz w:val="24"/>
          <w:szCs w:val="24"/>
        </w:rPr>
      </w:pPr>
    </w:p>
    <w:p w14:paraId="104D74CC" w14:textId="77777777" w:rsidR="00100074" w:rsidRDefault="00100074" w:rsidP="0030091C">
      <w:pPr>
        <w:pStyle w:val="PargrafodaLista"/>
        <w:spacing w:line="360" w:lineRule="auto"/>
        <w:ind w:firstLine="851"/>
        <w:jc w:val="both"/>
        <w:rPr>
          <w:sz w:val="24"/>
          <w:szCs w:val="24"/>
        </w:rPr>
      </w:pPr>
    </w:p>
    <w:p w14:paraId="170D97AE" w14:textId="1DB634CC" w:rsidR="00100074" w:rsidRDefault="00100074" w:rsidP="00A37E29">
      <w:pPr>
        <w:pStyle w:val="PargrafodaLista"/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00100074">
        <w:rPr>
          <w:b/>
          <w:bCs/>
          <w:sz w:val="24"/>
          <w:szCs w:val="24"/>
        </w:rPr>
        <w:t>RECAPEAMENTO ASFÁLTICO</w:t>
      </w:r>
    </w:p>
    <w:p w14:paraId="226696F5" w14:textId="77777777" w:rsidR="0030091C" w:rsidRPr="00E07BCC" w:rsidRDefault="0030091C" w:rsidP="0030091C">
      <w:pPr>
        <w:pStyle w:val="PargrafodaLista"/>
        <w:spacing w:line="360" w:lineRule="auto"/>
        <w:ind w:firstLine="851"/>
        <w:jc w:val="both"/>
        <w:rPr>
          <w:sz w:val="24"/>
          <w:szCs w:val="24"/>
        </w:rPr>
      </w:pPr>
    </w:p>
    <w:p w14:paraId="6FB1DDDF" w14:textId="374E22F9" w:rsidR="00E07BCC" w:rsidRDefault="00100074" w:rsidP="00E07BCC">
      <w:pPr>
        <w:pStyle w:val="PargrafodaLista"/>
        <w:spacing w:after="0" w:line="360" w:lineRule="auto"/>
        <w:ind w:left="0"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Em relação ao recapeamento asfáltico, verifica-se </w:t>
      </w:r>
      <w:r w:rsidR="00AB5CF5">
        <w:rPr>
          <w:sz w:val="24"/>
          <w:szCs w:val="24"/>
        </w:rPr>
        <w:t xml:space="preserve">a administração exige no item </w:t>
      </w:r>
      <w:r w:rsidR="00BB4B2A">
        <w:rPr>
          <w:sz w:val="24"/>
          <w:szCs w:val="24"/>
        </w:rPr>
        <w:t>4.4 Qualificação</w:t>
      </w:r>
      <w:r w:rsidR="00AB5CF5">
        <w:rPr>
          <w:sz w:val="24"/>
          <w:szCs w:val="24"/>
        </w:rPr>
        <w:t xml:space="preserve"> técnico -profissional </w:t>
      </w:r>
      <w:r w:rsidR="00F25D04">
        <w:rPr>
          <w:sz w:val="24"/>
          <w:szCs w:val="24"/>
        </w:rPr>
        <w:t xml:space="preserve">experiencia dos interessados na execução de base betuminosa com utilização de material fresado (RAP), mas o </w:t>
      </w:r>
      <w:r w:rsidR="00F25D04">
        <w:rPr>
          <w:sz w:val="24"/>
          <w:szCs w:val="24"/>
        </w:rPr>
        <w:lastRenderedPageBreak/>
        <w:t>mesmo item não aparece no Anexo D – Composições – Preços Referenciais, o que nos faz concluir que ou a exigência da qualificação está incorreta, ou é necessário incluir na planilha o item da base betuminosa.</w:t>
      </w:r>
    </w:p>
    <w:p w14:paraId="21110B38" w14:textId="77777777" w:rsidR="008E591A" w:rsidRPr="008E591A" w:rsidRDefault="008E591A" w:rsidP="008E591A">
      <w:pPr>
        <w:pStyle w:val="PargrafodaLista"/>
        <w:spacing w:after="0" w:line="360" w:lineRule="auto"/>
        <w:ind w:left="0" w:firstLine="709"/>
        <w:jc w:val="both"/>
        <w:rPr>
          <w:sz w:val="24"/>
          <w:szCs w:val="24"/>
        </w:rPr>
      </w:pPr>
      <w:r w:rsidRPr="008E591A">
        <w:rPr>
          <w:sz w:val="24"/>
          <w:szCs w:val="24"/>
        </w:rPr>
        <w:t>No que se refere à composição do item de recapeamento asfáltico, verifica-se inconsistência no índice de produtividade adotado para o item “Geogrelha”.</w:t>
      </w:r>
    </w:p>
    <w:p w14:paraId="25E816A2" w14:textId="77777777" w:rsidR="008E591A" w:rsidRPr="008E591A" w:rsidRDefault="008E591A" w:rsidP="008E591A">
      <w:pPr>
        <w:pStyle w:val="PargrafodaLista"/>
        <w:spacing w:after="0" w:line="360" w:lineRule="auto"/>
        <w:ind w:left="0" w:firstLine="851"/>
        <w:jc w:val="both"/>
        <w:rPr>
          <w:sz w:val="24"/>
          <w:szCs w:val="24"/>
        </w:rPr>
      </w:pPr>
      <w:r w:rsidRPr="008E591A">
        <w:rPr>
          <w:sz w:val="24"/>
          <w:szCs w:val="24"/>
        </w:rPr>
        <w:t>A composição considera o consumo de 5 m²/m³ para a geogrelha, enquanto os demais serviços correlatos, como fresagem e aplicação de emulsão asfáltica, adotam o índice de 20 m²/m³.</w:t>
      </w:r>
    </w:p>
    <w:p w14:paraId="53B91849" w14:textId="5BD5E6B2" w:rsidR="008E591A" w:rsidRPr="008E591A" w:rsidRDefault="008E591A" w:rsidP="008E591A">
      <w:pPr>
        <w:pStyle w:val="PargrafodaLista"/>
        <w:spacing w:after="0" w:line="360" w:lineRule="auto"/>
        <w:ind w:left="0" w:firstLine="851"/>
        <w:jc w:val="both"/>
        <w:rPr>
          <w:sz w:val="24"/>
          <w:szCs w:val="24"/>
        </w:rPr>
      </w:pPr>
      <w:r w:rsidRPr="008E591A">
        <w:rPr>
          <w:sz w:val="24"/>
          <w:szCs w:val="24"/>
        </w:rPr>
        <w:t>Tal divergência não se justifica tecnicamente, uma vez que todos esses itens estão associados à mesma área de intervenção</w:t>
      </w:r>
      <w:r>
        <w:rPr>
          <w:sz w:val="24"/>
          <w:szCs w:val="24"/>
        </w:rPr>
        <w:t xml:space="preserve">. </w:t>
      </w:r>
      <w:r w:rsidRPr="008E591A">
        <w:rPr>
          <w:sz w:val="24"/>
          <w:szCs w:val="24"/>
        </w:rPr>
        <w:t>Ressalta-se que a geogrelha é um material aplicado em área, devendo, portanto, acompanhar integralmente a superfície a ser recapeada, salvo justificativa técnica específica em projeto.</w:t>
      </w:r>
      <w:r>
        <w:rPr>
          <w:sz w:val="24"/>
          <w:szCs w:val="24"/>
        </w:rPr>
        <w:t xml:space="preserve"> </w:t>
      </w:r>
      <w:r w:rsidRPr="008E591A">
        <w:rPr>
          <w:sz w:val="24"/>
          <w:szCs w:val="24"/>
        </w:rPr>
        <w:t>Assim, recomenda-se a revisão do coeficiente adotado, de modo a compatibilizá-lo com os demais itens da composição e com as condições reais de execução do recapeamento asfáltico</w:t>
      </w:r>
    </w:p>
    <w:p w14:paraId="1493B2EC" w14:textId="77777777" w:rsidR="00DF73EB" w:rsidRPr="00DF73EB" w:rsidRDefault="00DF73EB" w:rsidP="00DF73EB">
      <w:pPr>
        <w:pStyle w:val="PargrafodaLista"/>
        <w:spacing w:after="0" w:line="360" w:lineRule="auto"/>
        <w:ind w:left="-142" w:firstLine="851"/>
        <w:jc w:val="both"/>
        <w:rPr>
          <w:sz w:val="24"/>
          <w:szCs w:val="24"/>
        </w:rPr>
      </w:pPr>
      <w:r w:rsidRPr="00DF73EB">
        <w:rPr>
          <w:sz w:val="24"/>
          <w:szCs w:val="24"/>
        </w:rPr>
        <w:t>Outro ponto relevante a ser considerado refere-se à utilização de itens como geogrelha e base betuminosa na composição de recapeamento asfáltico.</w:t>
      </w:r>
    </w:p>
    <w:p w14:paraId="0143B2F9" w14:textId="77777777" w:rsidR="00DF73EB" w:rsidRPr="00DF73EB" w:rsidRDefault="00DF73EB" w:rsidP="00DF73EB">
      <w:pPr>
        <w:pStyle w:val="PargrafodaLista"/>
        <w:spacing w:after="0" w:line="360" w:lineRule="auto"/>
        <w:ind w:left="-142" w:firstLine="851"/>
        <w:jc w:val="both"/>
        <w:rPr>
          <w:sz w:val="24"/>
          <w:szCs w:val="24"/>
        </w:rPr>
      </w:pPr>
      <w:r w:rsidRPr="00DF73EB">
        <w:rPr>
          <w:sz w:val="24"/>
          <w:szCs w:val="24"/>
        </w:rPr>
        <w:t>Tais itens são tipicamente empregados como soluções de reforço estrutural do pavimento, sendo comumente associados a intervenções que exigem a recomposição da base, o que pressupõe a execução prévia de serviços como escavação, remoção de material deteriorado e reconstituição das camadas inferiores do pavimento.</w:t>
      </w:r>
    </w:p>
    <w:p w14:paraId="1D35A684" w14:textId="77777777" w:rsidR="00DF73EB" w:rsidRPr="00DF73EB" w:rsidRDefault="00DF73EB" w:rsidP="00DF73EB">
      <w:pPr>
        <w:pStyle w:val="PargrafodaLista"/>
        <w:spacing w:after="0" w:line="360" w:lineRule="auto"/>
        <w:ind w:left="-142" w:firstLine="851"/>
        <w:jc w:val="both"/>
        <w:rPr>
          <w:sz w:val="24"/>
          <w:szCs w:val="24"/>
        </w:rPr>
      </w:pPr>
      <w:r w:rsidRPr="00DF73EB">
        <w:rPr>
          <w:sz w:val="24"/>
          <w:szCs w:val="24"/>
        </w:rPr>
        <w:t>Entretanto, verifica-se que os serviços necessários para essa etapa, especialmente a escavação e recomposição da base, não estão contemplados na composição analisada, gerando uma inconsistência técnica entre os insumos previstos e os serviços efetivamente necessários à sua correta aplicação.</w:t>
      </w:r>
    </w:p>
    <w:p w14:paraId="0C473547" w14:textId="77777777" w:rsidR="00DF73EB" w:rsidRPr="00DF73EB" w:rsidRDefault="00DF73EB" w:rsidP="00DF73EB">
      <w:pPr>
        <w:pStyle w:val="PargrafodaLista"/>
        <w:spacing w:after="0" w:line="360" w:lineRule="auto"/>
        <w:ind w:left="0" w:firstLine="851"/>
        <w:jc w:val="both"/>
        <w:rPr>
          <w:sz w:val="24"/>
          <w:szCs w:val="24"/>
        </w:rPr>
      </w:pPr>
      <w:r w:rsidRPr="00DF73EB">
        <w:rPr>
          <w:sz w:val="24"/>
          <w:szCs w:val="24"/>
        </w:rPr>
        <w:t>Adicionalmente, observa-se que a Administração optou pela adoção da modalidade de credenciamento, contemplando a remuneração de quatro tipos principais de serviços: tapa-buraco, recapeamento asfáltico, reparo de intertravado e reparo de calçadas. Ressalta-se que cada um desses serviços pode englobar diferentes níveis de intervenção, variando conforme as condições reais encontradas em campo.</w:t>
      </w:r>
    </w:p>
    <w:p w14:paraId="22D38A42" w14:textId="77777777" w:rsidR="00DF73EB" w:rsidRPr="00DF73EB" w:rsidRDefault="00DF73EB" w:rsidP="00DF73EB">
      <w:pPr>
        <w:pStyle w:val="PargrafodaLista"/>
        <w:spacing w:after="0" w:line="360" w:lineRule="auto"/>
        <w:ind w:left="0" w:firstLine="851"/>
        <w:jc w:val="both"/>
        <w:rPr>
          <w:sz w:val="24"/>
          <w:szCs w:val="24"/>
        </w:rPr>
      </w:pPr>
      <w:r w:rsidRPr="00DF73EB">
        <w:rPr>
          <w:sz w:val="24"/>
          <w:szCs w:val="24"/>
        </w:rPr>
        <w:lastRenderedPageBreak/>
        <w:t>Considerando a natureza pulverizada das demandas, bem como a incerteza quanto ao estado de conservação dos pavimentos a serem atendidos, a utilização de uma única composição para o item “recapeamento asfáltico”, incluindo elementos de reforço estrutural, mostra-se inadequada do ponto de vista técnico e orçamentário.</w:t>
      </w:r>
    </w:p>
    <w:p w14:paraId="286BD8ED" w14:textId="77777777" w:rsidR="00DF73EB" w:rsidRPr="00DF73EB" w:rsidRDefault="00DF73EB" w:rsidP="00DF73EB">
      <w:pPr>
        <w:pStyle w:val="PargrafodaLista"/>
        <w:spacing w:after="0" w:line="360" w:lineRule="auto"/>
        <w:ind w:left="0" w:firstLine="851"/>
        <w:jc w:val="both"/>
        <w:rPr>
          <w:sz w:val="24"/>
          <w:szCs w:val="24"/>
        </w:rPr>
      </w:pPr>
      <w:r w:rsidRPr="00DF73EB">
        <w:rPr>
          <w:sz w:val="24"/>
          <w:szCs w:val="24"/>
        </w:rPr>
        <w:t>Nesse contexto, recomenda-se que a Administração promova a segregação do referido item em, ao menos, duas categorias distintas:</w:t>
      </w:r>
    </w:p>
    <w:p w14:paraId="4C6DB27F" w14:textId="77777777" w:rsidR="00DF73EB" w:rsidRPr="00DF73EB" w:rsidRDefault="00DF73EB" w:rsidP="00DF73EB">
      <w:pPr>
        <w:pStyle w:val="PargrafodaLista"/>
        <w:spacing w:after="0" w:line="360" w:lineRule="auto"/>
        <w:ind w:left="0" w:firstLine="851"/>
        <w:jc w:val="both"/>
        <w:rPr>
          <w:sz w:val="24"/>
          <w:szCs w:val="24"/>
        </w:rPr>
      </w:pPr>
      <w:r w:rsidRPr="00DF73EB">
        <w:rPr>
          <w:sz w:val="24"/>
          <w:szCs w:val="24"/>
        </w:rPr>
        <w:t>• recapeamento asfáltico simples, destinado a intervenções superficiais, sem necessidade de reforço estrutural da base;</w:t>
      </w:r>
    </w:p>
    <w:p w14:paraId="27658708" w14:textId="77777777" w:rsidR="00DF73EB" w:rsidRPr="00DF73EB" w:rsidRDefault="00DF73EB" w:rsidP="00DF73EB">
      <w:pPr>
        <w:pStyle w:val="PargrafodaLista"/>
        <w:spacing w:after="0" w:line="360" w:lineRule="auto"/>
        <w:ind w:left="0" w:firstLine="851"/>
        <w:jc w:val="both"/>
        <w:rPr>
          <w:sz w:val="24"/>
          <w:szCs w:val="24"/>
        </w:rPr>
      </w:pPr>
      <w:r w:rsidRPr="00DF73EB">
        <w:rPr>
          <w:sz w:val="24"/>
          <w:szCs w:val="24"/>
        </w:rPr>
        <w:t>• pavimentação com reforço de base, aplicável aos casos em que haja comprometimento estrutural do pavimento, demandando serviços adicionais como escavação, recomposição da base e utilização de materiais de reforço, tais como geogrelha e base betuminosa.</w:t>
      </w:r>
    </w:p>
    <w:p w14:paraId="7CFA1006" w14:textId="77777777" w:rsidR="00DF73EB" w:rsidRPr="00DF73EB" w:rsidRDefault="00DF73EB" w:rsidP="00DF73EB">
      <w:pPr>
        <w:pStyle w:val="PargrafodaLista"/>
        <w:spacing w:after="0" w:line="360" w:lineRule="auto"/>
        <w:ind w:left="0" w:firstLine="851"/>
        <w:jc w:val="both"/>
        <w:rPr>
          <w:sz w:val="24"/>
          <w:szCs w:val="24"/>
        </w:rPr>
      </w:pPr>
      <w:r w:rsidRPr="00DF73EB">
        <w:rPr>
          <w:sz w:val="24"/>
          <w:szCs w:val="24"/>
        </w:rPr>
        <w:t>Tal medida contribuirá para maior aderência entre os serviços contratados e as condições reais de execução, além de proporcionar maior precisão na formação dos preços, mitigando riscos de subdimensionamento orçamentário, propostas inexequíveis e eventuais desequilíbrios contratuais.</w:t>
      </w:r>
    </w:p>
    <w:p w14:paraId="6652CB92" w14:textId="63961AD9" w:rsidR="00944846" w:rsidRPr="00A37E29" w:rsidRDefault="00F448F5" w:rsidP="00A37E29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sz w:val="24"/>
          <w:szCs w:val="24"/>
          <w:u w:val="single"/>
        </w:rPr>
      </w:pPr>
      <w:r w:rsidRPr="00A37E29">
        <w:rPr>
          <w:sz w:val="24"/>
          <w:szCs w:val="24"/>
          <w:u w:val="single"/>
        </w:rPr>
        <w:t xml:space="preserve">Diante disso, perguntamos: As composições das planilhas orçamentarias </w:t>
      </w:r>
      <w:r w:rsidR="00784F14" w:rsidRPr="00A37E29">
        <w:rPr>
          <w:sz w:val="24"/>
          <w:szCs w:val="24"/>
          <w:u w:val="single"/>
        </w:rPr>
        <w:t>serão revisadas</w:t>
      </w:r>
      <w:r w:rsidR="00944846" w:rsidRPr="00A37E29">
        <w:rPr>
          <w:sz w:val="24"/>
          <w:szCs w:val="24"/>
          <w:u w:val="single"/>
        </w:rPr>
        <w:t xml:space="preserve"> conforme demonstração a seguir</w:t>
      </w:r>
      <w:r w:rsidR="00A37E29" w:rsidRPr="00A37E29">
        <w:rPr>
          <w:sz w:val="24"/>
          <w:szCs w:val="24"/>
          <w:u w:val="single"/>
        </w:rPr>
        <w:t>?</w:t>
      </w:r>
    </w:p>
    <w:p w14:paraId="5C4EBC5F" w14:textId="69E5ACBF" w:rsidR="00F57A43" w:rsidRDefault="00F57A43" w:rsidP="00F57A43">
      <w:pPr>
        <w:pStyle w:val="PargrafodaLista"/>
        <w:spacing w:after="0" w:line="360" w:lineRule="auto"/>
        <w:ind w:left="0"/>
        <w:jc w:val="center"/>
        <w:rPr>
          <w:sz w:val="24"/>
          <w:szCs w:val="24"/>
        </w:rPr>
      </w:pPr>
      <w:r w:rsidRPr="00F57A43">
        <w:rPr>
          <w:noProof/>
          <w:sz w:val="24"/>
          <w:szCs w:val="24"/>
        </w:rPr>
        <w:drawing>
          <wp:inline distT="0" distB="0" distL="0" distR="0" wp14:anchorId="2B21173F" wp14:editId="522F5213">
            <wp:extent cx="5162550" cy="1834575"/>
            <wp:effectExtent l="0" t="0" r="0" b="0"/>
            <wp:docPr id="210473576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473576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70227" cy="1837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2B71D0" w14:textId="610B2951" w:rsidR="00F448F5" w:rsidRDefault="00F57A43" w:rsidP="00F57A43">
      <w:pPr>
        <w:pStyle w:val="PargrafodaLista"/>
        <w:spacing w:after="0" w:line="360" w:lineRule="auto"/>
        <w:ind w:left="0"/>
        <w:jc w:val="center"/>
        <w:rPr>
          <w:sz w:val="24"/>
          <w:szCs w:val="24"/>
        </w:rPr>
      </w:pPr>
      <w:r w:rsidRPr="00F57A43">
        <w:rPr>
          <w:noProof/>
          <w:sz w:val="24"/>
          <w:szCs w:val="24"/>
        </w:rPr>
        <w:lastRenderedPageBreak/>
        <w:drawing>
          <wp:inline distT="0" distB="0" distL="0" distR="0" wp14:anchorId="043CF18E" wp14:editId="3F98AEDF">
            <wp:extent cx="5400040" cy="3575685"/>
            <wp:effectExtent l="0" t="0" r="0" b="5715"/>
            <wp:docPr id="80325981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25981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75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3214A5" w14:textId="77777777" w:rsidR="00F57A43" w:rsidRDefault="00F57A43" w:rsidP="00F57A43">
      <w:pPr>
        <w:rPr>
          <w:sz w:val="24"/>
          <w:szCs w:val="24"/>
        </w:rPr>
      </w:pPr>
    </w:p>
    <w:p w14:paraId="343D1F61" w14:textId="5F3E30CC" w:rsidR="00F57A43" w:rsidRPr="00F57A43" w:rsidRDefault="00F57A43" w:rsidP="00F57A43">
      <w:pPr>
        <w:spacing w:after="0" w:line="360" w:lineRule="auto"/>
        <w:ind w:firstLine="709"/>
        <w:rPr>
          <w:sz w:val="24"/>
          <w:szCs w:val="24"/>
        </w:rPr>
      </w:pPr>
      <w:r w:rsidRPr="00F57A43">
        <w:rPr>
          <w:sz w:val="24"/>
          <w:szCs w:val="24"/>
        </w:rPr>
        <w:tab/>
        <w:t>As novas planilhas resultam nos seguintes valores:</w:t>
      </w:r>
    </w:p>
    <w:p w14:paraId="6EA9791A" w14:textId="77777777" w:rsidR="00F57A43" w:rsidRPr="00F57A43" w:rsidRDefault="00F57A43" w:rsidP="00F57A43">
      <w:pPr>
        <w:spacing w:after="0" w:line="360" w:lineRule="auto"/>
        <w:ind w:firstLine="709"/>
        <w:rPr>
          <w:sz w:val="24"/>
          <w:szCs w:val="24"/>
        </w:rPr>
      </w:pPr>
    </w:p>
    <w:p w14:paraId="35DD9B67" w14:textId="6321D2F5" w:rsidR="00F57A43" w:rsidRDefault="00F57A43" w:rsidP="00F57A43">
      <w:pPr>
        <w:spacing w:after="0" w:line="360" w:lineRule="auto"/>
        <w:ind w:firstLine="709"/>
        <w:rPr>
          <w:sz w:val="24"/>
          <w:szCs w:val="24"/>
        </w:rPr>
      </w:pPr>
      <w:r w:rsidRPr="00F57A43">
        <w:rPr>
          <w:sz w:val="24"/>
          <w:szCs w:val="24"/>
        </w:rPr>
        <w:t>Recapeamento A</w:t>
      </w:r>
      <w:r>
        <w:rPr>
          <w:sz w:val="24"/>
          <w:szCs w:val="24"/>
        </w:rPr>
        <w:t>sfáltico – R$ 2.352,43 / m³ e</w:t>
      </w:r>
    </w:p>
    <w:p w14:paraId="2EF562CD" w14:textId="23A6FF56" w:rsidR="00F57A43" w:rsidRDefault="00F57A43" w:rsidP="00F57A43">
      <w:pPr>
        <w:spacing w:after="0"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Pavimentação Asfáltica – R$ 3.802,21/m³.</w:t>
      </w:r>
    </w:p>
    <w:p w14:paraId="10253282" w14:textId="77777777" w:rsidR="0048349D" w:rsidRDefault="0048349D" w:rsidP="00F57A43">
      <w:pPr>
        <w:spacing w:after="0" w:line="360" w:lineRule="auto"/>
        <w:ind w:firstLine="709"/>
        <w:rPr>
          <w:sz w:val="24"/>
          <w:szCs w:val="24"/>
        </w:rPr>
      </w:pPr>
    </w:p>
    <w:p w14:paraId="2CEA8D27" w14:textId="77777777" w:rsidR="0048349D" w:rsidRDefault="0048349D" w:rsidP="00F57A43">
      <w:pPr>
        <w:spacing w:after="0" w:line="360" w:lineRule="auto"/>
        <w:ind w:firstLine="709"/>
        <w:rPr>
          <w:sz w:val="24"/>
          <w:szCs w:val="24"/>
        </w:rPr>
      </w:pPr>
    </w:p>
    <w:p w14:paraId="54E2274D" w14:textId="77777777" w:rsidR="0048349D" w:rsidRDefault="0048349D" w:rsidP="00F57A43">
      <w:pPr>
        <w:spacing w:after="0" w:line="360" w:lineRule="auto"/>
        <w:ind w:firstLine="709"/>
        <w:rPr>
          <w:sz w:val="24"/>
          <w:szCs w:val="24"/>
        </w:rPr>
      </w:pPr>
    </w:p>
    <w:p w14:paraId="45E4E0F1" w14:textId="77777777" w:rsidR="0048349D" w:rsidRDefault="0048349D" w:rsidP="00F57A43">
      <w:pPr>
        <w:spacing w:after="0" w:line="360" w:lineRule="auto"/>
        <w:ind w:firstLine="709"/>
        <w:rPr>
          <w:sz w:val="24"/>
          <w:szCs w:val="24"/>
        </w:rPr>
      </w:pPr>
    </w:p>
    <w:p w14:paraId="1C9B92F2" w14:textId="77777777" w:rsidR="00720D4D" w:rsidRDefault="00720D4D" w:rsidP="00720D4D">
      <w:pPr>
        <w:spacing w:after="0"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São Paulo, 01 de abril de 2026</w:t>
      </w:r>
    </w:p>
    <w:p w14:paraId="17611F84" w14:textId="77777777" w:rsidR="00720D4D" w:rsidRDefault="00720D4D" w:rsidP="00720D4D">
      <w:pPr>
        <w:spacing w:after="0" w:line="360" w:lineRule="auto"/>
        <w:ind w:firstLine="709"/>
        <w:rPr>
          <w:sz w:val="24"/>
          <w:szCs w:val="24"/>
        </w:rPr>
      </w:pPr>
    </w:p>
    <w:p w14:paraId="0402CE05" w14:textId="77777777" w:rsidR="00720D4D" w:rsidRDefault="00720D4D" w:rsidP="00720D4D">
      <w:pPr>
        <w:spacing w:after="0" w:line="360" w:lineRule="auto"/>
        <w:ind w:firstLine="709"/>
        <w:rPr>
          <w:sz w:val="24"/>
          <w:szCs w:val="24"/>
        </w:rPr>
      </w:pPr>
    </w:p>
    <w:p w14:paraId="7AA638BB" w14:textId="77777777" w:rsidR="00720D4D" w:rsidRDefault="00720D4D" w:rsidP="00720D4D">
      <w:pPr>
        <w:spacing w:after="0" w:line="360" w:lineRule="auto"/>
        <w:ind w:firstLine="709"/>
        <w:rPr>
          <w:sz w:val="24"/>
          <w:szCs w:val="24"/>
        </w:rPr>
      </w:pPr>
    </w:p>
    <w:p w14:paraId="55DB507F" w14:textId="77777777" w:rsidR="00720D4D" w:rsidRDefault="00720D4D" w:rsidP="00720D4D">
      <w:pPr>
        <w:spacing w:after="0" w:line="360" w:lineRule="auto"/>
        <w:ind w:firstLine="709"/>
        <w:rPr>
          <w:sz w:val="24"/>
          <w:szCs w:val="24"/>
        </w:rPr>
      </w:pPr>
    </w:p>
    <w:p w14:paraId="59AC0DFF" w14:textId="77777777" w:rsidR="00720D4D" w:rsidRDefault="00720D4D" w:rsidP="00720D4D">
      <w:pPr>
        <w:spacing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PARTNER GESTÃO INTELIGENTE</w:t>
      </w:r>
    </w:p>
    <w:p w14:paraId="38A1E520" w14:textId="77777777" w:rsidR="00720D4D" w:rsidRDefault="00720D4D" w:rsidP="00720D4D">
      <w:pPr>
        <w:spacing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CNPJ 48.072.600/0001-91</w:t>
      </w:r>
    </w:p>
    <w:p w14:paraId="35DFCF46" w14:textId="77777777" w:rsidR="00720D4D" w:rsidRDefault="00720D4D" w:rsidP="00720D4D">
      <w:pPr>
        <w:spacing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VALDEMIR MEDEIROS</w:t>
      </w:r>
    </w:p>
    <w:p w14:paraId="661F7151" w14:textId="77777777" w:rsidR="00720D4D" w:rsidRDefault="00720D4D" w:rsidP="00720D4D">
      <w:pPr>
        <w:spacing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CPF 798.785.208-20</w:t>
      </w:r>
    </w:p>
    <w:p w14:paraId="5F4B15CD" w14:textId="77777777" w:rsidR="00720D4D" w:rsidRDefault="00720D4D" w:rsidP="00720D4D">
      <w:pPr>
        <w:spacing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Sócio</w:t>
      </w:r>
    </w:p>
    <w:p w14:paraId="3CCB672C" w14:textId="77777777" w:rsidR="0048349D" w:rsidRPr="00F57A43" w:rsidRDefault="0048349D" w:rsidP="00F57A43">
      <w:pPr>
        <w:spacing w:after="0" w:line="360" w:lineRule="auto"/>
        <w:ind w:firstLine="709"/>
        <w:rPr>
          <w:sz w:val="24"/>
          <w:szCs w:val="24"/>
        </w:rPr>
      </w:pPr>
    </w:p>
    <w:sectPr w:rsidR="0048349D" w:rsidRPr="00F57A43" w:rsidSect="00BB15F1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2E4D1E" w14:textId="77777777" w:rsidR="00DD731E" w:rsidRDefault="00DD731E" w:rsidP="00E63750">
      <w:pPr>
        <w:spacing w:after="0" w:line="240" w:lineRule="auto"/>
      </w:pPr>
      <w:r>
        <w:separator/>
      </w:r>
    </w:p>
  </w:endnote>
  <w:endnote w:type="continuationSeparator" w:id="0">
    <w:p w14:paraId="402EE980" w14:textId="77777777" w:rsidR="00DD731E" w:rsidRDefault="00DD731E" w:rsidP="00E637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F43F29" w14:textId="77777777" w:rsidR="00DD731E" w:rsidRDefault="00DD731E" w:rsidP="00E63750">
      <w:pPr>
        <w:spacing w:after="0" w:line="240" w:lineRule="auto"/>
      </w:pPr>
      <w:r>
        <w:separator/>
      </w:r>
    </w:p>
  </w:footnote>
  <w:footnote w:type="continuationSeparator" w:id="0">
    <w:p w14:paraId="18FDDE26" w14:textId="77777777" w:rsidR="00DD731E" w:rsidRDefault="00DD731E" w:rsidP="00E637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9737B"/>
    <w:multiLevelType w:val="hybridMultilevel"/>
    <w:tmpl w:val="71B6B9AC"/>
    <w:lvl w:ilvl="0" w:tplc="2DD49D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639B2"/>
    <w:multiLevelType w:val="hybridMultilevel"/>
    <w:tmpl w:val="C05E5EA4"/>
    <w:lvl w:ilvl="0" w:tplc="21C008D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C5D2D8A"/>
    <w:multiLevelType w:val="hybridMultilevel"/>
    <w:tmpl w:val="AB88339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2083286474">
    <w:abstractNumId w:val="2"/>
  </w:num>
  <w:num w:numId="2" w16cid:durableId="886453695">
    <w:abstractNumId w:val="0"/>
  </w:num>
  <w:num w:numId="3" w16cid:durableId="13721934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C6B"/>
    <w:rsid w:val="000079FA"/>
    <w:rsid w:val="000824D0"/>
    <w:rsid w:val="000D221C"/>
    <w:rsid w:val="00100074"/>
    <w:rsid w:val="00105ABD"/>
    <w:rsid w:val="0016106B"/>
    <w:rsid w:val="00182D98"/>
    <w:rsid w:val="00240495"/>
    <w:rsid w:val="0030091C"/>
    <w:rsid w:val="0039554B"/>
    <w:rsid w:val="00453C6B"/>
    <w:rsid w:val="0048349D"/>
    <w:rsid w:val="00561463"/>
    <w:rsid w:val="005C2CEB"/>
    <w:rsid w:val="005C5F0C"/>
    <w:rsid w:val="00720D4D"/>
    <w:rsid w:val="00784F14"/>
    <w:rsid w:val="007D62C0"/>
    <w:rsid w:val="00800D33"/>
    <w:rsid w:val="00832739"/>
    <w:rsid w:val="008B3E43"/>
    <w:rsid w:val="008E591A"/>
    <w:rsid w:val="00944846"/>
    <w:rsid w:val="00973C10"/>
    <w:rsid w:val="00A37E29"/>
    <w:rsid w:val="00AB5CF5"/>
    <w:rsid w:val="00BB15F1"/>
    <w:rsid w:val="00BB4B2A"/>
    <w:rsid w:val="00C01A4C"/>
    <w:rsid w:val="00C31B93"/>
    <w:rsid w:val="00C54775"/>
    <w:rsid w:val="00CE778C"/>
    <w:rsid w:val="00D33F0C"/>
    <w:rsid w:val="00D549E0"/>
    <w:rsid w:val="00DC73E8"/>
    <w:rsid w:val="00DD731E"/>
    <w:rsid w:val="00DF73EB"/>
    <w:rsid w:val="00E07BCC"/>
    <w:rsid w:val="00E63750"/>
    <w:rsid w:val="00ED6678"/>
    <w:rsid w:val="00F0352F"/>
    <w:rsid w:val="00F04288"/>
    <w:rsid w:val="00F25D04"/>
    <w:rsid w:val="00F448F5"/>
    <w:rsid w:val="00F57A43"/>
    <w:rsid w:val="00FB5F15"/>
    <w:rsid w:val="00FC1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7000F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53C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53C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53C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453C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53C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53C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53C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53C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53C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53C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53C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53C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453C6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53C6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53C6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53C6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53C6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53C6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53C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53C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53C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53C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53C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53C6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53C6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53C6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53C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53C6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53C6B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637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3750"/>
  </w:style>
  <w:style w:type="paragraph" w:styleId="Rodap">
    <w:name w:val="footer"/>
    <w:basedOn w:val="Normal"/>
    <w:link w:val="RodapChar"/>
    <w:uiPriority w:val="99"/>
    <w:unhideWhenUsed/>
    <w:rsid w:val="00E637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37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4715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9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5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65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1716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2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1538</Words>
  <Characters>8307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2026-04-01T14:17:00Z</dcterms:created>
  <dcterms:modified xsi:type="dcterms:W3CDTF">2026-04-01T14:25:00Z</dcterms:modified>
</cp:coreProperties>
</file>