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617D1" w14:textId="77777777" w:rsidR="004F3B61" w:rsidRPr="00381DD4" w:rsidRDefault="004F3B61" w:rsidP="00904E1F">
      <w:pPr>
        <w:pBdr>
          <w:bottom w:val="single" w:sz="12" w:space="1" w:color="C9A227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539CA975" w14:textId="77777777" w:rsidR="004F3B61" w:rsidRPr="00381DD4" w:rsidRDefault="00B70027" w:rsidP="00904E1F">
      <w:pPr>
        <w:spacing w:before="12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b/>
          <w:bCs/>
          <w:sz w:val="24"/>
          <w:szCs w:val="24"/>
        </w:rPr>
        <w:t>TR – TERMO DE REFERÊNCIA</w:t>
      </w:r>
    </w:p>
    <w:p w14:paraId="3C1DC326" w14:textId="77777777" w:rsidR="004F3B61" w:rsidRPr="00381DD4" w:rsidRDefault="004F3B61" w:rsidP="00904E1F">
      <w:pPr>
        <w:pBdr>
          <w:bottom w:val="single" w:sz="12" w:space="1" w:color="C9A227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4"/>
        <w:gridCol w:w="6526"/>
      </w:tblGrid>
      <w:tr w:rsidR="00381DD4" w14:paraId="58A2DF17" w14:textId="77777777" w:rsidTr="00945F2D">
        <w:trPr>
          <w:jc w:val="center"/>
        </w:trPr>
        <w:tc>
          <w:tcPr>
            <w:tcW w:w="0" w:type="auto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D453E2" w14:textId="77777777" w:rsidR="00381DD4" w:rsidRPr="006615CA" w:rsidRDefault="00381DD4" w:rsidP="00904E1F">
            <w:pPr>
              <w:jc w:val="both"/>
              <w:rPr>
                <w:sz w:val="18"/>
                <w:szCs w:val="18"/>
              </w:rPr>
            </w:pPr>
            <w:r w:rsidRPr="006615CA">
              <w:rPr>
                <w:b/>
                <w:bCs/>
                <w:color w:val="FFFFFF"/>
                <w:sz w:val="18"/>
                <w:szCs w:val="18"/>
              </w:rPr>
              <w:t>IDENTIFICAÇÃO DO PROCESSO</w:t>
            </w:r>
          </w:p>
        </w:tc>
      </w:tr>
      <w:tr w:rsidR="00381DD4" w:rsidRPr="006615CA" w14:paraId="62C37EC9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554F6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b/>
                <w:bCs/>
                <w:sz w:val="16"/>
                <w:szCs w:val="16"/>
              </w:rPr>
              <w:t>Órgão: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A958E1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sz w:val="16"/>
                <w:szCs w:val="16"/>
              </w:rPr>
              <w:t>Município de Condeúba - BA</w:t>
            </w:r>
          </w:p>
        </w:tc>
      </w:tr>
      <w:tr w:rsidR="00381DD4" w:rsidRPr="006615CA" w14:paraId="01896E4C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E3D711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b/>
                <w:bCs/>
                <w:sz w:val="16"/>
                <w:szCs w:val="16"/>
              </w:rPr>
              <w:t>Secretaria Demandante: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BE45D2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sz w:val="16"/>
                <w:szCs w:val="16"/>
              </w:rPr>
              <w:t>Secretaria Municipal de Administração</w:t>
            </w:r>
          </w:p>
        </w:tc>
      </w:tr>
      <w:tr w:rsidR="007A458D" w:rsidRPr="006615CA" w14:paraId="4700F63B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5912DC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Processo Administrativo nº: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352CB5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sz w:val="18"/>
                <w:szCs w:val="18"/>
              </w:rPr>
              <w:t>54/2026</w:t>
            </w:r>
          </w:p>
        </w:tc>
      </w:tr>
      <w:tr w:rsidR="007A458D" w:rsidRPr="006615CA" w14:paraId="2A3E3C59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F308C2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Credenciamento: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A3AD5B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sz w:val="18"/>
                <w:szCs w:val="18"/>
              </w:rPr>
              <w:t>006/2026</w:t>
            </w:r>
          </w:p>
        </w:tc>
      </w:tr>
      <w:tr w:rsidR="007A458D" w:rsidRPr="006615CA" w14:paraId="0C6BC3F4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9DF654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Inexigibilidade: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FFBFBF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sz w:val="18"/>
                <w:szCs w:val="18"/>
              </w:rPr>
              <w:t>026/2026</w:t>
            </w:r>
          </w:p>
        </w:tc>
      </w:tr>
      <w:tr w:rsidR="00381DD4" w:rsidRPr="006615CA" w14:paraId="678E5709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4918A5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b/>
                <w:bCs/>
                <w:sz w:val="16"/>
                <w:szCs w:val="16"/>
              </w:rPr>
              <w:t>Responsável: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4343D7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proofErr w:type="spellStart"/>
            <w:r w:rsidRPr="006615CA">
              <w:rPr>
                <w:sz w:val="16"/>
                <w:szCs w:val="16"/>
              </w:rPr>
              <w:t>Luis</w:t>
            </w:r>
            <w:proofErr w:type="spellEnd"/>
            <w:r w:rsidRPr="006615CA">
              <w:rPr>
                <w:sz w:val="16"/>
                <w:szCs w:val="16"/>
              </w:rPr>
              <w:t xml:space="preserve"> Fernando Andrade Chaves – Secretário(a) Municipal de Administração</w:t>
            </w:r>
          </w:p>
        </w:tc>
      </w:tr>
      <w:tr w:rsidR="00381DD4" w:rsidRPr="006615CA" w14:paraId="612977DD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ADDC7E" w14:textId="77777777" w:rsidR="00381DD4" w:rsidRPr="006615CA" w:rsidRDefault="00381DD4" w:rsidP="00904E1F">
            <w:pPr>
              <w:jc w:val="both"/>
              <w:rPr>
                <w:sz w:val="16"/>
                <w:szCs w:val="16"/>
              </w:rPr>
            </w:pPr>
            <w:r w:rsidRPr="006615CA">
              <w:rPr>
                <w:b/>
                <w:bCs/>
                <w:sz w:val="16"/>
                <w:szCs w:val="16"/>
              </w:rPr>
              <w:t>Modalidade Sugerida: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F0C103" w14:textId="77777777" w:rsidR="00381DD4" w:rsidRPr="006615CA" w:rsidRDefault="007A458D" w:rsidP="00904E1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Credenciamento</w:t>
            </w:r>
          </w:p>
        </w:tc>
      </w:tr>
      <w:tr w:rsidR="007A458D" w:rsidRPr="006615CA" w14:paraId="735A82F6" w14:textId="77777777" w:rsidTr="007A458D">
        <w:trPr>
          <w:jc w:val="center"/>
        </w:trPr>
        <w:tc>
          <w:tcPr>
            <w:tcW w:w="283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EEAF6" w:themeFill="accent1" w:themeFillTint="3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E84915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Fundamentação: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85E69" w14:textId="77777777" w:rsidR="007A458D" w:rsidRPr="00EB0316" w:rsidRDefault="007A458D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031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shd w:val="clear" w:color="auto" w:fill="FFFFFF"/>
              </w:rPr>
              <w:t>Art. 74, inciso IV, </w:t>
            </w:r>
            <w:r w:rsidRPr="00EB0316">
              <w:rPr>
                <w:rFonts w:ascii="Times New Roman" w:hAnsi="Times New Roman" w:cs="Times New Roman"/>
                <w:bCs/>
                <w:color w:val="2C363A"/>
                <w:sz w:val="18"/>
                <w:szCs w:val="18"/>
                <w:shd w:val="clear" w:color="auto" w:fill="FFFFFF"/>
              </w:rPr>
              <w:t>art. 78, inciso I</w:t>
            </w:r>
            <w:r w:rsidRPr="00EB031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shd w:val="clear" w:color="auto" w:fill="FFFFFF"/>
              </w:rPr>
              <w:t> e art. 79 </w:t>
            </w:r>
            <w:r w:rsidRPr="00EB0316">
              <w:rPr>
                <w:rFonts w:ascii="Times New Roman" w:hAnsi="Times New Roman" w:cs="Times New Roman"/>
                <w:bCs/>
                <w:color w:val="2C363A"/>
                <w:sz w:val="18"/>
                <w:szCs w:val="18"/>
                <w:shd w:val="clear" w:color="auto" w:fill="FFFFFF"/>
              </w:rPr>
              <w:t>da Lei Federal nº 14.133/21</w:t>
            </w:r>
          </w:p>
        </w:tc>
      </w:tr>
    </w:tbl>
    <w:p w14:paraId="725F06A2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1 – DO OBJETO</w:t>
      </w:r>
    </w:p>
    <w:p w14:paraId="428E7966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1.1. O presente Termo de Referência tem por objeto o CREDENCIAMENTO e/ou a CONTRATAÇÃO de empresa especializada em agenciamento de viagens para a prestação de serviços de reserva, emissão, marcação, remarcação e cancelamento de passagens TERRESTRES e AÉREAS NACIONAIS, incluindo a intermediação junto às companhias transportadoras, suporte operacional e fornecimento de relatórios gerenciais, em atendimento às necessidades da Prefeitura Municipal de Condeúba – BA e de suas secretarias e órgãos vinculados.</w:t>
      </w:r>
    </w:p>
    <w:p w14:paraId="6ED42454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1.2. Os serviços compreendem, de forma detalhada:</w:t>
      </w:r>
    </w:p>
    <w:p w14:paraId="5B82A86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Reserva e emissão de passagens aéreas domésticas em companhias aéreas regulares habilitadas pela ANAC;</w:t>
      </w:r>
    </w:p>
    <w:p w14:paraId="3E830A8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Reserva e emissão de passagens terrestres (rodoviárias) em empresas autorizadas pela ANTT;</w:t>
      </w:r>
    </w:p>
    <w:p w14:paraId="44379CBB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Marcação e remarcação de assentos, com gestão de disponibilidade e alternativas de rotas;</w:t>
      </w:r>
    </w:p>
    <w:p w14:paraId="24849AE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Cancelamento de passagens e solicitação de reembolso ou crédito junto às transportadoras;</w:t>
      </w:r>
    </w:p>
    <w:p w14:paraId="0E37A27B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Intermediação junto às companhias aéreas e rodoviárias para obtenção das melhores tarifas disponíveis;</w:t>
      </w:r>
    </w:p>
    <w:p w14:paraId="0761074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Disponibilização de sistema/plataforma online de gestão de viagens, com acesso por senha individualizada a servidores autorizados;</w:t>
      </w:r>
    </w:p>
    <w:p w14:paraId="305FEF6D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Emissão de relatórios mensais de utilização, com discriminação por secretaria, servidor, destino, data e valor;</w:t>
      </w:r>
    </w:p>
    <w:p w14:paraId="6B7105E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Suporte operacional em horário comercial e atendimento emergencial em regime 24/7 (sete dias por semana, vinte e quatro horas por dia), para situações urgentes.</w:t>
      </w:r>
    </w:p>
    <w:p w14:paraId="69FB8E68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lastRenderedPageBreak/>
        <w:t>CLÁUSULA 2 – DA FUNDAMENTAÇÃO E AMPARO LEGAL</w:t>
      </w:r>
    </w:p>
    <w:p w14:paraId="157E4B4E" w14:textId="31A1F9FB" w:rsidR="00A427C7" w:rsidRPr="00A427C7" w:rsidRDefault="00381DD4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B70027" w:rsidRPr="00381DD4">
        <w:rPr>
          <w:rFonts w:ascii="Times New Roman" w:hAnsi="Times New Roman" w:cs="Times New Roman"/>
          <w:sz w:val="24"/>
          <w:szCs w:val="24"/>
        </w:rPr>
        <w:t xml:space="preserve"> A modalidade de credenciamento é aplicável ao presente caso por força do art. 79, inciso III, da Lei nº 14.133/2021, que autoriza a celebração de contrato de credenciamento quando a Administração for indiferente à especificidade da pessoa a ser contratada, desde que qualificada para o serviço, e quando a demanda for variável e não exclusiva.</w:t>
      </w:r>
      <w:r w:rsidR="00A427C7">
        <w:rPr>
          <w:rFonts w:ascii="Times New Roman" w:hAnsi="Times New Roman" w:cs="Times New Roman"/>
          <w:sz w:val="24"/>
          <w:szCs w:val="24"/>
        </w:rPr>
        <w:br/>
      </w:r>
      <w:r w:rsidR="00A427C7">
        <w:rPr>
          <w:rFonts w:ascii="Times New Roman" w:hAnsi="Times New Roman" w:cs="Times New Roman"/>
          <w:sz w:val="24"/>
          <w:szCs w:val="24"/>
        </w:rPr>
        <w:br/>
      </w:r>
      <w:r w:rsidR="00A427C7" w:rsidRPr="00A427C7">
        <w:rPr>
          <w:rFonts w:ascii="Times New Roman" w:hAnsi="Times New Roman" w:cs="Times New Roman"/>
          <w:sz w:val="24"/>
          <w:szCs w:val="24"/>
        </w:rPr>
        <w:t>2.</w:t>
      </w:r>
      <w:r w:rsidR="00A427C7">
        <w:rPr>
          <w:rFonts w:ascii="Times New Roman" w:hAnsi="Times New Roman" w:cs="Times New Roman"/>
          <w:sz w:val="24"/>
          <w:szCs w:val="24"/>
        </w:rPr>
        <w:t>2</w:t>
      </w:r>
      <w:r w:rsidR="00A427C7" w:rsidRPr="00A427C7">
        <w:rPr>
          <w:rFonts w:ascii="Times New Roman" w:hAnsi="Times New Roman" w:cs="Times New Roman"/>
          <w:sz w:val="24"/>
          <w:szCs w:val="24"/>
        </w:rPr>
        <w:t xml:space="preserve"> Justificativa da Necessidade</w:t>
      </w:r>
    </w:p>
    <w:p w14:paraId="291B995F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A presente contratação se justifica pela necessidade permanente da Administração Municipal em garantir o deslocamento regular e seguro de pessoas vinculadas aos serviços públicos, especialmente:</w:t>
      </w:r>
    </w:p>
    <w:p w14:paraId="22D7A788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Pacientes do TFD, que necessitam de transporte para tratamento em outras cidades, sendo serviço essencial vinculado ao direito à saúde (art. 196 da CF); </w:t>
      </w:r>
    </w:p>
    <w:p w14:paraId="4642D3F6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Servidores públicos, para participação em capacitações, reuniões institucionais e atividades administrativas; </w:t>
      </w:r>
    </w:p>
    <w:p w14:paraId="0CCA701E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Usuários de programas sociais, assegurando acesso a direitos e políticas públicas; </w:t>
      </w:r>
    </w:p>
    <w:p w14:paraId="4D3BEA04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Demandas administrativas diversas, que exigem mobilidade intermunicipal e interestadual. </w:t>
      </w:r>
    </w:p>
    <w:p w14:paraId="0E8D815C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A ausência desse serviço compromete diretamente a continuidade e eficiência dos serviços públicos essenciais.</w:t>
      </w:r>
    </w:p>
    <w:p w14:paraId="65A85B18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6BB9C29" w14:textId="4BE9838E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427C7">
        <w:rPr>
          <w:rFonts w:ascii="Times New Roman" w:hAnsi="Times New Roman" w:cs="Times New Roman"/>
          <w:sz w:val="24"/>
          <w:szCs w:val="24"/>
        </w:rPr>
        <w:t xml:space="preserve"> Justificativa pela Adoção do Credenciamento</w:t>
      </w:r>
    </w:p>
    <w:p w14:paraId="66628EB5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A escolha pelo credenciamento fundamenta-se nas seguintes razões:</w:t>
      </w:r>
    </w:p>
    <w:p w14:paraId="6E09B056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Demanda variável e imprevisível, impossibilitando a definição prévia de quantitativos exatos; </w:t>
      </w:r>
    </w:p>
    <w:p w14:paraId="04BEB361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Necessidade de múltiplos prestadores, garantindo maior cobertura de rotas e horários; </w:t>
      </w:r>
    </w:p>
    <w:p w14:paraId="22F44584" w14:textId="77777777" w:rsidR="00A427C7" w:rsidRPr="00A427C7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 xml:space="preserve">Promoção da competitividade e economicidade, permitindo ao Município escolher a melhor opção disponível no momento da demanda; </w:t>
      </w:r>
    </w:p>
    <w:p w14:paraId="72932DC7" w14:textId="101B920D" w:rsidR="004F3B61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A427C7">
        <w:rPr>
          <w:rFonts w:ascii="Times New Roman" w:hAnsi="Times New Roman" w:cs="Times New Roman"/>
          <w:sz w:val="24"/>
          <w:szCs w:val="24"/>
        </w:rPr>
        <w:t>•</w:t>
      </w:r>
      <w:r w:rsidRPr="00A427C7">
        <w:rPr>
          <w:rFonts w:ascii="Times New Roman" w:hAnsi="Times New Roman" w:cs="Times New Roman"/>
          <w:sz w:val="24"/>
          <w:szCs w:val="24"/>
        </w:rPr>
        <w:tab/>
        <w:t>Atendimento ao interesse público com maior flexibilidade e eficiência operacional.</w:t>
      </w:r>
    </w:p>
    <w:p w14:paraId="3F2704DB" w14:textId="34183CBD" w:rsidR="00D361A2" w:rsidRPr="00381DD4" w:rsidRDefault="00D361A2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D361A2">
        <w:rPr>
          <w:rFonts w:ascii="Times New Roman" w:hAnsi="Times New Roman" w:cs="Times New Roman"/>
          <w:sz w:val="24"/>
          <w:szCs w:val="24"/>
        </w:rPr>
        <w:t>A adoção do credenciamento mostra-se mais vantajosa que a contratação singular, tendo em vista a impossibilidade de previsão exata da demanda, a necessidade de múltiplas rotas, horários e operadores distintos, além da necessidade de garantir maior competitividade, flexibilidade operacional e atendimento contínuo às demandas da Administração Pública Municipal.</w:t>
      </w:r>
    </w:p>
    <w:p w14:paraId="1350311E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3 – DOS REQUISITOS DA CONTRATAÇÃO</w:t>
      </w:r>
    </w:p>
    <w:p w14:paraId="06790F43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3.1. A empresa contratada deverá atender, durante toda a vigência do contrato, aos seguintes requisitos:</w:t>
      </w:r>
    </w:p>
    <w:p w14:paraId="6D4B3C21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3.1.1 Requisitos Técnicos e Operacionais</w:t>
      </w:r>
    </w:p>
    <w:p w14:paraId="7A4EA01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lastRenderedPageBreak/>
        <w:t>Possuir cadastro ativo junto à IATA (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Air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Transport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Association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) ou comprovante de acesso a sistemas GDS (Global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Distribution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System), como Amadeus, Galileo, Sabre ou equivalentes;</w:t>
      </w:r>
    </w:p>
    <w:p w14:paraId="355FA38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Dispor de sistema próprio ou licenciado de reservas online, com possibilidade de acesso remoto pelos servidores autorizados pelo Município;</w:t>
      </w:r>
    </w:p>
    <w:p w14:paraId="3111A63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Disponibilizar atendimento presencial, por e-mail, telefone e WhatsApp corporativo;</w:t>
      </w:r>
    </w:p>
    <w:p w14:paraId="0D2392C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Garantir atendimento emergencial fora do horário comercial, com tempo de resposta máximo de 2 (duas) horas;</w:t>
      </w:r>
    </w:p>
    <w:p w14:paraId="28C3D37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Emitir bilhetes eletrônicos (e-tickets) com envio ao solicitante em até 2 (duas) horas após a aprovação do pedido;</w:t>
      </w:r>
    </w:p>
    <w:p w14:paraId="7B941B8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Possuir sede, filial ou representação no Estado da Bahia;</w:t>
      </w:r>
    </w:p>
    <w:p w14:paraId="7BF1C73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Manter equipe técnica qualificada, com profissionais habilitados para o agenciamento de viagens corporativas.</w:t>
      </w:r>
    </w:p>
    <w:p w14:paraId="05745E7A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3.1.2 Requisitos de Qualidade</w:t>
      </w:r>
    </w:p>
    <w:p w14:paraId="5C592B8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Apresentar tarifas iguais ou inferiores às disponíveis nos canais diretos das transportadoras (sites oficiais) na data da emissão;</w:t>
      </w:r>
    </w:p>
    <w:p w14:paraId="63E80FF8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Garantir a melhor tarifa disponível no momento da solicitação, mediante pesquisa em múltiplos canais;</w:t>
      </w:r>
    </w:p>
    <w:p w14:paraId="58B977D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Emitir comprovante com todos os dados do passageiro, rota, horário, número do bilhete e valor pago;</w:t>
      </w:r>
    </w:p>
    <w:p w14:paraId="5E36FEF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Fornecer relatório consolidado mensalmente, no formato definido pela Administração.</w:t>
      </w:r>
    </w:p>
    <w:p w14:paraId="7EDF5836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4 – DA FORMA DE EXECUÇÃO DOS SERVIÇOS</w:t>
      </w:r>
    </w:p>
    <w:p w14:paraId="594808B3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4.1. Os serviços serão executados sob demanda, mediante solicitação formal dos servidores autorizados de cada secretaria, nas seguintes etapas:</w:t>
      </w:r>
    </w:p>
    <w:p w14:paraId="3B82A93F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EA3B725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SOLICITAÇÃO: O servidor autorizado encaminhará pedido à agência por meio do sistema online, e-mail institucional ou outro canal definido no contrato, informando: nome completo e CPF do passageiro, destino, data e horário desejados, finalidade da viagem e número do processo administrativo correspondente;</w:t>
      </w:r>
    </w:p>
    <w:p w14:paraId="09B5D771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PESQUISA E COTAÇÃO: A agência deverá apresentar, em até 4 (quatro) horas úteis, no mínimo 3 (três) opções de passagens disponíveis, com indicação de tarifas, horários e condições de cancelamento e remarcação;</w:t>
      </w:r>
    </w:p>
    <w:p w14:paraId="2016CB17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APROVAÇÃO: O gestor do contrato ou fiscal designado aprovará a opção mais vantajosa para o Município, mediante autorização formal;</w:t>
      </w:r>
    </w:p>
    <w:p w14:paraId="2579FE4F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EMISSÃO: Após a aprovação, a agência emitirá o bilhete eletrônico e o encaminhará ao solicitante e ao setor de contabilidade em até 2 (duas) horas;</w:t>
      </w:r>
    </w:p>
    <w:p w14:paraId="541DE514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DOCUMENTAÇÃO: A agência enviará mensalmente ao gestor do contrato os documentos fiscais (nota fiscal de serviço) discriminando os bilhetes emitidos, valores das tarifas, taxas de agenciamento e comprovantes das transportadoras;</w:t>
      </w:r>
    </w:p>
    <w:p w14:paraId="19EA1BF1" w14:textId="77777777" w:rsidR="004F3B61" w:rsidRPr="00381DD4" w:rsidRDefault="00B70027" w:rsidP="00904E1F">
      <w:pPr>
        <w:pStyle w:val="PargrafodaLista"/>
        <w:numPr>
          <w:ilvl w:val="0"/>
          <w:numId w:val="3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lastRenderedPageBreak/>
        <w:t>RELATÓRIO MENSAL: Até o 5º (quinto) dia útil do mês subsequente, a agência encaminhará relatório consolidado de todas as operações realizadas no mês, por secretaria e por passageiro.</w:t>
      </w:r>
    </w:p>
    <w:p w14:paraId="453EA0B3" w14:textId="77777777" w:rsidR="00381DD4" w:rsidRDefault="00B70027" w:rsidP="00904E1F">
      <w:pPr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4.2. Para atendimento emergencial (necessidade de deslocamento imediato, sem planejamento prévio), o prazo de atendimento será de até 2 (duas) horas, inclusive fora do horário comercial.</w:t>
      </w:r>
    </w:p>
    <w:p w14:paraId="0EA7DD0E" w14:textId="77777777" w:rsidR="00381DD4" w:rsidRDefault="00381DD4" w:rsidP="00904E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D81662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4.3. Todos os serviços deverão ser executados em estrita observância às normas da ANAC (passagens aéreas) e da ANTT (passagens terrestres), garantindo a regularidade dos bilhetes emitidos.</w:t>
      </w:r>
    </w:p>
    <w:p w14:paraId="74DFA58F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5 – CRITÉRIOS DE MEDIÇÃO E PAGAMENTO</w:t>
      </w:r>
    </w:p>
    <w:p w14:paraId="42DF57BC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D3599A6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5.1. O pagamento será realizado mensalmente, mediante apresentação de nota fiscal de serviços eletrônica (NFS-e), acompanhada do relatório de utilização do mês, no qual constem:</w:t>
      </w:r>
    </w:p>
    <w:p w14:paraId="5C541A5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Listagem de todos os bilhetes emitidos no período, com dados do passageiro, rota, data, transportadora e valor da tarifa;</w:t>
      </w:r>
    </w:p>
    <w:p w14:paraId="21828B4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Comprovantes emitidos pelas transportadoras, demonstrando a tarifa cobrada;</w:t>
      </w:r>
    </w:p>
    <w:p w14:paraId="2826650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Resumo discriminado da taxa de agenciamento aplicada sobre cada bilhete;</w:t>
      </w:r>
    </w:p>
    <w:p w14:paraId="63FDD05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Certidões negativas de débito federal, estadual, municipal, FGTS e trabalhista em vigor.</w:t>
      </w:r>
    </w:p>
    <w:p w14:paraId="1B2FB3C4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0102539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5.2. O pagamento será efetuado em até 30 (trinta) dias corridos após o atesto da nota fiscal pelo fiscal do contrato, mediante depósito em conta bancária da contratada.</w:t>
      </w:r>
    </w:p>
    <w:p w14:paraId="5670A5F7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A9BDFA7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5.3. O Município somente pagará as tarifas efetivamente praticadas pelas transportadoras (custo real do bilhete) e a taxa de agenciamento contratada. Não serão admitidas cobranças de taxas adicionais, fretes, emolumentos ou outros encargos não previstos neste Termo de Referência.</w:t>
      </w:r>
    </w:p>
    <w:p w14:paraId="08DFEB3A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14FD695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5.4. Em caso de cancelamento de passagem, os valores das tarifas deverão ser devolvidos ou creditados ao Município no prazo fixado pela transportadora, descontadas as penalidades contratuais da operadora, sendo vedado à agência reter qualquer valor além da taxa de agenciamento proporcional já cobrada.</w:t>
      </w:r>
    </w:p>
    <w:p w14:paraId="3EE7C2AF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248206" w14:textId="3AC45BB0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 xml:space="preserve">5.5. </w:t>
      </w:r>
      <w:r w:rsidR="00EF2816" w:rsidRPr="00EF2816">
        <w:rPr>
          <w:rFonts w:ascii="Times New Roman" w:hAnsi="Times New Roman" w:cs="Times New Roman"/>
          <w:sz w:val="24"/>
          <w:szCs w:val="24"/>
        </w:rPr>
        <w:t xml:space="preserve">O modelo de remuneração adotado será mediante TAXA DE AGENCIAMENTO incidente sobre o valor efetivamente pago em cada bilhete emitido, admitindo-se taxa positiva, negativa ou zero, observando-se o percentual máximo de </w:t>
      </w:r>
      <w:r w:rsidR="00EF2816">
        <w:rPr>
          <w:rFonts w:ascii="Times New Roman" w:hAnsi="Times New Roman" w:cs="Times New Roman"/>
          <w:sz w:val="24"/>
          <w:szCs w:val="24"/>
        </w:rPr>
        <w:t>10</w:t>
      </w:r>
      <w:r w:rsidR="00EF2816" w:rsidRPr="00EF2816">
        <w:rPr>
          <w:rFonts w:ascii="Times New Roman" w:hAnsi="Times New Roman" w:cs="Times New Roman"/>
          <w:sz w:val="24"/>
          <w:szCs w:val="24"/>
        </w:rPr>
        <w:t>% (</w:t>
      </w:r>
      <w:r w:rsidR="00EF2816">
        <w:rPr>
          <w:rFonts w:ascii="Times New Roman" w:hAnsi="Times New Roman" w:cs="Times New Roman"/>
          <w:sz w:val="24"/>
          <w:szCs w:val="24"/>
        </w:rPr>
        <w:t>dez</w:t>
      </w:r>
      <w:r w:rsidR="00EF2816" w:rsidRPr="00EF2816">
        <w:rPr>
          <w:rFonts w:ascii="Times New Roman" w:hAnsi="Times New Roman" w:cs="Times New Roman"/>
          <w:sz w:val="24"/>
          <w:szCs w:val="24"/>
        </w:rPr>
        <w:t xml:space="preserve"> por cento)</w:t>
      </w:r>
      <w:r w:rsidRPr="00381DD4">
        <w:rPr>
          <w:rFonts w:ascii="Times New Roman" w:hAnsi="Times New Roman" w:cs="Times New Roman"/>
          <w:sz w:val="24"/>
          <w:szCs w:val="24"/>
        </w:rPr>
        <w:t>.</w:t>
      </w:r>
    </w:p>
    <w:p w14:paraId="7F9D00D5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4535F7B8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5.6. As despesas com refeições, hospedagem e demais custos de viagem do passageiro NÃO integram o objeto deste contrato.</w:t>
      </w:r>
    </w:p>
    <w:p w14:paraId="426D2FED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1D46804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lastRenderedPageBreak/>
        <w:t>CLÁUSULA 6 – OBRIGAÇÕES DA CONTRATADA</w:t>
      </w:r>
    </w:p>
    <w:p w14:paraId="7CA7683F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6.1. São obrigações da empresa contratada:</w:t>
      </w:r>
    </w:p>
    <w:p w14:paraId="3D57306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Executar os serviços com profissionalismo, pontualidade e qualidade, em conformidade com este Termo de Referência e com o contrato firmado;</w:t>
      </w:r>
    </w:p>
    <w:p w14:paraId="54E8881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Manter, durante toda a vigência do contrato, todas as condições de habilitação exigidas para a contratação;</w:t>
      </w:r>
    </w:p>
    <w:p w14:paraId="77BA3F7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Apresentar as melhores tarifas disponíveis no mercado para cada solicitação, com pesquisa em múltiplos canais;</w:t>
      </w:r>
    </w:p>
    <w:p w14:paraId="3F22636B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Emitir os bilhetes em até 2 (duas) horas após a aprovação formal pelo gestor ou fiscal do contrato;</w:t>
      </w:r>
    </w:p>
    <w:p w14:paraId="254CE4F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Fornecer sistema/plataforma online de acesso para consulta e solicitação de serviços pelos servidores autorizados;</w:t>
      </w:r>
    </w:p>
    <w:p w14:paraId="11F8196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Apresentar relatório mensal detalhado até o 5º dia útil do mês subsequente;</w:t>
      </w:r>
    </w:p>
    <w:p w14:paraId="75F2E65E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Manter sigilo sobre os dados dos servidores e das viagens realizadas, nos termos da Lei nº 13.709/2018 (LGPD);</w:t>
      </w:r>
    </w:p>
    <w:p w14:paraId="027CAA93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Comunicar imediatamente ao gestor do contrato quaisquer alterações nos voos, remarcações forçadas ou cancelamentos promovidos pelas transportadoras;</w:t>
      </w:r>
    </w:p>
    <w:p w14:paraId="03A877C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Garantir atendimento emergencial 24/7, com tempo de resposta máximo de 2 (duas) horas;</w:t>
      </w:r>
    </w:p>
    <w:p w14:paraId="71081E3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Cumprir as normas de saúde e segurança aplicáveis à espécie;</w:t>
      </w:r>
    </w:p>
    <w:p w14:paraId="5F7BACF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Acatar as orientações do fiscal e do gestor do contrato, mantendo canal de comunicação permanente;</w:t>
      </w:r>
    </w:p>
    <w:p w14:paraId="26A742A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Manter preposto responsável pelo contrato, com poderes para resolver questões operacionais.</w:t>
      </w:r>
    </w:p>
    <w:p w14:paraId="79B46F48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7 – OBRIGAÇÕES DA CONTRATANTE</w:t>
      </w:r>
    </w:p>
    <w:p w14:paraId="1A1E17F7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7.1. São obrigações da Prefeitura Municipal de Condeúba:</w:t>
      </w:r>
    </w:p>
    <w:p w14:paraId="0F8A2D7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Cumprir os prazos de pagamento previstos neste Termo de Referência e no contrato;</w:t>
      </w:r>
    </w:p>
    <w:p w14:paraId="42FF9DD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Designar fiscal e gestor do contrato, nos termos do art. 117 da Lei nº 14.133/2021;</w:t>
      </w:r>
    </w:p>
    <w:p w14:paraId="635789B0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Fornecer à contratada as informações necessárias para a execução dos serviços;</w:t>
      </w:r>
    </w:p>
    <w:p w14:paraId="304A087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Definir os servidores autorizados a solicitar passagens em cada secretaria;</w:t>
      </w:r>
    </w:p>
    <w:p w14:paraId="2332B94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Comunicar formalmente à contratada quaisquer irregularidades na execução dos serviços;</w:t>
      </w:r>
    </w:p>
    <w:p w14:paraId="6BFADE03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Atestar as notas fiscais no prazo de até 5 (cinco) dias úteis após o recebimento;</w:t>
      </w:r>
    </w:p>
    <w:p w14:paraId="122417A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Prestar as informações e esclarecimentos necessários ao cumprimento do objeto do contrato;</w:t>
      </w:r>
    </w:p>
    <w:p w14:paraId="0DABE6D7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Fiscalizar permanentemente a execução dos serviços, nos termos do art. 117 da Lei nº 14.133/2021;</w:t>
      </w:r>
    </w:p>
    <w:p w14:paraId="16C38E0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Aplicar as penalidades previstas neste Termo de Referência e no contrato, quando cabível.</w:t>
      </w:r>
    </w:p>
    <w:p w14:paraId="672CD77E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E53F003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lastRenderedPageBreak/>
        <w:t>CLÁUSULA 8 – EXIGÊNCIAS DE HABILITAÇÃO</w:t>
      </w:r>
    </w:p>
    <w:p w14:paraId="352B8ADE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8.1. Para fins de habilitação no credenciamento ou na licitação, os interessados deverão apresentar os seguintes documentos:</w:t>
      </w:r>
    </w:p>
    <w:p w14:paraId="627B3014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8.1.1 Habilitação Jurídica (art. 66 da Lei nº 14.133/2021)</w:t>
      </w:r>
    </w:p>
    <w:p w14:paraId="2AF04968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Ato constitutivo, estatuto ou contrato social em vigor, devidamente registrado na Junta Comercial ou Cartório de Registro, incluindo todas as alterações; ou Certificado da Condição de Microempreendedor Individual – CCMEI;</w:t>
      </w:r>
    </w:p>
    <w:p w14:paraId="5F3CE1F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Documento de identidade do(s) sócio(s) administrador(es) ou representante legal;</w:t>
      </w:r>
    </w:p>
    <w:p w14:paraId="3DB589A3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Procuração pública ou particular com firma reconhecida, quando o signatário não for o representante legal.</w:t>
      </w:r>
    </w:p>
    <w:p w14:paraId="786E01EF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8.1.2 Regularidade Fiscal, Social e Trabalhista (art. 68 da Lei nº 14.133/2021)</w:t>
      </w:r>
    </w:p>
    <w:p w14:paraId="2F4D3838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inscrição no Cadastro Nacional de Pessoas Jurídicas – CNPJ;</w:t>
      </w:r>
    </w:p>
    <w:p w14:paraId="407282B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inscrição no Cadastro de Contribuintes Municipal e/ou Estadual, conforme o domicílio da empresa;</w:t>
      </w:r>
    </w:p>
    <w:p w14:paraId="040CFC60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regularidade perante a Fazenda Federal (Certidão Conjunta PGFN/RFB);</w:t>
      </w:r>
    </w:p>
    <w:p w14:paraId="013A9F3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regularidade perante a Fazenda Estadual do domicílio do licitante;</w:t>
      </w:r>
    </w:p>
    <w:p w14:paraId="40FA6DCD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regularidade perante a Fazenda Municipal do domicílio do licitante;</w:t>
      </w:r>
    </w:p>
    <w:p w14:paraId="6253182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regularidade relativa ao Fundo de Garantia do Tempo de Serviço – FGTS (CRF);</w:t>
      </w:r>
    </w:p>
    <w:p w14:paraId="28D19A4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 (CNDT);</w:t>
      </w:r>
    </w:p>
    <w:p w14:paraId="0C1986E5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Microempresas e Empresas de Pequeno Porte: apresentar declaração de enquadramento, conforme Lei Complementar nº 123/2006, sendo-lhes assegurado o benefício do art. 43 da referida lei.</w:t>
      </w:r>
    </w:p>
    <w:p w14:paraId="4A58A987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8.1.3 Qualificação Técnica (art. 67 da Lei nº 14.133/2021)</w:t>
      </w:r>
    </w:p>
    <w:p w14:paraId="466C6B9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 xml:space="preserve">Certificado de cadastro ou habilitação como agência de viagens junto à IATA, ou comprovação de acesso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sistema GDS (Global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Distribution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System);</w:t>
      </w:r>
    </w:p>
    <w:p w14:paraId="48679D7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Alvará de funcionamento como agência de viagens, emitido pelo Município de domicílio;</w:t>
      </w:r>
    </w:p>
    <w:p w14:paraId="4A111834" w14:textId="33C1F9D2" w:rsidR="004F3B61" w:rsidRPr="00381DD4" w:rsidRDefault="00904E1F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904E1F">
        <w:rPr>
          <w:rFonts w:ascii="Times New Roman" w:hAnsi="Times New Roman" w:cs="Times New Roman"/>
          <w:sz w:val="24"/>
          <w:szCs w:val="24"/>
        </w:rPr>
        <w:t>Atestado(s) de capacidade técnica, emitido(s) por pessoa jurídica de direito público ou privado, comprovando a prestação de serviços compatíveis em características com o objeto da presente contratação</w:t>
      </w:r>
      <w:r w:rsidR="00B70027" w:rsidRPr="00381DD4">
        <w:rPr>
          <w:rFonts w:ascii="Times New Roman" w:hAnsi="Times New Roman" w:cs="Times New Roman"/>
          <w:sz w:val="24"/>
          <w:szCs w:val="24"/>
        </w:rPr>
        <w:t>;</w:t>
      </w:r>
    </w:p>
    <w:p w14:paraId="0CDA564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 xml:space="preserve">Declaração de que possui acesso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 xml:space="preserve"> sistema online de gestão de viagens corporativas, com demonstração de funcionalidades, se exigido no edital.</w:t>
      </w:r>
    </w:p>
    <w:p w14:paraId="2F2D0EBB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8.1.4 Qualificação Econômico-Financeira (art. 69 da Lei nº 14.133/2021)</w:t>
      </w:r>
    </w:p>
    <w:p w14:paraId="6E9AD81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Certidão negativa de falência ou recuperação judicial, expedida pelo distribuidor da sede da empresa;</w:t>
      </w:r>
    </w:p>
    <w:p w14:paraId="456131D1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Balanço patrimonial do último exercício social exigível, comprovando boa situação financeira, com Índice de Liquidez Geral – ILG e Índice de Liquidez Corrente – ILC iguais ou superiores a 1,00;</w:t>
      </w:r>
    </w:p>
    <w:p w14:paraId="3CC0E6C8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lastRenderedPageBreak/>
        <w:t>Capital Social ou Patrimônio Líquido mínimo de 10% (dez por cento) do valor estimado do contrato, nos termos do art. 69, § 2º, da Lei nº 14.133/2021.</w:t>
      </w:r>
    </w:p>
    <w:p w14:paraId="4F6267EA" w14:textId="77777777" w:rsidR="004F3B61" w:rsidRPr="00381DD4" w:rsidRDefault="00B70027" w:rsidP="00904E1F">
      <w:pPr>
        <w:pStyle w:val="Ttulo2"/>
        <w:jc w:val="both"/>
        <w:rPr>
          <w:rFonts w:ascii="Times New Roman" w:hAnsi="Times New Roman" w:cs="Times New Roman"/>
          <w:color w:val="auto"/>
        </w:rPr>
      </w:pPr>
      <w:r w:rsidRPr="00381DD4">
        <w:rPr>
          <w:rFonts w:ascii="Times New Roman" w:hAnsi="Times New Roman" w:cs="Times New Roman"/>
          <w:color w:val="auto"/>
        </w:rPr>
        <w:t>8.1.5 Declarações Complementares</w:t>
      </w:r>
    </w:p>
    <w:p w14:paraId="0D394D0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Declaração de que não emprega menor de 18 anos em trabalho noturno, perigoso ou insalubre e menor de 16 anos em qualquer trabalho (art. 7º, XXXIII, CF/88);</w:t>
      </w:r>
    </w:p>
    <w:p w14:paraId="6A4C06C3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Declaração de inexistência de fatos impeditivos de habilitação;</w:t>
      </w:r>
    </w:p>
    <w:p w14:paraId="01AC5A29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Declaração de cumprimento da Lei nº 13.709/2018 (LGPD) no tratamento de dados pessoais de passageiros.</w:t>
      </w:r>
    </w:p>
    <w:p w14:paraId="4C0B78E9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9 – CRITÉRIO DE JULGAMENTO E SELEÇÃO</w:t>
      </w:r>
    </w:p>
    <w:p w14:paraId="6F2A6E51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49D70AF1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9.1. NO CREDENCIAMENTO: Serão habilitadas todas as empresas que comprovem o cumprimento das exigências deste Termo de Referência, sendo admitido o credenciamento simultâneo de múltiplas agências. As contratações serão distribuídas entre as credenciadas conforme critérios de disponibilidade, economia e melhor tarifa no momento de cada solicitação.</w:t>
      </w:r>
    </w:p>
    <w:p w14:paraId="59CBA095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DC5695" w14:textId="77777777" w:rsidR="004F3B61" w:rsidRPr="00381DD4" w:rsidRDefault="00381DD4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</w:t>
      </w:r>
      <w:r w:rsidR="00B70027" w:rsidRPr="00381DD4">
        <w:rPr>
          <w:rFonts w:ascii="Times New Roman" w:hAnsi="Times New Roman" w:cs="Times New Roman"/>
          <w:sz w:val="24"/>
          <w:szCs w:val="24"/>
        </w:rPr>
        <w:t>. Para fins de comparação de propostas, a licitante deverá apresentar proposta com o percentual máximo de taxa de agenciamento que pretende praticar sobre os bilhetes emitidos. As tarifas das passagens propriamente ditas não compõem a proposta, pois são definidas pelas transportadoras e cobradas pelo custo real.</w:t>
      </w:r>
    </w:p>
    <w:p w14:paraId="66F285E4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1076E19" w14:textId="77777777" w:rsidR="004F3B61" w:rsidRPr="00381DD4" w:rsidRDefault="00381DD4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</w:t>
      </w:r>
      <w:r w:rsidR="00B70027" w:rsidRPr="00381DD4">
        <w:rPr>
          <w:rFonts w:ascii="Times New Roman" w:hAnsi="Times New Roman" w:cs="Times New Roman"/>
          <w:sz w:val="24"/>
          <w:szCs w:val="24"/>
        </w:rPr>
        <w:t xml:space="preserve"> As Microempresas e Empresas de Pequeno Porte terão tratamento diferenciado previsto na Lei Complementar nº 123/2006, incluindo o benefício do desempate ficto.</w:t>
      </w:r>
    </w:p>
    <w:p w14:paraId="3E15E77E" w14:textId="77777777" w:rsidR="004F3B61" w:rsidRPr="00ED1CC0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D1CC0">
        <w:rPr>
          <w:rFonts w:ascii="Times New Roman" w:hAnsi="Times New Roman" w:cs="Times New Roman"/>
          <w:color w:val="auto"/>
          <w:sz w:val="24"/>
          <w:szCs w:val="24"/>
        </w:rPr>
        <w:t>CLÁUSULA 10 – ESTIMATIVA DE PREÇOS E DOTAÇÃO ORÇAMENTÁRIA</w:t>
      </w:r>
    </w:p>
    <w:p w14:paraId="695EAD8B" w14:textId="251BA3AB" w:rsidR="004F3B61" w:rsidRPr="00ED1CC0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 xml:space="preserve">10.1. O valor estimado do presente contrato, para o período de 12 (doze) meses, é de </w:t>
      </w:r>
      <w:r w:rsidR="00ED1CC0" w:rsidRPr="00ED1CC0">
        <w:rPr>
          <w:rFonts w:ascii="Times New Roman" w:hAnsi="Times New Roman" w:cs="Times New Roman"/>
          <w:sz w:val="24"/>
          <w:szCs w:val="24"/>
        </w:rPr>
        <w:t>R$ 400.000,00 (quatrocentos mil reais)</w:t>
      </w:r>
      <w:r w:rsidRPr="00ED1CC0">
        <w:rPr>
          <w:rFonts w:ascii="Times New Roman" w:hAnsi="Times New Roman" w:cs="Times New Roman"/>
          <w:sz w:val="24"/>
          <w:szCs w:val="24"/>
        </w:rPr>
        <w:t>, compreendendo o custo real das passagens emitidas e a taxa de agenciamento correspondente. Este valor é estimativo e não vincula a Administração.</w:t>
      </w:r>
    </w:p>
    <w:p w14:paraId="70F4FABF" w14:textId="77777777" w:rsidR="00A427C7" w:rsidRPr="00ED1CC0" w:rsidRDefault="00A427C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>10.2 A estimativa global da contratação será baseada:</w:t>
      </w:r>
    </w:p>
    <w:p w14:paraId="3945257F" w14:textId="77777777" w:rsidR="00A427C7" w:rsidRPr="00ED1CC0" w:rsidRDefault="00A427C7" w:rsidP="00904E1F">
      <w:pPr>
        <w:spacing w:before="60" w:after="6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>•</w:t>
      </w:r>
      <w:r w:rsidRPr="00ED1CC0">
        <w:rPr>
          <w:rFonts w:ascii="Times New Roman" w:hAnsi="Times New Roman" w:cs="Times New Roman"/>
          <w:sz w:val="24"/>
          <w:szCs w:val="24"/>
        </w:rPr>
        <w:tab/>
        <w:t xml:space="preserve">Em histórico de contratações anteriores; </w:t>
      </w:r>
    </w:p>
    <w:p w14:paraId="50D931AB" w14:textId="77777777" w:rsidR="00A427C7" w:rsidRPr="00ED1CC0" w:rsidRDefault="00A427C7" w:rsidP="00904E1F">
      <w:pPr>
        <w:spacing w:before="60"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1CC0">
        <w:rPr>
          <w:rFonts w:ascii="Times New Roman" w:hAnsi="Times New Roman" w:cs="Times New Roman"/>
          <w:b/>
          <w:bCs/>
          <w:sz w:val="24"/>
          <w:szCs w:val="24"/>
        </w:rPr>
        <w:t>Forma de remuneração:</w:t>
      </w:r>
    </w:p>
    <w:p w14:paraId="37535CFD" w14:textId="77777777" w:rsidR="00A427C7" w:rsidRPr="00ED1CC0" w:rsidRDefault="00A427C7" w:rsidP="00904E1F">
      <w:pPr>
        <w:spacing w:before="60" w:after="6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>•</w:t>
      </w:r>
      <w:r w:rsidRPr="00ED1CC0">
        <w:rPr>
          <w:rFonts w:ascii="Times New Roman" w:hAnsi="Times New Roman" w:cs="Times New Roman"/>
          <w:sz w:val="24"/>
          <w:szCs w:val="24"/>
        </w:rPr>
        <w:tab/>
        <w:t xml:space="preserve">Valor da passagem conforme tarifa oficial; </w:t>
      </w:r>
    </w:p>
    <w:p w14:paraId="7B6D49A1" w14:textId="14233705" w:rsidR="00A427C7" w:rsidRPr="00ED1CC0" w:rsidRDefault="00A427C7" w:rsidP="00904E1F">
      <w:pPr>
        <w:spacing w:before="60" w:after="6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>•</w:t>
      </w:r>
      <w:r w:rsidRPr="00ED1CC0">
        <w:rPr>
          <w:rFonts w:ascii="Times New Roman" w:hAnsi="Times New Roman" w:cs="Times New Roman"/>
          <w:sz w:val="24"/>
          <w:szCs w:val="24"/>
        </w:rPr>
        <w:tab/>
        <w:t>Possibilidade de aplicação de taxa administrativa (positiva, zero ou negativa), conforme proposta da credenciada.</w:t>
      </w:r>
    </w:p>
    <w:p w14:paraId="2ABA1A19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D1CC0">
        <w:rPr>
          <w:rFonts w:ascii="Times New Roman" w:hAnsi="Times New Roman" w:cs="Times New Roman"/>
          <w:sz w:val="24"/>
          <w:szCs w:val="24"/>
        </w:rPr>
        <w:t>10.2. A estimativa foi elaborada com base em pesquisa de mercado, histórico de consumo e cotações junto a agências de viagens atuantes no mercado baiano, em conformidade com a IN SEGES/ME nº 65/2021.</w:t>
      </w:r>
    </w:p>
    <w:p w14:paraId="4087EA8D" w14:textId="77777777" w:rsidR="00381DD4" w:rsidRDefault="00381DD4" w:rsidP="00904E1F">
      <w:pPr>
        <w:spacing w:after="60"/>
        <w:jc w:val="both"/>
      </w:pPr>
    </w:p>
    <w:p w14:paraId="393E0947" w14:textId="77777777" w:rsidR="00381DD4" w:rsidRPr="00381DD4" w:rsidRDefault="00381DD4" w:rsidP="00904E1F">
      <w:pPr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DD4">
        <w:rPr>
          <w:rFonts w:ascii="Times New Roman" w:hAnsi="Times New Roman" w:cs="Times New Roman"/>
          <w:b/>
          <w:sz w:val="24"/>
          <w:szCs w:val="24"/>
        </w:rPr>
        <w:t>030201 – Secretaria de Administração</w:t>
      </w:r>
    </w:p>
    <w:p w14:paraId="1BF6AB68" w14:textId="77777777" w:rsidR="00381DD4" w:rsidRPr="00381DD4" w:rsidRDefault="00381DD4" w:rsidP="00904E1F">
      <w:pPr>
        <w:tabs>
          <w:tab w:val="left" w:pos="1701"/>
        </w:tabs>
        <w:autoSpaceDE w:val="0"/>
        <w:autoSpaceDN w:val="0"/>
        <w:adjustRightInd w:val="0"/>
        <w:spacing w:before="60"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DD4">
        <w:rPr>
          <w:rFonts w:ascii="Times New Roman" w:hAnsi="Times New Roman" w:cs="Times New Roman"/>
          <w:b/>
          <w:sz w:val="24"/>
          <w:szCs w:val="24"/>
        </w:rPr>
        <w:lastRenderedPageBreak/>
        <w:t>Atividade: 2.013 – Manutenção dos Serviços Administrativos</w:t>
      </w:r>
      <w:r w:rsidRPr="00381DD4">
        <w:rPr>
          <w:rFonts w:ascii="Times New Roman" w:hAnsi="Times New Roman" w:cs="Times New Roman"/>
          <w:b/>
          <w:sz w:val="24"/>
          <w:szCs w:val="24"/>
        </w:rPr>
        <w:br/>
        <w:t>Elemento: 3.3.90.33.00.00 – Passagens e Despesas com Locomoção</w:t>
      </w:r>
      <w:r w:rsidRPr="00381DD4">
        <w:rPr>
          <w:rFonts w:ascii="Times New Roman" w:hAnsi="Times New Roman" w:cs="Times New Roman"/>
          <w:b/>
          <w:sz w:val="24"/>
          <w:szCs w:val="24"/>
        </w:rPr>
        <w:br/>
        <w:t>Fonte: 1500 - Recursos não vinculados de impostos</w:t>
      </w:r>
    </w:p>
    <w:p w14:paraId="611A7A9D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4FDEBDF7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10.3. Declaração de Disponibilidade Orçamentária: O Secretário(a) Municipal de Administração e Finanças declara que existe previsão orçamentária para a cobertura das despesas decorrentes desta contratação, nos termos do art. 16 da Lei Complementar nº 101/2000 e do art. 11, § 1º, da Lei nº 14.133/2021, havendo disponibilidade de créditos suficientes para atender às despesas no exercício corrente.</w:t>
      </w:r>
    </w:p>
    <w:p w14:paraId="0B939692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11 – FISCALIZAÇÃO E GESTÃO DO CONTRATO</w:t>
      </w:r>
    </w:p>
    <w:p w14:paraId="380417FC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 xml:space="preserve">11.1. A execução do contrato será acompanhada por GESTOR DO CONTRATO e FISCAL DO CONTRATO, designados por portaria do Prefeito Municipal, nos termos dos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>. 117 e 118 da Lei nº 14.133/2021.</w:t>
      </w:r>
    </w:p>
    <w:p w14:paraId="1018FA30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2942BC89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11.2. O FISCAL DO CONTRATO será responsável por:</w:t>
      </w:r>
    </w:p>
    <w:p w14:paraId="004796F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Verificar a conformidade dos serviços executados com as especificações deste Termo de Referência;</w:t>
      </w:r>
    </w:p>
    <w:p w14:paraId="5577F266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Atestar as notas fiscais e relatórios de utilização apresentados pela contratada;</w:t>
      </w:r>
    </w:p>
    <w:p w14:paraId="759B1D60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Registrar as ocorrências e irregularidades verificadas na execução do contrato;</w:t>
      </w:r>
    </w:p>
    <w:p w14:paraId="5AC2F0C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Comunicar ao Gestor do Contrato as situações que requeiram providências além de sua alçada;</w:t>
      </w:r>
    </w:p>
    <w:p w14:paraId="039CA4F2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Verificar se as tarifas cobradas correspondem às efetivamente praticadas pelas transportadoras.</w:t>
      </w:r>
    </w:p>
    <w:p w14:paraId="2B707B6F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53C088D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11.3. O GESTOR DO CONTRATO será responsável por:</w:t>
      </w:r>
    </w:p>
    <w:p w14:paraId="3B20B7AE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Coordenar as ações necessárias à regular execução do contrato;</w:t>
      </w:r>
    </w:p>
    <w:p w14:paraId="7133595D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Aplicar as penalidades previstas no contrato, após processo administrativo regular;</w:t>
      </w:r>
    </w:p>
    <w:p w14:paraId="59F825BE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Encaminhar ao setor jurídico as situações que requeiram providências de rescisão contratual;</w:t>
      </w:r>
    </w:p>
    <w:p w14:paraId="1FCCC5AA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Autorizar o pagamento após o atesto do fiscal;</w:t>
      </w:r>
    </w:p>
    <w:p w14:paraId="0DC7C3DB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Elaborar relatório semestral de avaliação da execução contratual para os autos do processo.</w:t>
      </w:r>
    </w:p>
    <w:p w14:paraId="43B16BC5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803BC9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11.4. A fiscalização não exclui nem reduz a responsabilidade da contratada pela perfeita execução dos serviços, inclusive pelos danos causados a terceiros ou ao patrimônio público (art. 120, Lei nº 14.133/2021).</w:t>
      </w:r>
    </w:p>
    <w:p w14:paraId="348FDA5C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12 – PENALIDADES E SANÇÕES ADMINISTRATIVAS</w:t>
      </w:r>
    </w:p>
    <w:p w14:paraId="0DB8BC8A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lastRenderedPageBreak/>
        <w:t xml:space="preserve">12.1. Pelo descumprimento parcial ou total das obrigações contratuais, a contratada estará sujeita às seguintes sanções, nos termos dos </w:t>
      </w:r>
      <w:proofErr w:type="spellStart"/>
      <w:r w:rsidRPr="00381DD4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381DD4">
        <w:rPr>
          <w:rFonts w:ascii="Times New Roman" w:hAnsi="Times New Roman" w:cs="Times New Roman"/>
          <w:sz w:val="24"/>
          <w:szCs w:val="24"/>
        </w:rPr>
        <w:t>. 155 a 163 da Lei nº 14.133/2021:</w:t>
      </w:r>
    </w:p>
    <w:p w14:paraId="0325A7B1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3"/>
        <w:gridCol w:w="5537"/>
      </w:tblGrid>
      <w:tr w:rsidR="00381DD4" w:rsidRPr="00381DD4" w14:paraId="3892D6A2" w14:textId="77777777" w:rsidTr="00207B9F">
        <w:trPr>
          <w:tblHeader/>
        </w:trPr>
        <w:tc>
          <w:tcPr>
            <w:tcW w:w="3823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9EF58F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Infração / Descumprimento</w:t>
            </w:r>
          </w:p>
        </w:tc>
        <w:tc>
          <w:tcPr>
            <w:tcW w:w="5537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3F5B00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Penalidade Aplicável</w:t>
            </w:r>
          </w:p>
        </w:tc>
      </w:tr>
      <w:tr w:rsidR="00381DD4" w:rsidRPr="00381DD4" w14:paraId="12B89EAE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40D133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Atraso na emissão de bilhetes (até 5 dias)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A69540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Advertência formal por escrito</w:t>
            </w:r>
          </w:p>
        </w:tc>
      </w:tr>
      <w:tr w:rsidR="00381DD4" w:rsidRPr="00381DD4" w14:paraId="7B3A1A00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AC3860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Atraso na emissão de bilhetes (&gt; 5 dias)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FB9970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Multa de 0,5% por dia sobre o valor do bilhete, até 10%</w:t>
            </w:r>
          </w:p>
        </w:tc>
      </w:tr>
      <w:tr w:rsidR="00381DD4" w:rsidRPr="00381DD4" w14:paraId="3E83596C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047AAA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Cobrança de taxa acima do contratado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E2D7F2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Multa de 10% sobre o valor irregular + ressarcimento integral</w:t>
            </w:r>
          </w:p>
        </w:tc>
      </w:tr>
      <w:tr w:rsidR="00381DD4" w:rsidRPr="00381DD4" w14:paraId="041FB7C8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0A5D66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Ausência de relatório mensal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ADF1BD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Multa de 0,5% sobre o valor do contrato no mês</w:t>
            </w:r>
          </w:p>
        </w:tc>
      </w:tr>
      <w:tr w:rsidR="00381DD4" w:rsidRPr="00381DD4" w14:paraId="4C5CA670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DA1825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Inexecução parcial do objeto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DD2EE3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 xml:space="preserve">Multa de até 20% sobre o valor da parte </w:t>
            </w:r>
            <w:proofErr w:type="spellStart"/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inexecutada</w:t>
            </w:r>
            <w:proofErr w:type="spellEnd"/>
          </w:p>
        </w:tc>
      </w:tr>
      <w:tr w:rsidR="00381DD4" w:rsidRPr="00381DD4" w14:paraId="188D4C16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9E6CA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Inexecução total do objeto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C78D88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Multa de até 30% sobre o valor total do contrato + suspensão</w:t>
            </w:r>
          </w:p>
        </w:tc>
      </w:tr>
      <w:tr w:rsidR="00381DD4" w:rsidRPr="00381DD4" w14:paraId="2FE6CC39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ACABE0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Fornecimento de informação falsa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4A9FF2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Declaração de inidoneidade (art. 156, IV, Lei nº 14.133/2021)</w:t>
            </w:r>
          </w:p>
        </w:tc>
      </w:tr>
      <w:tr w:rsidR="00381DD4" w:rsidRPr="00381DD4" w14:paraId="68AB8FCF" w14:textId="77777777" w:rsidTr="00207B9F">
        <w:tc>
          <w:tcPr>
            <w:tcW w:w="382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358138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Reincidência em irregularidades</w:t>
            </w:r>
          </w:p>
        </w:tc>
        <w:tc>
          <w:tcPr>
            <w:tcW w:w="553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AB2B5E" w14:textId="77777777" w:rsidR="004F3B61" w:rsidRPr="00207B9F" w:rsidRDefault="00B70027" w:rsidP="00904E1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B9F">
              <w:rPr>
                <w:rFonts w:ascii="Times New Roman" w:hAnsi="Times New Roman" w:cs="Times New Roman"/>
                <w:sz w:val="18"/>
                <w:szCs w:val="18"/>
              </w:rPr>
              <w:t>Impedimento de licitar e contratar (art. 156, III, Lei nº 14.133/2021)</w:t>
            </w:r>
          </w:p>
        </w:tc>
      </w:tr>
    </w:tbl>
    <w:p w14:paraId="18B8F02A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9E22752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12.2. As penalidades serão aplicadas mediante processo administrativo regular, assegurado o direito à ampla defesa e ao contraditório, nos termos do art. 158 da Lei nº 14.133/2021.</w:t>
      </w:r>
    </w:p>
    <w:p w14:paraId="440B20C6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9F5174E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12.3. As multas serão descontadas dos pagamentos devidos à contratada ou, em caso de insuficiência, cobradas judicialmente, constituindo-se título executivo extrajudicial.</w:t>
      </w:r>
    </w:p>
    <w:p w14:paraId="4A8C0133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816D0B9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13 – PRAZO DE VIGÊNCIA E PRORROGAÇÃO</w:t>
      </w:r>
    </w:p>
    <w:p w14:paraId="1E524930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13.1. O contrato terá vigência de 12 (doze) meses, a contar da data de sua assinatura, podendo ser prorrogado por iguais e sucessivos períodos, até o limite de 5 (cinco) anos, conforme art. 107 da Lei nº 14.133/2021, mediante Termo Aditivo, desde que:</w:t>
      </w:r>
    </w:p>
    <w:p w14:paraId="55CE733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Haja interesse e conveniência da Administração, devidamente fundamentados;</w:t>
      </w:r>
    </w:p>
    <w:p w14:paraId="6C2677A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 contratada esteja em regular execução do contrato;</w:t>
      </w:r>
    </w:p>
    <w:p w14:paraId="1AC8C20C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Haja previsão orçamentária para o exercício seguinte;</w:t>
      </w:r>
    </w:p>
    <w:p w14:paraId="22C8F66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Mantenham-se as condições estabelecidas originalmente, com revisão de preços se aplicável;</w:t>
      </w:r>
    </w:p>
    <w:p w14:paraId="12A11E5E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 prorrogação seja mais vantajosa para a Administração do que a realização de nova licitação.</w:t>
      </w:r>
    </w:p>
    <w:p w14:paraId="4A16ACED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62F4E373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13.2. O prazo de vigência poderá ser alterado excepcionalmente para suprir necessidades imprevisíveis ou de força maior, devidamente justificadas, nos termos do art. 124 da Lei nº 14.133/2021.</w:t>
      </w:r>
    </w:p>
    <w:p w14:paraId="67C6AD6F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4BF8626D" w14:textId="77777777" w:rsidR="004F3B61" w:rsidRPr="00381DD4" w:rsidRDefault="00B70027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DD4">
        <w:rPr>
          <w:rFonts w:ascii="Times New Roman" w:hAnsi="Times New Roman" w:cs="Times New Roman"/>
          <w:color w:val="auto"/>
          <w:sz w:val="24"/>
          <w:szCs w:val="24"/>
        </w:rPr>
        <w:t>CLÁUSULA 14 – SUSTENTABILIDADE E CRITÉRIOS AMBIENTAIS</w:t>
      </w:r>
    </w:p>
    <w:p w14:paraId="12E4C70B" w14:textId="77777777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lastRenderedPageBreak/>
        <w:t>14.1. Em cumprimento ao art. 11, IV, e art. 5º, IV, da Lei nº 14.133/2021, e à Política Nacional de Resíduos Sólidos (Lei nº 12.305/2010), são estabelecidos os seguintes critérios de sustentabilidade:</w:t>
      </w:r>
    </w:p>
    <w:p w14:paraId="6DB4A37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 agência deverá, sempre que possível e sem custo adicional ao Município, priorizar companhias aéreas e rodoviárias com programas de sustentabilidade ambiental certificados;</w:t>
      </w:r>
    </w:p>
    <w:p w14:paraId="45F1294F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Os bilhetes eletrônicos (e-tickets) serão preferidos em relação às passagens físicas, eliminando o consumo de papel;</w:t>
      </w:r>
    </w:p>
    <w:p w14:paraId="4FCAA460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O deslocamento terrestre, quando tecnicamente viável dentro do prazo necessário, deverá ser sugerido pela agência como alternativa ao transporte aéreo, em razão do menor impacto ambiental;</w:t>
      </w:r>
    </w:p>
    <w:p w14:paraId="2C10C733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A agência deverá emitir os relatórios mensais preferencialmente em formato digital, evitando impressões desnecessárias;</w:t>
      </w:r>
    </w:p>
    <w:p w14:paraId="1AB6BE94" w14:textId="77777777" w:rsidR="004F3B61" w:rsidRPr="00381DD4" w:rsidRDefault="00B70027" w:rsidP="00904E1F">
      <w:pPr>
        <w:pStyle w:val="PargrafodaLista"/>
        <w:numPr>
          <w:ilvl w:val="0"/>
          <w:numId w:val="2"/>
        </w:num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O atendimento remoto e por meios eletrônicos será preferido ao presencial, reduzindo deslocamentos da equipe da agência.</w:t>
      </w:r>
    </w:p>
    <w:p w14:paraId="6FB9FF71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27164449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2F76">
        <w:rPr>
          <w:rFonts w:ascii="Times New Roman" w:hAnsi="Times New Roman" w:cs="Times New Roman"/>
          <w:b/>
          <w:bCs/>
          <w:sz w:val="24"/>
          <w:szCs w:val="24"/>
        </w:rPr>
        <w:t>CLÁUSULA 15 – MATRIZ DE RISCOS</w:t>
      </w:r>
    </w:p>
    <w:p w14:paraId="1C467239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15.1 Constituem riscos da contratação:</w:t>
      </w:r>
    </w:p>
    <w:p w14:paraId="5598B60B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I – indisponibilidade de voos ou linhas terrestres;</w:t>
      </w:r>
    </w:p>
    <w:p w14:paraId="5E8CACD2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II – alterações tarifárias promovidas pelas transportadoras;</w:t>
      </w:r>
    </w:p>
    <w:p w14:paraId="55CED28C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III – cancelamentos e remarcações por motivos operacionais;</w:t>
      </w:r>
    </w:p>
    <w:p w14:paraId="7A703207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IV – falhas sistêmicas de emissão;</w:t>
      </w:r>
    </w:p>
    <w:p w14:paraId="3D3C2955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V – atrasos decorrentes de força maior.</w:t>
      </w:r>
    </w:p>
    <w:p w14:paraId="480A8635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15.2 Caberá à contratada adotar todas as medidas necessárias para mitigação dos riscos operacionais relacionados à emissão, remarcação e cancelamento das passagens.</w:t>
      </w:r>
    </w:p>
    <w:p w14:paraId="56CB8169" w14:textId="77777777" w:rsidR="008C2F76" w:rsidRPr="008C2F76" w:rsidRDefault="008C2F76" w:rsidP="008C2F76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8C2F76">
        <w:rPr>
          <w:rFonts w:ascii="Times New Roman" w:hAnsi="Times New Roman" w:cs="Times New Roman"/>
          <w:sz w:val="24"/>
          <w:szCs w:val="24"/>
        </w:rPr>
        <w:t>15.3 Os riscos relacionados às alterações tarifárias das transportadoras correrão por conta do mercado regulado, não sendo responsabilidade da Administração Municipal.</w:t>
      </w:r>
    </w:p>
    <w:p w14:paraId="2E9D7D50" w14:textId="08FC9F1C" w:rsidR="004F3B61" w:rsidRPr="00381DD4" w:rsidRDefault="00207B9F" w:rsidP="00904E1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CLÁUSULA 1</w:t>
      </w:r>
      <w:r w:rsidR="008C2F76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B70027" w:rsidRPr="00381DD4">
        <w:rPr>
          <w:rFonts w:ascii="Times New Roman" w:hAnsi="Times New Roman" w:cs="Times New Roman"/>
          <w:color w:val="auto"/>
          <w:sz w:val="24"/>
          <w:szCs w:val="24"/>
        </w:rPr>
        <w:t xml:space="preserve"> – DISPOSIÇÕES FINAIS</w:t>
      </w:r>
    </w:p>
    <w:p w14:paraId="6ADD412C" w14:textId="61D22509" w:rsidR="004F3B61" w:rsidRPr="00381DD4" w:rsidRDefault="008C2F76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B70027" w:rsidRPr="00381DD4">
        <w:rPr>
          <w:rFonts w:ascii="Times New Roman" w:hAnsi="Times New Roman" w:cs="Times New Roman"/>
          <w:sz w:val="24"/>
          <w:szCs w:val="24"/>
        </w:rPr>
        <w:t>.1. Os casos omissos serão resolvidos com base na Lei nº 14.133/2021, aplicando-se supletivamente as disposições da Lei nº 8.666/1993 e do Decreto nº 10.024/2019, enquanto cabíveis, e os princípios gerais do Direito Administrativo.</w:t>
      </w:r>
    </w:p>
    <w:p w14:paraId="451A3064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8BF4C77" w14:textId="1A4C4A23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</w:t>
      </w:r>
      <w:r w:rsidR="008C2F76">
        <w:rPr>
          <w:rFonts w:ascii="Times New Roman" w:hAnsi="Times New Roman" w:cs="Times New Roman"/>
          <w:sz w:val="24"/>
          <w:szCs w:val="24"/>
        </w:rPr>
        <w:t>6</w:t>
      </w:r>
      <w:r w:rsidRPr="00381DD4">
        <w:rPr>
          <w:rFonts w:ascii="Times New Roman" w:hAnsi="Times New Roman" w:cs="Times New Roman"/>
          <w:sz w:val="24"/>
          <w:szCs w:val="24"/>
        </w:rPr>
        <w:t>.2. Fica eleito o foro da Comarca de Condeúba – BA para dirimir quaisquer litígios decorrentes do presente contrato, com renúncia de qualquer outro, por mais privilegiado que seja.</w:t>
      </w:r>
    </w:p>
    <w:p w14:paraId="7DE5266D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B002273" w14:textId="4C8285A4" w:rsidR="004F3B61" w:rsidRPr="00381DD4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1</w:t>
      </w:r>
      <w:r w:rsidR="008C2F76">
        <w:rPr>
          <w:rFonts w:ascii="Times New Roman" w:hAnsi="Times New Roman" w:cs="Times New Roman"/>
          <w:sz w:val="24"/>
          <w:szCs w:val="24"/>
        </w:rPr>
        <w:t>6</w:t>
      </w:r>
      <w:r w:rsidRPr="00381DD4">
        <w:rPr>
          <w:rFonts w:ascii="Times New Roman" w:hAnsi="Times New Roman" w:cs="Times New Roman"/>
          <w:sz w:val="24"/>
          <w:szCs w:val="24"/>
        </w:rPr>
        <w:t xml:space="preserve">.3. O presente Termo de Referência foi elaborado pela equipe técnica da Secretaria Municipal de Administração e Finanças do Município de Condeúba – BA, com observância aos princípios da legalidade, impessoalidade, moralidade, publicidade, eficiência e </w:t>
      </w:r>
      <w:r w:rsidRPr="00381DD4">
        <w:rPr>
          <w:rFonts w:ascii="Times New Roman" w:hAnsi="Times New Roman" w:cs="Times New Roman"/>
          <w:sz w:val="24"/>
          <w:szCs w:val="24"/>
        </w:rPr>
        <w:lastRenderedPageBreak/>
        <w:t>economicidade (art. 37, caput, CF/88; art. 5º, Lei nº 14.133/2021), e às exigências técnicas do Tribunal de Contas dos Municípios do Estado da Bahia – TCM-BA.</w:t>
      </w:r>
    </w:p>
    <w:p w14:paraId="2F36838C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9616FAB" w14:textId="77777777" w:rsidR="00207B9F" w:rsidRDefault="00207B9F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05DCD9" w14:textId="77777777" w:rsidR="004F3B61" w:rsidRDefault="00B70027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381DD4">
        <w:rPr>
          <w:rFonts w:ascii="Times New Roman" w:hAnsi="Times New Roman" w:cs="Times New Roman"/>
          <w:sz w:val="24"/>
          <w:szCs w:val="24"/>
        </w:rPr>
        <w:t>Condeúba – BA, 15 de abril de 2026.</w:t>
      </w:r>
    </w:p>
    <w:p w14:paraId="1DF62FA0" w14:textId="77777777" w:rsidR="00207B9F" w:rsidRDefault="00207B9F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8DC8D9" w14:textId="77777777" w:rsidR="00207B9F" w:rsidRDefault="00207B9F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425ED764" w14:textId="77777777" w:rsidR="00207B9F" w:rsidRPr="00F0312E" w:rsidRDefault="00207B9F" w:rsidP="008C2F76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F0312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4B79F7C3" w14:textId="77777777" w:rsidR="00207B9F" w:rsidRPr="00F0312E" w:rsidRDefault="00207B9F" w:rsidP="008C2F76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0312E">
        <w:rPr>
          <w:rFonts w:ascii="Times New Roman" w:hAnsi="Times New Roman" w:cs="Times New Roman"/>
          <w:b/>
          <w:bCs/>
          <w:sz w:val="24"/>
          <w:szCs w:val="24"/>
        </w:rPr>
        <w:t>Luis</w:t>
      </w:r>
      <w:proofErr w:type="spellEnd"/>
      <w:r w:rsidRPr="00F0312E">
        <w:rPr>
          <w:rFonts w:ascii="Times New Roman" w:hAnsi="Times New Roman" w:cs="Times New Roman"/>
          <w:b/>
          <w:bCs/>
          <w:sz w:val="24"/>
          <w:szCs w:val="24"/>
        </w:rPr>
        <w:t xml:space="preserve"> Fernando Andrade Chaves</w:t>
      </w:r>
    </w:p>
    <w:p w14:paraId="2122C4EA" w14:textId="77777777" w:rsidR="00207B9F" w:rsidRPr="00F0312E" w:rsidRDefault="00207B9F" w:rsidP="008C2F76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F0312E">
        <w:rPr>
          <w:rFonts w:ascii="Times New Roman" w:hAnsi="Times New Roman" w:cs="Times New Roman"/>
          <w:sz w:val="24"/>
          <w:szCs w:val="24"/>
        </w:rPr>
        <w:t>Secretaria Municipal de Administração</w:t>
      </w:r>
    </w:p>
    <w:p w14:paraId="4DE90D03" w14:textId="77777777" w:rsidR="00207B9F" w:rsidRPr="00F0312E" w:rsidRDefault="00207B9F" w:rsidP="008C2F76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F0312E">
        <w:rPr>
          <w:rFonts w:ascii="Times New Roman" w:hAnsi="Times New Roman" w:cs="Times New Roman"/>
          <w:sz w:val="24"/>
          <w:szCs w:val="24"/>
        </w:rPr>
        <w:t>Município de Condeúba - BA</w:t>
      </w:r>
    </w:p>
    <w:p w14:paraId="00A51B4A" w14:textId="77777777" w:rsidR="00207B9F" w:rsidRPr="00381DD4" w:rsidRDefault="00207B9F" w:rsidP="00904E1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9148846" w14:textId="77777777" w:rsidR="004F3B61" w:rsidRPr="00381DD4" w:rsidRDefault="004F3B61" w:rsidP="00904E1F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sectPr w:rsidR="004F3B61" w:rsidRPr="00381DD4" w:rsidSect="00381DD4">
      <w:headerReference w:type="default" r:id="rId7"/>
      <w:footerReference w:type="default" r:id="rId8"/>
      <w:pgSz w:w="11906" w:h="16838"/>
      <w:pgMar w:top="2694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BA03B" w14:textId="77777777" w:rsidR="00CA6FB7" w:rsidRDefault="00CA6FB7">
      <w:r>
        <w:separator/>
      </w:r>
    </w:p>
  </w:endnote>
  <w:endnote w:type="continuationSeparator" w:id="0">
    <w:p w14:paraId="30F82C95" w14:textId="77777777" w:rsidR="00CA6FB7" w:rsidRDefault="00CA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67795" w14:textId="77777777" w:rsidR="004F3B61" w:rsidRDefault="00B70027">
    <w:pPr>
      <w:pBdr>
        <w:top w:val="single" w:sz="6" w:space="0" w:color="2E5A9C"/>
      </w:pBdr>
      <w:jc w:val="center"/>
    </w:pPr>
    <w:r>
      <w:rPr>
        <w:color w:val="666666"/>
        <w:sz w:val="16"/>
        <w:szCs w:val="16"/>
      </w:rPr>
      <w:t xml:space="preserve">Prefeitura Municipal de Condeúba – BA  |  Página </w:t>
    </w:r>
    <w:r>
      <w:rPr>
        <w:color w:val="666666"/>
        <w:sz w:val="16"/>
        <w:szCs w:val="16"/>
      </w:rPr>
      <w:fldChar w:fldCharType="begin"/>
    </w:r>
    <w:r>
      <w:rPr>
        <w:color w:val="666666"/>
        <w:sz w:val="16"/>
        <w:szCs w:val="16"/>
      </w:rPr>
      <w:instrText>PAGE</w:instrText>
    </w:r>
    <w:r>
      <w:rPr>
        <w:color w:val="666666"/>
        <w:sz w:val="16"/>
        <w:szCs w:val="16"/>
      </w:rPr>
      <w:fldChar w:fldCharType="separate"/>
    </w:r>
    <w:r w:rsidR="007A458D">
      <w:rPr>
        <w:noProof/>
        <w:color w:val="666666"/>
        <w:sz w:val="16"/>
        <w:szCs w:val="16"/>
      </w:rPr>
      <w:t>2</w:t>
    </w:r>
    <w:r>
      <w:rPr>
        <w:color w:val="666666"/>
        <w:sz w:val="16"/>
        <w:szCs w:val="16"/>
      </w:rPr>
      <w:fldChar w:fldCharType="end"/>
    </w:r>
    <w:r>
      <w:rPr>
        <w:color w:val="666666"/>
        <w:sz w:val="16"/>
        <w:szCs w:val="16"/>
      </w:rPr>
      <w:t xml:space="preserve"> de </w:t>
    </w:r>
    <w:r>
      <w:rPr>
        <w:color w:val="666666"/>
        <w:sz w:val="16"/>
        <w:szCs w:val="16"/>
      </w:rPr>
      <w:fldChar w:fldCharType="begin"/>
    </w:r>
    <w:r>
      <w:rPr>
        <w:color w:val="666666"/>
        <w:sz w:val="16"/>
        <w:szCs w:val="16"/>
      </w:rPr>
      <w:instrText>NUMPAGES</w:instrText>
    </w:r>
    <w:r>
      <w:rPr>
        <w:color w:val="666666"/>
        <w:sz w:val="16"/>
        <w:szCs w:val="16"/>
      </w:rPr>
      <w:fldChar w:fldCharType="separate"/>
    </w:r>
    <w:r w:rsidR="007A458D">
      <w:rPr>
        <w:noProof/>
        <w:color w:val="666666"/>
        <w:sz w:val="16"/>
        <w:szCs w:val="16"/>
      </w:rPr>
      <w:t>10</w:t>
    </w:r>
    <w:r>
      <w:rPr>
        <w:color w:val="66666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9E7F" w14:textId="77777777" w:rsidR="00CA6FB7" w:rsidRDefault="00CA6FB7">
      <w:r>
        <w:separator/>
      </w:r>
    </w:p>
  </w:footnote>
  <w:footnote w:type="continuationSeparator" w:id="0">
    <w:p w14:paraId="1E2F0006" w14:textId="77777777" w:rsidR="00CA6FB7" w:rsidRDefault="00CA6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D9A4D" w14:textId="77777777" w:rsidR="004F3B61" w:rsidRDefault="00381DD4" w:rsidP="00381DD4">
    <w:pPr>
      <w:jc w:val="right"/>
    </w:pPr>
    <w:r w:rsidRPr="00EB6785">
      <w:rPr>
        <w:rFonts w:ascii="Century Gothic" w:hAnsi="Century Gothic"/>
        <w:b/>
        <w:noProof/>
      </w:rPr>
      <w:drawing>
        <wp:anchor distT="0" distB="0" distL="0" distR="0" simplePos="0" relativeHeight="251659264" behindDoc="1" locked="0" layoutInCell="1" allowOverlap="1" wp14:anchorId="0D712931" wp14:editId="4945ECFB">
          <wp:simplePos x="0" y="0"/>
          <wp:positionH relativeFrom="page">
            <wp:align>right</wp:align>
          </wp:positionH>
          <wp:positionV relativeFrom="page">
            <wp:posOffset>10795</wp:posOffset>
          </wp:positionV>
          <wp:extent cx="7544308" cy="10677144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4308" cy="106771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51EAA"/>
    <w:multiLevelType w:val="hybridMultilevel"/>
    <w:tmpl w:val="4922EA92"/>
    <w:lvl w:ilvl="0" w:tplc="922E7E8E">
      <w:start w:val="1"/>
      <w:numFmt w:val="decimal"/>
      <w:lvlText w:val="%1."/>
      <w:lvlJc w:val="left"/>
      <w:pPr>
        <w:ind w:left="1080" w:hanging="360"/>
      </w:pPr>
    </w:lvl>
    <w:lvl w:ilvl="1" w:tplc="86C0D792">
      <w:numFmt w:val="decimal"/>
      <w:lvlText w:val=""/>
      <w:lvlJc w:val="left"/>
    </w:lvl>
    <w:lvl w:ilvl="2" w:tplc="933A805C">
      <w:numFmt w:val="decimal"/>
      <w:lvlText w:val=""/>
      <w:lvlJc w:val="left"/>
    </w:lvl>
    <w:lvl w:ilvl="3" w:tplc="C5B692B2">
      <w:numFmt w:val="decimal"/>
      <w:lvlText w:val=""/>
      <w:lvlJc w:val="left"/>
    </w:lvl>
    <w:lvl w:ilvl="4" w:tplc="57A6F0F4">
      <w:numFmt w:val="decimal"/>
      <w:lvlText w:val=""/>
      <w:lvlJc w:val="left"/>
    </w:lvl>
    <w:lvl w:ilvl="5" w:tplc="7A6889AC">
      <w:numFmt w:val="decimal"/>
      <w:lvlText w:val=""/>
      <w:lvlJc w:val="left"/>
    </w:lvl>
    <w:lvl w:ilvl="6" w:tplc="F0BAB85A">
      <w:numFmt w:val="decimal"/>
      <w:lvlText w:val=""/>
      <w:lvlJc w:val="left"/>
    </w:lvl>
    <w:lvl w:ilvl="7" w:tplc="FE0A6604">
      <w:numFmt w:val="decimal"/>
      <w:lvlText w:val=""/>
      <w:lvlJc w:val="left"/>
    </w:lvl>
    <w:lvl w:ilvl="8" w:tplc="1C16B8E6">
      <w:numFmt w:val="decimal"/>
      <w:lvlText w:val=""/>
      <w:lvlJc w:val="left"/>
    </w:lvl>
  </w:abstractNum>
  <w:abstractNum w:abstractNumId="1" w15:restartNumberingAfterBreak="0">
    <w:nsid w:val="60916EBC"/>
    <w:multiLevelType w:val="hybridMultilevel"/>
    <w:tmpl w:val="CE6EFF3C"/>
    <w:lvl w:ilvl="0" w:tplc="3DAE963A">
      <w:start w:val="1"/>
      <w:numFmt w:val="bullet"/>
      <w:lvlText w:val="■"/>
      <w:lvlJc w:val="left"/>
      <w:pPr>
        <w:ind w:left="720" w:hanging="360"/>
      </w:pPr>
      <w:rPr>
        <w:color w:val="2E5A9C"/>
        <w:sz w:val="18"/>
        <w:szCs w:val="18"/>
      </w:rPr>
    </w:lvl>
    <w:lvl w:ilvl="1" w:tplc="9DA41AF4">
      <w:numFmt w:val="decimal"/>
      <w:lvlText w:val=""/>
      <w:lvlJc w:val="left"/>
    </w:lvl>
    <w:lvl w:ilvl="2" w:tplc="41C816B2">
      <w:numFmt w:val="decimal"/>
      <w:lvlText w:val=""/>
      <w:lvlJc w:val="left"/>
    </w:lvl>
    <w:lvl w:ilvl="3" w:tplc="F9BA1514">
      <w:numFmt w:val="decimal"/>
      <w:lvlText w:val=""/>
      <w:lvlJc w:val="left"/>
    </w:lvl>
    <w:lvl w:ilvl="4" w:tplc="28661D00">
      <w:numFmt w:val="decimal"/>
      <w:lvlText w:val=""/>
      <w:lvlJc w:val="left"/>
    </w:lvl>
    <w:lvl w:ilvl="5" w:tplc="05BA0E46">
      <w:numFmt w:val="decimal"/>
      <w:lvlText w:val=""/>
      <w:lvlJc w:val="left"/>
    </w:lvl>
    <w:lvl w:ilvl="6" w:tplc="DABCF6A2">
      <w:numFmt w:val="decimal"/>
      <w:lvlText w:val=""/>
      <w:lvlJc w:val="left"/>
    </w:lvl>
    <w:lvl w:ilvl="7" w:tplc="2F6ED37E">
      <w:numFmt w:val="decimal"/>
      <w:lvlText w:val=""/>
      <w:lvlJc w:val="left"/>
    </w:lvl>
    <w:lvl w:ilvl="8" w:tplc="39B42C54">
      <w:numFmt w:val="decimal"/>
      <w:lvlText w:val=""/>
      <w:lvlJc w:val="left"/>
    </w:lvl>
  </w:abstractNum>
  <w:abstractNum w:abstractNumId="2" w15:restartNumberingAfterBreak="0">
    <w:nsid w:val="651C3F61"/>
    <w:multiLevelType w:val="hybridMultilevel"/>
    <w:tmpl w:val="3FE82286"/>
    <w:lvl w:ilvl="0" w:tplc="DE2A751A">
      <w:start w:val="1"/>
      <w:numFmt w:val="bullet"/>
      <w:lvlText w:val="●"/>
      <w:lvlJc w:val="left"/>
      <w:pPr>
        <w:ind w:left="720" w:hanging="360"/>
      </w:pPr>
    </w:lvl>
    <w:lvl w:ilvl="1" w:tplc="DA2C6774">
      <w:start w:val="1"/>
      <w:numFmt w:val="bullet"/>
      <w:lvlText w:val="○"/>
      <w:lvlJc w:val="left"/>
      <w:pPr>
        <w:ind w:left="1440" w:hanging="360"/>
      </w:pPr>
    </w:lvl>
    <w:lvl w:ilvl="2" w:tplc="3412F2AE">
      <w:start w:val="1"/>
      <w:numFmt w:val="bullet"/>
      <w:lvlText w:val="■"/>
      <w:lvlJc w:val="left"/>
      <w:pPr>
        <w:ind w:left="2160" w:hanging="360"/>
      </w:pPr>
    </w:lvl>
    <w:lvl w:ilvl="3" w:tplc="BC5A3AEE">
      <w:start w:val="1"/>
      <w:numFmt w:val="bullet"/>
      <w:lvlText w:val="●"/>
      <w:lvlJc w:val="left"/>
      <w:pPr>
        <w:ind w:left="2880" w:hanging="360"/>
      </w:pPr>
    </w:lvl>
    <w:lvl w:ilvl="4" w:tplc="31F8761C">
      <w:start w:val="1"/>
      <w:numFmt w:val="bullet"/>
      <w:lvlText w:val="○"/>
      <w:lvlJc w:val="left"/>
      <w:pPr>
        <w:ind w:left="3600" w:hanging="360"/>
      </w:pPr>
    </w:lvl>
    <w:lvl w:ilvl="5" w:tplc="9FFE7342">
      <w:start w:val="1"/>
      <w:numFmt w:val="bullet"/>
      <w:lvlText w:val="■"/>
      <w:lvlJc w:val="left"/>
      <w:pPr>
        <w:ind w:left="4320" w:hanging="360"/>
      </w:pPr>
    </w:lvl>
    <w:lvl w:ilvl="6" w:tplc="2FC4DC54">
      <w:start w:val="1"/>
      <w:numFmt w:val="bullet"/>
      <w:lvlText w:val="●"/>
      <w:lvlJc w:val="left"/>
      <w:pPr>
        <w:ind w:left="5040" w:hanging="360"/>
      </w:pPr>
    </w:lvl>
    <w:lvl w:ilvl="7" w:tplc="0C72C062">
      <w:start w:val="1"/>
      <w:numFmt w:val="bullet"/>
      <w:lvlText w:val="●"/>
      <w:lvlJc w:val="left"/>
      <w:pPr>
        <w:ind w:left="5760" w:hanging="360"/>
      </w:pPr>
    </w:lvl>
    <w:lvl w:ilvl="8" w:tplc="2BE65FE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8622CC9"/>
    <w:multiLevelType w:val="hybridMultilevel"/>
    <w:tmpl w:val="A6A45980"/>
    <w:lvl w:ilvl="0" w:tplc="FD0C484A">
      <w:start w:val="1"/>
      <w:numFmt w:val="decimal"/>
      <w:lvlText w:val="%1."/>
      <w:lvlJc w:val="left"/>
      <w:pPr>
        <w:ind w:left="720" w:hanging="360"/>
      </w:pPr>
    </w:lvl>
    <w:lvl w:ilvl="1" w:tplc="AF0E4DFC">
      <w:numFmt w:val="decimal"/>
      <w:lvlText w:val=""/>
      <w:lvlJc w:val="left"/>
    </w:lvl>
    <w:lvl w:ilvl="2" w:tplc="0EA08586">
      <w:numFmt w:val="decimal"/>
      <w:lvlText w:val=""/>
      <w:lvlJc w:val="left"/>
    </w:lvl>
    <w:lvl w:ilvl="3" w:tplc="CD9EC444">
      <w:numFmt w:val="decimal"/>
      <w:lvlText w:val=""/>
      <w:lvlJc w:val="left"/>
    </w:lvl>
    <w:lvl w:ilvl="4" w:tplc="F35CBF6A">
      <w:numFmt w:val="decimal"/>
      <w:lvlText w:val=""/>
      <w:lvlJc w:val="left"/>
    </w:lvl>
    <w:lvl w:ilvl="5" w:tplc="EDA2FF24">
      <w:numFmt w:val="decimal"/>
      <w:lvlText w:val=""/>
      <w:lvlJc w:val="left"/>
    </w:lvl>
    <w:lvl w:ilvl="6" w:tplc="CBB47508">
      <w:numFmt w:val="decimal"/>
      <w:lvlText w:val=""/>
      <w:lvlJc w:val="left"/>
    </w:lvl>
    <w:lvl w:ilvl="7" w:tplc="44A4B40A">
      <w:numFmt w:val="decimal"/>
      <w:lvlText w:val=""/>
      <w:lvlJc w:val="left"/>
    </w:lvl>
    <w:lvl w:ilvl="8" w:tplc="791CBC8A">
      <w:numFmt w:val="decimal"/>
      <w:lvlText w:val=""/>
      <w:lvlJc w:val="left"/>
    </w:lvl>
  </w:abstractNum>
  <w:num w:numId="1" w16cid:durableId="1453672602">
    <w:abstractNumId w:val="2"/>
    <w:lvlOverride w:ilvl="0">
      <w:startOverride w:val="1"/>
    </w:lvlOverride>
  </w:num>
  <w:num w:numId="2" w16cid:durableId="712538869">
    <w:abstractNumId w:val="1"/>
    <w:lvlOverride w:ilvl="0">
      <w:startOverride w:val="1"/>
    </w:lvlOverride>
  </w:num>
  <w:num w:numId="3" w16cid:durableId="166042451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B61"/>
    <w:rsid w:val="00207B9F"/>
    <w:rsid w:val="00381DD4"/>
    <w:rsid w:val="004F3B61"/>
    <w:rsid w:val="0061352F"/>
    <w:rsid w:val="007A458D"/>
    <w:rsid w:val="008C2F76"/>
    <w:rsid w:val="00904E1F"/>
    <w:rsid w:val="00A427C7"/>
    <w:rsid w:val="00A50F2C"/>
    <w:rsid w:val="00B70027"/>
    <w:rsid w:val="00CA6FB7"/>
    <w:rsid w:val="00D361A2"/>
    <w:rsid w:val="00ED1CC0"/>
    <w:rsid w:val="00EF2816"/>
    <w:rsid w:val="00F2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6C6F"/>
  <w15:docId w15:val="{87E30030-2627-46F6-9051-DE34DD2D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qFormat/>
    <w:pPr>
      <w:spacing w:before="360" w:after="120"/>
      <w:outlineLvl w:val="0"/>
    </w:pPr>
    <w:rPr>
      <w:b/>
      <w:bCs/>
      <w:color w:val="1F3864"/>
      <w:sz w:val="28"/>
      <w:szCs w:val="28"/>
    </w:rPr>
  </w:style>
  <w:style w:type="paragraph" w:styleId="Ttulo2">
    <w:name w:val="heading 2"/>
    <w:qFormat/>
    <w:pPr>
      <w:spacing w:before="240" w:after="80"/>
      <w:outlineLvl w:val="1"/>
    </w:pPr>
    <w:rPr>
      <w:b/>
      <w:bCs/>
      <w:color w:val="2E5A9C"/>
      <w:sz w:val="24"/>
      <w:szCs w:val="24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1D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1DD4"/>
  </w:style>
  <w:style w:type="paragraph" w:styleId="Rodap">
    <w:name w:val="footer"/>
    <w:basedOn w:val="Normal"/>
    <w:link w:val="RodapChar"/>
    <w:uiPriority w:val="99"/>
    <w:unhideWhenUsed/>
    <w:rsid w:val="00381D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3538</Words>
  <Characters>19108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Adalberto</cp:lastModifiedBy>
  <cp:revision>11</cp:revision>
  <dcterms:created xsi:type="dcterms:W3CDTF">2026-04-15T13:50:00Z</dcterms:created>
  <dcterms:modified xsi:type="dcterms:W3CDTF">2026-05-20T14:19:00Z</dcterms:modified>
</cp:coreProperties>
</file>