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EB87" w14:textId="77777777" w:rsidR="001D2190" w:rsidRDefault="001D2190" w:rsidP="001D2190">
      <w:pPr>
        <w:jc w:val="center"/>
        <w:rPr>
          <w:rFonts w:ascii="Times New Roman" w:eastAsia="Arial" w:hAnsi="Times New Roman" w:cs="Times New Roman"/>
          <w:b/>
          <w:sz w:val="24"/>
          <w:szCs w:val="24"/>
        </w:rPr>
      </w:pPr>
    </w:p>
    <w:p w14:paraId="7B9B3BD4" w14:textId="6B20641F" w:rsidR="001D2190" w:rsidRPr="00D9751C" w:rsidRDefault="001D2190" w:rsidP="001D2190">
      <w:pPr>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ANEXO III</w:t>
      </w:r>
    </w:p>
    <w:p w14:paraId="491E9B83" w14:textId="77777777" w:rsidR="001D2190" w:rsidRPr="00D9751C" w:rsidRDefault="001D2190" w:rsidP="001D2190">
      <w:pPr>
        <w:tabs>
          <w:tab w:val="left" w:pos="4005"/>
        </w:tabs>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MINUTA DE ATA DE RESGISTRO DE PREÇOS</w:t>
      </w:r>
    </w:p>
    <w:p w14:paraId="3640C329"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6D8BDC2D"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298A93D9" w14:textId="77777777" w:rsidR="001D2190" w:rsidRPr="00D9751C" w:rsidRDefault="001D2190" w:rsidP="001D2190">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ATA DE REGISTRO DE PREÇOS</w:t>
      </w:r>
    </w:p>
    <w:p w14:paraId="4456BC15" w14:textId="77777777" w:rsidR="001D2190" w:rsidRPr="00D9751C" w:rsidRDefault="001D2190" w:rsidP="001D2190">
      <w:pPr>
        <w:spacing w:after="0" w:line="240" w:lineRule="auto"/>
        <w:rPr>
          <w:rFonts w:ascii="Times New Roman" w:eastAsia="Arial" w:hAnsi="Times New Roman" w:cs="Times New Roman"/>
          <w:b/>
          <w:sz w:val="24"/>
          <w:szCs w:val="24"/>
        </w:rPr>
      </w:pPr>
    </w:p>
    <w:p w14:paraId="4E7A39B6" w14:textId="5594147A" w:rsidR="001D2190" w:rsidRPr="00D9751C" w:rsidRDefault="001D2190" w:rsidP="001D2190">
      <w:pPr>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PREGÃO ELETRÔNICO SRP Nº </w:t>
      </w:r>
      <w:r w:rsidR="00A12C2E">
        <w:rPr>
          <w:rFonts w:ascii="Times New Roman" w:eastAsia="Arial" w:hAnsi="Times New Roman" w:cs="Times New Roman"/>
          <w:b/>
          <w:sz w:val="24"/>
          <w:szCs w:val="24"/>
        </w:rPr>
        <w:t>xxx</w:t>
      </w:r>
      <w:r w:rsidR="005F6BFF">
        <w:rPr>
          <w:rFonts w:ascii="Times New Roman" w:eastAsia="Arial" w:hAnsi="Times New Roman" w:cs="Times New Roman"/>
          <w:b/>
          <w:sz w:val="24"/>
          <w:szCs w:val="24"/>
        </w:rPr>
        <w:t>/2026</w:t>
      </w:r>
    </w:p>
    <w:p w14:paraId="4204CAEB" w14:textId="77777777" w:rsidR="001D2190" w:rsidRPr="00D9751C" w:rsidRDefault="001D2190" w:rsidP="001D2190">
      <w:pPr>
        <w:spacing w:after="0" w:line="240" w:lineRule="auto"/>
        <w:jc w:val="both"/>
        <w:rPr>
          <w:rFonts w:ascii="Times New Roman" w:eastAsia="Arial" w:hAnsi="Times New Roman" w:cs="Times New Roman"/>
          <w:sz w:val="24"/>
          <w:szCs w:val="24"/>
        </w:rPr>
      </w:pPr>
    </w:p>
    <w:p w14:paraId="4CE95E01" w14:textId="06D138DD" w:rsidR="001D2190" w:rsidRPr="00D9751C" w:rsidRDefault="001D2190" w:rsidP="001D2190">
      <w:pPr>
        <w:spacing w:after="0" w:line="240" w:lineRule="auto"/>
        <w:jc w:val="both"/>
        <w:rPr>
          <w:rFonts w:ascii="Times New Roman" w:hAnsi="Times New Roman" w:cs="Times New Roman"/>
          <w:sz w:val="24"/>
          <w:szCs w:val="24"/>
        </w:rPr>
      </w:pPr>
      <w:r w:rsidRPr="00D9751C">
        <w:rPr>
          <w:rFonts w:ascii="Times New Roman" w:hAnsi="Times New Roman" w:cs="Times New Roman"/>
          <w:sz w:val="24"/>
          <w:szCs w:val="24"/>
        </w:rPr>
        <w:t xml:space="preserve">O </w:t>
      </w:r>
      <w:r w:rsidRPr="00D9751C">
        <w:rPr>
          <w:rFonts w:ascii="Times New Roman" w:hAnsi="Times New Roman" w:cs="Times New Roman"/>
          <w:b/>
          <w:sz w:val="24"/>
          <w:szCs w:val="24"/>
        </w:rPr>
        <w:t xml:space="preserve">MUNICÍPIO </w:t>
      </w:r>
      <w:r w:rsidRPr="00391A97">
        <w:rPr>
          <w:rStyle w:val="Forte"/>
          <w:rFonts w:ascii="Times New Roman" w:hAnsi="Times New Roman" w:cs="Times New Roman"/>
          <w:sz w:val="24"/>
          <w:szCs w:val="24"/>
        </w:rPr>
        <w:t>DE JANDAÍRA</w:t>
      </w:r>
      <w:r w:rsidRPr="00D9751C">
        <w:rPr>
          <w:rFonts w:ascii="Times New Roman" w:hAnsi="Times New Roman" w:cs="Times New Roman"/>
          <w:b/>
          <w:w w:val="85"/>
          <w:sz w:val="24"/>
          <w:szCs w:val="24"/>
        </w:rPr>
        <w:t xml:space="preserve"> </w:t>
      </w:r>
      <w:r w:rsidRPr="00D9751C">
        <w:rPr>
          <w:rFonts w:ascii="Times New Roman" w:hAnsi="Times New Roman" w:cs="Times New Roman"/>
          <w:sz w:val="24"/>
          <w:szCs w:val="24"/>
        </w:rPr>
        <w:t xml:space="preserve">com sede na Praça Horácio de Farias, </w:t>
      </w:r>
      <w:r>
        <w:rPr>
          <w:rFonts w:ascii="Times New Roman" w:hAnsi="Times New Roman" w:cs="Times New Roman"/>
          <w:sz w:val="24"/>
          <w:szCs w:val="24"/>
        </w:rPr>
        <w:t>n</w:t>
      </w:r>
      <w:r w:rsidRPr="00D9751C">
        <w:rPr>
          <w:rFonts w:ascii="Times New Roman" w:hAnsi="Times New Roman" w:cs="Times New Roman"/>
          <w:sz w:val="24"/>
          <w:szCs w:val="24"/>
        </w:rPr>
        <w:t>º 300, inscrito no CNPJ/MF sob o nº 13.697.206/0001-64, neste ato representada pelo prefeito, Sr</w:t>
      </w:r>
      <w:r w:rsidRPr="00D9751C">
        <w:rPr>
          <w:rFonts w:ascii="Times New Roman" w:hAnsi="Times New Roman" w:cs="Times New Roman"/>
          <w:w w:val="80"/>
          <w:sz w:val="24"/>
          <w:szCs w:val="24"/>
        </w:rPr>
        <w:t>.</w:t>
      </w:r>
      <w:r w:rsidRPr="00D9751C">
        <w:rPr>
          <w:rFonts w:ascii="Times New Roman" w:hAnsi="Times New Roman" w:cs="Times New Roman"/>
          <w:spacing w:val="25"/>
          <w:w w:val="80"/>
          <w:sz w:val="24"/>
          <w:szCs w:val="24"/>
        </w:rPr>
        <w:t xml:space="preserve"> </w:t>
      </w:r>
      <w:r w:rsidRPr="00F222E0">
        <w:rPr>
          <w:rStyle w:val="Forte"/>
          <w:rFonts w:ascii="Times New Roman" w:hAnsi="Times New Roman" w:cs="Times New Roman"/>
          <w:sz w:val="24"/>
          <w:szCs w:val="24"/>
        </w:rPr>
        <w:t>GILDÁSIO MENDES LOPES</w:t>
      </w:r>
      <w:r w:rsidRPr="00D9751C">
        <w:rPr>
          <w:rFonts w:ascii="Times New Roman" w:hAnsi="Times New Roman" w:cs="Times New Roman"/>
          <w:b/>
          <w:w w:val="80"/>
          <w:sz w:val="24"/>
          <w:szCs w:val="24"/>
        </w:rPr>
        <w:t xml:space="preserve">, </w:t>
      </w:r>
      <w:r w:rsidRPr="00D9751C">
        <w:rPr>
          <w:rFonts w:ascii="Times New Roman" w:hAnsi="Times New Roman" w:cs="Times New Roman"/>
          <w:sz w:val="24"/>
          <w:szCs w:val="24"/>
        </w:rPr>
        <w:t xml:space="preserve">inscrito no Cadastro de Pessoa Física (CPF) sob o n° XXX.XXXXXXX-XX e portador do RG n° XXXXX SSP/BA, considerando o julgamento da licitação na modalidade de </w:t>
      </w:r>
      <w:r w:rsidRPr="00D9751C">
        <w:rPr>
          <w:rFonts w:ascii="Times New Roman" w:hAnsi="Times New Roman" w:cs="Times New Roman"/>
          <w:b/>
          <w:bCs/>
          <w:sz w:val="24"/>
          <w:szCs w:val="24"/>
        </w:rPr>
        <w:t>PREGÃO</w:t>
      </w:r>
      <w:r w:rsidRPr="00D9751C">
        <w:rPr>
          <w:rFonts w:ascii="Times New Roman" w:hAnsi="Times New Roman" w:cs="Times New Roman"/>
          <w:sz w:val="24"/>
          <w:szCs w:val="24"/>
        </w:rPr>
        <w:t xml:space="preserve"> </w:t>
      </w:r>
      <w:r w:rsidRPr="00D9751C">
        <w:rPr>
          <w:rFonts w:ascii="Times New Roman" w:hAnsi="Times New Roman" w:cs="Times New Roman"/>
          <w:b/>
          <w:bCs/>
          <w:sz w:val="24"/>
          <w:szCs w:val="24"/>
        </w:rPr>
        <w:t>ELETRÔNICO,</w:t>
      </w:r>
      <w:r w:rsidRPr="00D9751C">
        <w:rPr>
          <w:rFonts w:ascii="Times New Roman" w:hAnsi="Times New Roman" w:cs="Times New Roman"/>
          <w:color w:val="000000"/>
          <w:sz w:val="24"/>
          <w:szCs w:val="24"/>
        </w:rPr>
        <w:t xml:space="preserve"> para </w:t>
      </w:r>
      <w:r w:rsidRPr="00D9751C">
        <w:rPr>
          <w:rFonts w:ascii="Times New Roman" w:hAnsi="Times New Roman" w:cs="Times New Roman"/>
          <w:b/>
          <w:color w:val="000000"/>
          <w:sz w:val="24"/>
          <w:szCs w:val="24"/>
        </w:rPr>
        <w:t>REGISTRO DE PREÇOS</w:t>
      </w:r>
      <w:r w:rsidRPr="00D9751C">
        <w:rPr>
          <w:rFonts w:ascii="Times New Roman" w:hAnsi="Times New Roman" w:cs="Times New Roman"/>
          <w:color w:val="000000"/>
          <w:sz w:val="24"/>
          <w:szCs w:val="24"/>
        </w:rPr>
        <w:t xml:space="preserve"> </w:t>
      </w:r>
      <w:r w:rsidRPr="001D2190">
        <w:rPr>
          <w:rFonts w:ascii="Times New Roman" w:hAnsi="Times New Roman" w:cs="Times New Roman"/>
          <w:b/>
          <w:bCs/>
          <w:color w:val="000000"/>
          <w:sz w:val="24"/>
          <w:szCs w:val="24"/>
        </w:rPr>
        <w:t>N</w:t>
      </w:r>
      <w:r w:rsidRPr="00D9751C">
        <w:rPr>
          <w:rFonts w:ascii="Times New Roman" w:hAnsi="Times New Roman" w:cs="Times New Roman"/>
          <w:color w:val="000000"/>
          <w:sz w:val="24"/>
          <w:szCs w:val="24"/>
        </w:rPr>
        <w:t xml:space="preserve">º </w:t>
      </w:r>
      <w:r w:rsidR="00A12C2E">
        <w:rPr>
          <w:rFonts w:ascii="Times New Roman" w:hAnsi="Times New Roman" w:cs="Times New Roman"/>
          <w:b/>
          <w:bCs/>
          <w:color w:val="000000"/>
          <w:sz w:val="24"/>
          <w:szCs w:val="24"/>
        </w:rPr>
        <w:t>xxx</w:t>
      </w:r>
      <w:r w:rsidR="005F6BFF">
        <w:rPr>
          <w:rFonts w:ascii="Times New Roman" w:hAnsi="Times New Roman" w:cs="Times New Roman"/>
          <w:b/>
          <w:bCs/>
          <w:color w:val="000000"/>
          <w:sz w:val="24"/>
          <w:szCs w:val="24"/>
        </w:rPr>
        <w:t>/2026</w:t>
      </w:r>
      <w:r w:rsidRPr="00D9751C">
        <w:rPr>
          <w:rFonts w:ascii="Times New Roman" w:hAnsi="Times New Roman" w:cs="Times New Roman"/>
          <w:color w:val="000000"/>
          <w:sz w:val="24"/>
          <w:szCs w:val="24"/>
        </w:rPr>
        <w:t xml:space="preserve">, </w:t>
      </w:r>
      <w:r w:rsidRPr="00D9751C">
        <w:rPr>
          <w:rFonts w:ascii="Times New Roman" w:hAnsi="Times New Roman" w:cs="Times New Roman"/>
          <w:b/>
          <w:color w:val="000000"/>
          <w:sz w:val="24"/>
          <w:szCs w:val="24"/>
        </w:rPr>
        <w:t xml:space="preserve">Processo Administrativo </w:t>
      </w:r>
      <w:r w:rsidR="00A12C2E">
        <w:rPr>
          <w:rFonts w:ascii="Times New Roman" w:hAnsi="Times New Roman" w:cs="Times New Roman"/>
          <w:b/>
          <w:color w:val="000000"/>
          <w:sz w:val="24"/>
          <w:szCs w:val="24"/>
        </w:rPr>
        <w:t>xxx/</w:t>
      </w:r>
      <w:r w:rsidRPr="00D9751C">
        <w:rPr>
          <w:rFonts w:ascii="Times New Roman" w:hAnsi="Times New Roman" w:cs="Times New Roman"/>
          <w:b/>
          <w:color w:val="000000"/>
          <w:sz w:val="24"/>
          <w:szCs w:val="24"/>
        </w:rPr>
        <w:t>2026</w:t>
      </w:r>
      <w:r w:rsidRPr="00D9751C">
        <w:rPr>
          <w:rFonts w:ascii="Times New Roman" w:hAnsi="Times New Roman" w:cs="Times New Roman"/>
          <w:color w:val="000000"/>
          <w:sz w:val="24"/>
          <w:szCs w:val="24"/>
        </w:rPr>
        <w:t xml:space="preserve">, </w:t>
      </w:r>
      <w:r w:rsidRPr="00D9751C">
        <w:rPr>
          <w:rFonts w:ascii="Times New Roman" w:hAnsi="Times New Roman" w:cs="Times New Roman"/>
          <w:sz w:val="24"/>
          <w:szCs w:val="24"/>
        </w:rPr>
        <w:t xml:space="preserve">RESOLVE registrar os preços da empresa </w:t>
      </w:r>
      <w:r w:rsidRPr="00D9751C">
        <w:rPr>
          <w:rFonts w:ascii="Times New Roman" w:hAnsi="Times New Roman" w:cs="Times New Roman"/>
          <w:b/>
          <w:color w:val="000000"/>
          <w:sz w:val="24"/>
          <w:szCs w:val="24"/>
        </w:rPr>
        <w:t>XXXXXXXXXXXXXX</w:t>
      </w:r>
      <w:r w:rsidRPr="00D9751C">
        <w:rPr>
          <w:rFonts w:ascii="Times New Roman" w:hAnsi="Times New Roman" w:cs="Times New Roman"/>
          <w:sz w:val="24"/>
          <w:szCs w:val="24"/>
        </w:rPr>
        <w:t xml:space="preserve">, pessoa jurídica de direito privado, com sede na </w:t>
      </w:r>
      <w:r w:rsidRPr="00D9751C">
        <w:rPr>
          <w:rFonts w:ascii="Times New Roman" w:hAnsi="Times New Roman" w:cs="Times New Roman"/>
          <w:b/>
          <w:color w:val="000000"/>
          <w:sz w:val="24"/>
          <w:szCs w:val="24"/>
        </w:rPr>
        <w:t>XXXXXXXXXXXXX</w:t>
      </w:r>
      <w:r w:rsidRPr="00D9751C">
        <w:rPr>
          <w:rFonts w:ascii="Times New Roman" w:hAnsi="Times New Roman" w:cs="Times New Roman"/>
          <w:sz w:val="24"/>
          <w:szCs w:val="24"/>
        </w:rPr>
        <w:t xml:space="preserve">, inscrita no CNPJ/MF sob nº. </w:t>
      </w:r>
      <w:r w:rsidRPr="00D9751C">
        <w:rPr>
          <w:rFonts w:ascii="Times New Roman" w:hAnsi="Times New Roman" w:cs="Times New Roman"/>
          <w:b/>
          <w:color w:val="000000"/>
          <w:sz w:val="24"/>
          <w:szCs w:val="24"/>
        </w:rPr>
        <w:t>XXXXXXXXXXXXX</w:t>
      </w:r>
      <w:r w:rsidRPr="00D9751C">
        <w:rPr>
          <w:rFonts w:ascii="Times New Roman" w:hAnsi="Times New Roman" w:cs="Times New Roman"/>
          <w:sz w:val="24"/>
          <w:szCs w:val="24"/>
        </w:rPr>
        <w:t xml:space="preserve">, neste ato representado(a) por XXXXXXXXXXXX (nome e função no contratado), conforme atos constitutivos da empresa OU procuração apresentada nos autos, atendendo as condições previstas no edital, sujeitando-se as partes às normas constantes na Lei </w:t>
      </w:r>
      <w:r>
        <w:rPr>
          <w:rFonts w:ascii="Times New Roman" w:hAnsi="Times New Roman" w:cs="Times New Roman"/>
          <w:sz w:val="24"/>
          <w:szCs w:val="24"/>
        </w:rPr>
        <w:t xml:space="preserve">Federal </w:t>
      </w:r>
      <w:r w:rsidRPr="00D9751C">
        <w:rPr>
          <w:rFonts w:ascii="Times New Roman" w:hAnsi="Times New Roman" w:cs="Times New Roman"/>
          <w:sz w:val="24"/>
          <w:szCs w:val="24"/>
        </w:rPr>
        <w:t xml:space="preserve">nº 14.133, de 1º de abril de 2021 e suas alterações e em conformidade com as disposições a seguir: </w:t>
      </w:r>
    </w:p>
    <w:p w14:paraId="2FC834E4" w14:textId="77777777" w:rsidR="001D2190" w:rsidRPr="00D9751C" w:rsidRDefault="001D2190" w:rsidP="001D2190">
      <w:pPr>
        <w:tabs>
          <w:tab w:val="left" w:pos="4005"/>
        </w:tabs>
        <w:spacing w:after="0" w:line="240" w:lineRule="auto"/>
        <w:rPr>
          <w:rFonts w:ascii="Times New Roman" w:eastAsia="Arial" w:hAnsi="Times New Roman" w:cs="Times New Roman"/>
          <w:sz w:val="24"/>
          <w:szCs w:val="24"/>
        </w:rPr>
      </w:pPr>
    </w:p>
    <w:p w14:paraId="2EA1D137"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1.0 DO OBJETO: </w:t>
      </w:r>
    </w:p>
    <w:p w14:paraId="10E40246" w14:textId="2D4BD3FF" w:rsidR="001D2190" w:rsidRPr="00D9751C" w:rsidRDefault="001D2190" w:rsidP="001D2190">
      <w:pPr>
        <w:tabs>
          <w:tab w:val="left" w:pos="851"/>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1.1.</w:t>
      </w:r>
      <w:r w:rsidRPr="00D9751C">
        <w:rPr>
          <w:rFonts w:ascii="Times New Roman" w:eastAsia="Arial" w:hAnsi="Times New Roman" w:cs="Times New Roman"/>
          <w:sz w:val="24"/>
          <w:szCs w:val="24"/>
        </w:rPr>
        <w:tab/>
        <w:t xml:space="preserve">A presente Ata tem por objeto o </w:t>
      </w:r>
      <w:r w:rsidR="005F6BFF" w:rsidRPr="005F6BFF">
        <w:rPr>
          <w:rFonts w:ascii="Times New Roman" w:eastAsia="Arial" w:hAnsi="Times New Roman" w:cs="Times New Roman"/>
          <w:b/>
          <w:bCs/>
          <w:color w:val="000000"/>
          <w:sz w:val="24"/>
          <w:szCs w:val="24"/>
        </w:rPr>
        <w:t xml:space="preserve">REGISTRO DE PREÇOS para futura e eventual </w:t>
      </w:r>
      <w:r w:rsidR="00A12C2E">
        <w:rPr>
          <w:rFonts w:ascii="Times New Roman" w:eastAsia="Arial" w:hAnsi="Times New Roman" w:cs="Times New Roman"/>
          <w:b/>
          <w:bCs/>
          <w:color w:val="000000"/>
          <w:sz w:val="24"/>
          <w:szCs w:val="24"/>
        </w:rPr>
        <w:t>xxxxxxxxxxxxxxxxxxxxxxxxxxxxxxxxxxxxxxxxxxxxxxxxxxxxxxxxxxxxxxxxxxxxxxxxxxxxxxxxxxxxxxxxxxxxxxxxxxxxxxxxxxxxxxxxxxxxxxxxxxxxxxxxxxxxxxxxxx</w:t>
      </w:r>
      <w:r w:rsidRPr="00D9751C">
        <w:rPr>
          <w:rFonts w:ascii="Times New Roman" w:eastAsia="Arial" w:hAnsi="Times New Roman" w:cs="Times New Roman"/>
          <w:sz w:val="24"/>
          <w:szCs w:val="24"/>
        </w:rPr>
        <w:t xml:space="preserve">, especificados no Termo de Referência, anexo I do edital </w:t>
      </w:r>
      <w:r w:rsidRPr="00D9751C">
        <w:rPr>
          <w:rFonts w:ascii="Times New Roman" w:eastAsia="Arial" w:hAnsi="Times New Roman" w:cs="Times New Roman"/>
          <w:b/>
          <w:bCs/>
          <w:sz w:val="24"/>
          <w:szCs w:val="24"/>
        </w:rPr>
        <w:t xml:space="preserve">de Pregão Eletrônico SRP nº </w:t>
      </w:r>
      <w:r w:rsidR="00A12C2E">
        <w:rPr>
          <w:rFonts w:ascii="Times New Roman" w:eastAsia="Arial" w:hAnsi="Times New Roman" w:cs="Times New Roman"/>
          <w:b/>
          <w:bCs/>
          <w:sz w:val="24"/>
          <w:szCs w:val="24"/>
        </w:rPr>
        <w:t>xxx</w:t>
      </w:r>
      <w:r w:rsidR="005F6BFF">
        <w:rPr>
          <w:rFonts w:ascii="Times New Roman" w:eastAsia="Arial" w:hAnsi="Times New Roman" w:cs="Times New Roman"/>
          <w:b/>
          <w:bCs/>
          <w:sz w:val="24"/>
          <w:szCs w:val="24"/>
        </w:rPr>
        <w:t>/2026</w:t>
      </w:r>
      <w:r w:rsidRPr="00D9751C">
        <w:rPr>
          <w:rFonts w:ascii="Times New Roman" w:eastAsia="Arial" w:hAnsi="Times New Roman" w:cs="Times New Roman"/>
          <w:sz w:val="24"/>
          <w:szCs w:val="24"/>
        </w:rPr>
        <w:t>, que é parte integrante desta Ata, assim como a proposta vencedora, independentemente de transcrição.</w:t>
      </w:r>
    </w:p>
    <w:p w14:paraId="1638025C" w14:textId="77777777" w:rsidR="001D2190" w:rsidRPr="00D9751C" w:rsidRDefault="001D2190" w:rsidP="001D2190">
      <w:pPr>
        <w:tabs>
          <w:tab w:val="left" w:pos="851"/>
        </w:tabs>
        <w:spacing w:after="0" w:line="240" w:lineRule="auto"/>
        <w:jc w:val="both"/>
        <w:rPr>
          <w:rFonts w:ascii="Times New Roman" w:hAnsi="Times New Roman" w:cs="Times New Roman"/>
          <w:sz w:val="24"/>
          <w:szCs w:val="24"/>
          <w:highlight w:val="yellow"/>
        </w:rPr>
      </w:pPr>
    </w:p>
    <w:p w14:paraId="7DBF4F78"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2.0 DOS PREÇOS, ESPECIFICAÇÕES E QUANTITATIVOS:</w:t>
      </w:r>
    </w:p>
    <w:p w14:paraId="2F58BCCF" w14:textId="77777777" w:rsidR="001D2190" w:rsidRPr="00D9751C" w:rsidRDefault="001D2190" w:rsidP="001D2190">
      <w:pPr>
        <w:tabs>
          <w:tab w:val="left" w:pos="4005"/>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2.1. O preço registrado, as especificações do objeto, a quantidade, fornecedores e as demais condições ofertadas na proposta são as que seguem:</w:t>
      </w:r>
    </w:p>
    <w:p w14:paraId="7A5021BE" w14:textId="77777777" w:rsidR="001D2190" w:rsidRPr="00D9751C" w:rsidRDefault="001D2190" w:rsidP="001D2190">
      <w:pPr>
        <w:tabs>
          <w:tab w:val="left" w:pos="4005"/>
        </w:tabs>
        <w:spacing w:after="0" w:line="240" w:lineRule="auto"/>
        <w:jc w:val="both"/>
        <w:rPr>
          <w:rFonts w:ascii="Times New Roman" w:eastAsia="Arial" w:hAnsi="Times New Roman" w:cs="Times New Roman"/>
          <w:sz w:val="24"/>
          <w:szCs w:val="24"/>
        </w:rPr>
      </w:pPr>
    </w:p>
    <w:tbl>
      <w:tblPr>
        <w:tblW w:w="9544" w:type="dxa"/>
        <w:tblLayout w:type="fixed"/>
        <w:tblLook w:val="0400" w:firstRow="0" w:lastRow="0" w:firstColumn="0" w:lastColumn="0" w:noHBand="0" w:noVBand="1"/>
      </w:tblPr>
      <w:tblGrid>
        <w:gridCol w:w="983"/>
        <w:gridCol w:w="3685"/>
        <w:gridCol w:w="623"/>
        <w:gridCol w:w="851"/>
        <w:gridCol w:w="850"/>
        <w:gridCol w:w="1300"/>
        <w:gridCol w:w="1252"/>
      </w:tblGrid>
      <w:tr w:rsidR="001D2190" w:rsidRPr="00D9751C" w14:paraId="56E29A97" w14:textId="77777777" w:rsidTr="000B33D0">
        <w:trPr>
          <w:trHeight w:val="250"/>
        </w:trPr>
        <w:tc>
          <w:tcPr>
            <w:tcW w:w="983" w:type="dxa"/>
            <w:tcBorders>
              <w:top w:val="single" w:sz="8" w:space="0" w:color="000000"/>
              <w:left w:val="single" w:sz="8" w:space="0" w:color="000000"/>
              <w:bottom w:val="single" w:sz="8" w:space="0" w:color="000000"/>
              <w:right w:val="single" w:sz="8" w:space="0" w:color="000000"/>
            </w:tcBorders>
            <w:vAlign w:val="center"/>
          </w:tcPr>
          <w:p w14:paraId="6F2B8057"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ITEM</w:t>
            </w:r>
          </w:p>
        </w:tc>
        <w:tc>
          <w:tcPr>
            <w:tcW w:w="3685" w:type="dxa"/>
            <w:tcBorders>
              <w:top w:val="single" w:sz="8" w:space="0" w:color="000000"/>
              <w:left w:val="nil"/>
              <w:bottom w:val="single" w:sz="8" w:space="0" w:color="000000"/>
              <w:right w:val="single" w:sz="8" w:space="0" w:color="000000"/>
            </w:tcBorders>
            <w:vAlign w:val="center"/>
          </w:tcPr>
          <w:p w14:paraId="72E76F6E"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DISCRIMINAÇAO</w:t>
            </w:r>
          </w:p>
        </w:tc>
        <w:tc>
          <w:tcPr>
            <w:tcW w:w="623" w:type="dxa"/>
            <w:tcBorders>
              <w:top w:val="single" w:sz="8" w:space="0" w:color="000000"/>
              <w:left w:val="nil"/>
              <w:bottom w:val="single" w:sz="8" w:space="0" w:color="000000"/>
              <w:right w:val="single" w:sz="8" w:space="0" w:color="000000"/>
            </w:tcBorders>
            <w:vAlign w:val="center"/>
          </w:tcPr>
          <w:p w14:paraId="33AAC97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UND.</w:t>
            </w:r>
          </w:p>
        </w:tc>
        <w:tc>
          <w:tcPr>
            <w:tcW w:w="851" w:type="dxa"/>
            <w:tcBorders>
              <w:top w:val="single" w:sz="8" w:space="0" w:color="000000"/>
              <w:left w:val="nil"/>
              <w:bottom w:val="single" w:sz="8" w:space="0" w:color="000000"/>
              <w:right w:val="single" w:sz="4" w:space="0" w:color="000000"/>
            </w:tcBorders>
            <w:vAlign w:val="center"/>
          </w:tcPr>
          <w:p w14:paraId="39FFD9D6"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QUANT.</w:t>
            </w:r>
          </w:p>
        </w:tc>
        <w:tc>
          <w:tcPr>
            <w:tcW w:w="850" w:type="dxa"/>
            <w:tcBorders>
              <w:top w:val="single" w:sz="4" w:space="0" w:color="000000"/>
              <w:left w:val="single" w:sz="4" w:space="0" w:color="000000"/>
              <w:bottom w:val="single" w:sz="4" w:space="0" w:color="000000"/>
              <w:right w:val="single" w:sz="4" w:space="0" w:color="000000"/>
            </w:tcBorders>
            <w:vAlign w:val="center"/>
          </w:tcPr>
          <w:p w14:paraId="2754A70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MARCA</w:t>
            </w:r>
          </w:p>
        </w:tc>
        <w:tc>
          <w:tcPr>
            <w:tcW w:w="1300" w:type="dxa"/>
            <w:tcBorders>
              <w:top w:val="single" w:sz="8" w:space="0" w:color="000000"/>
              <w:left w:val="single" w:sz="4" w:space="0" w:color="000000"/>
              <w:bottom w:val="single" w:sz="8" w:space="0" w:color="000000"/>
              <w:right w:val="single" w:sz="4" w:space="0" w:color="000000"/>
            </w:tcBorders>
            <w:vAlign w:val="center"/>
          </w:tcPr>
          <w:p w14:paraId="7598B1E6"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VALOR UNITÁRIO</w:t>
            </w:r>
          </w:p>
        </w:tc>
        <w:tc>
          <w:tcPr>
            <w:tcW w:w="1252" w:type="dxa"/>
            <w:tcBorders>
              <w:top w:val="single" w:sz="8" w:space="0" w:color="000000"/>
              <w:left w:val="single" w:sz="4" w:space="0" w:color="000000"/>
              <w:bottom w:val="single" w:sz="8" w:space="0" w:color="000000"/>
              <w:right w:val="single" w:sz="4" w:space="0" w:color="000000"/>
            </w:tcBorders>
            <w:vAlign w:val="center"/>
          </w:tcPr>
          <w:p w14:paraId="7DEDB624"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VALOR</w:t>
            </w:r>
          </w:p>
          <w:p w14:paraId="2371915E"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TOTAL</w:t>
            </w:r>
          </w:p>
        </w:tc>
      </w:tr>
      <w:tr w:rsidR="001D2190" w:rsidRPr="00D9751C" w14:paraId="725D3E01" w14:textId="77777777" w:rsidTr="000B33D0">
        <w:trPr>
          <w:trHeight w:val="240"/>
        </w:trPr>
        <w:tc>
          <w:tcPr>
            <w:tcW w:w="983" w:type="dxa"/>
            <w:tcBorders>
              <w:top w:val="single" w:sz="4" w:space="0" w:color="000000"/>
              <w:left w:val="single" w:sz="8" w:space="0" w:color="000000"/>
              <w:bottom w:val="single" w:sz="4" w:space="0" w:color="000000"/>
              <w:right w:val="single" w:sz="8" w:space="0" w:color="000000"/>
            </w:tcBorders>
            <w:vAlign w:val="center"/>
          </w:tcPr>
          <w:p w14:paraId="4E516BB8"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1</w:t>
            </w:r>
          </w:p>
        </w:tc>
        <w:tc>
          <w:tcPr>
            <w:tcW w:w="3685" w:type="dxa"/>
            <w:tcBorders>
              <w:top w:val="single" w:sz="4" w:space="0" w:color="000000"/>
              <w:left w:val="nil"/>
              <w:bottom w:val="single" w:sz="4" w:space="0" w:color="000000"/>
              <w:right w:val="single" w:sz="4" w:space="0" w:color="000000"/>
            </w:tcBorders>
            <w:vAlign w:val="center"/>
          </w:tcPr>
          <w:p w14:paraId="249E5C05"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single" w:sz="4" w:space="0" w:color="000000"/>
              <w:left w:val="nil"/>
              <w:bottom w:val="single" w:sz="4" w:space="0" w:color="000000"/>
              <w:right w:val="single" w:sz="4" w:space="0" w:color="000000"/>
            </w:tcBorders>
            <w:vAlign w:val="center"/>
          </w:tcPr>
          <w:p w14:paraId="6A3CEE0D"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single" w:sz="4" w:space="0" w:color="000000"/>
              <w:left w:val="nil"/>
              <w:bottom w:val="single" w:sz="4" w:space="0" w:color="000000"/>
              <w:right w:val="single" w:sz="4" w:space="0" w:color="000000"/>
            </w:tcBorders>
            <w:vAlign w:val="center"/>
          </w:tcPr>
          <w:p w14:paraId="3E85587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1C9EBA39"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single" w:sz="4" w:space="0" w:color="000000"/>
              <w:left w:val="single" w:sz="4" w:space="0" w:color="000000"/>
              <w:bottom w:val="single" w:sz="4" w:space="0" w:color="000000"/>
              <w:right w:val="single" w:sz="4" w:space="0" w:color="000000"/>
            </w:tcBorders>
            <w:vAlign w:val="center"/>
          </w:tcPr>
          <w:p w14:paraId="105AE803"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single" w:sz="4" w:space="0" w:color="000000"/>
              <w:left w:val="single" w:sz="4" w:space="0" w:color="000000"/>
              <w:bottom w:val="single" w:sz="4" w:space="0" w:color="000000"/>
              <w:right w:val="single" w:sz="4" w:space="0" w:color="000000"/>
            </w:tcBorders>
            <w:vAlign w:val="center"/>
          </w:tcPr>
          <w:p w14:paraId="0A8383A0"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r w:rsidR="001D2190" w:rsidRPr="00D9751C" w14:paraId="6ABF9E48" w14:textId="77777777" w:rsidTr="000B33D0">
        <w:trPr>
          <w:trHeight w:val="369"/>
        </w:trPr>
        <w:tc>
          <w:tcPr>
            <w:tcW w:w="983" w:type="dxa"/>
            <w:tcBorders>
              <w:top w:val="nil"/>
              <w:left w:val="single" w:sz="8" w:space="0" w:color="000000"/>
              <w:bottom w:val="single" w:sz="4" w:space="0" w:color="000000"/>
              <w:right w:val="single" w:sz="8" w:space="0" w:color="000000"/>
            </w:tcBorders>
            <w:vAlign w:val="center"/>
          </w:tcPr>
          <w:p w14:paraId="7E20A4FF"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2</w:t>
            </w:r>
          </w:p>
        </w:tc>
        <w:tc>
          <w:tcPr>
            <w:tcW w:w="3685" w:type="dxa"/>
            <w:tcBorders>
              <w:top w:val="nil"/>
              <w:left w:val="nil"/>
              <w:bottom w:val="single" w:sz="4" w:space="0" w:color="000000"/>
              <w:right w:val="single" w:sz="4" w:space="0" w:color="000000"/>
            </w:tcBorders>
            <w:vAlign w:val="center"/>
          </w:tcPr>
          <w:p w14:paraId="4566B58F"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nil"/>
              <w:left w:val="nil"/>
              <w:bottom w:val="single" w:sz="4" w:space="0" w:color="000000"/>
              <w:right w:val="single" w:sz="4" w:space="0" w:color="000000"/>
            </w:tcBorders>
            <w:vAlign w:val="center"/>
          </w:tcPr>
          <w:p w14:paraId="10501096"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nil"/>
              <w:left w:val="nil"/>
              <w:bottom w:val="single" w:sz="4" w:space="0" w:color="000000"/>
              <w:right w:val="single" w:sz="4" w:space="0" w:color="000000"/>
            </w:tcBorders>
            <w:vAlign w:val="center"/>
          </w:tcPr>
          <w:p w14:paraId="6A98F19A"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08799A1C"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nil"/>
              <w:left w:val="single" w:sz="4" w:space="0" w:color="000000"/>
              <w:bottom w:val="single" w:sz="4" w:space="0" w:color="000000"/>
              <w:right w:val="single" w:sz="4" w:space="0" w:color="000000"/>
            </w:tcBorders>
            <w:vAlign w:val="center"/>
          </w:tcPr>
          <w:p w14:paraId="3C19CCA2"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nil"/>
              <w:left w:val="single" w:sz="4" w:space="0" w:color="000000"/>
              <w:bottom w:val="single" w:sz="4" w:space="0" w:color="000000"/>
              <w:right w:val="single" w:sz="4" w:space="0" w:color="000000"/>
            </w:tcBorders>
            <w:vAlign w:val="center"/>
          </w:tcPr>
          <w:p w14:paraId="44CC3FFD"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r w:rsidR="001D2190" w:rsidRPr="00D9751C" w14:paraId="3D033405" w14:textId="77777777" w:rsidTr="000B33D0">
        <w:trPr>
          <w:trHeight w:val="288"/>
        </w:trPr>
        <w:tc>
          <w:tcPr>
            <w:tcW w:w="983" w:type="dxa"/>
            <w:tcBorders>
              <w:top w:val="nil"/>
              <w:left w:val="single" w:sz="8" w:space="0" w:color="000000"/>
              <w:bottom w:val="single" w:sz="4" w:space="0" w:color="000000"/>
              <w:right w:val="single" w:sz="8" w:space="0" w:color="000000"/>
            </w:tcBorders>
            <w:vAlign w:val="center"/>
          </w:tcPr>
          <w:p w14:paraId="54281409" w14:textId="77777777" w:rsidR="001D2190" w:rsidRPr="00D9751C" w:rsidRDefault="001D2190" w:rsidP="000B33D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3</w:t>
            </w:r>
          </w:p>
        </w:tc>
        <w:tc>
          <w:tcPr>
            <w:tcW w:w="3685" w:type="dxa"/>
            <w:tcBorders>
              <w:top w:val="nil"/>
              <w:left w:val="nil"/>
              <w:bottom w:val="single" w:sz="4" w:space="0" w:color="000000"/>
              <w:right w:val="single" w:sz="4" w:space="0" w:color="000000"/>
            </w:tcBorders>
            <w:vAlign w:val="center"/>
          </w:tcPr>
          <w:p w14:paraId="20957BFB"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623" w:type="dxa"/>
            <w:tcBorders>
              <w:top w:val="nil"/>
              <w:left w:val="nil"/>
              <w:bottom w:val="single" w:sz="4" w:space="0" w:color="000000"/>
              <w:right w:val="single" w:sz="4" w:space="0" w:color="000000"/>
            </w:tcBorders>
            <w:vAlign w:val="center"/>
          </w:tcPr>
          <w:p w14:paraId="21C2167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1" w:type="dxa"/>
            <w:tcBorders>
              <w:top w:val="nil"/>
              <w:left w:val="nil"/>
              <w:bottom w:val="single" w:sz="4" w:space="0" w:color="000000"/>
              <w:right w:val="single" w:sz="4" w:space="0" w:color="000000"/>
            </w:tcBorders>
            <w:vAlign w:val="center"/>
          </w:tcPr>
          <w:p w14:paraId="2DE3A0C1"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850" w:type="dxa"/>
            <w:tcBorders>
              <w:top w:val="single" w:sz="4" w:space="0" w:color="000000"/>
              <w:left w:val="nil"/>
              <w:bottom w:val="single" w:sz="4" w:space="0" w:color="000000"/>
              <w:right w:val="single" w:sz="4" w:space="0" w:color="000000"/>
            </w:tcBorders>
            <w:vAlign w:val="center"/>
          </w:tcPr>
          <w:p w14:paraId="109ACC54"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300" w:type="dxa"/>
            <w:tcBorders>
              <w:top w:val="nil"/>
              <w:left w:val="single" w:sz="4" w:space="0" w:color="000000"/>
              <w:bottom w:val="single" w:sz="4" w:space="0" w:color="000000"/>
              <w:right w:val="single" w:sz="4" w:space="0" w:color="000000"/>
            </w:tcBorders>
            <w:vAlign w:val="center"/>
          </w:tcPr>
          <w:p w14:paraId="1D9D7F8B"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c>
          <w:tcPr>
            <w:tcW w:w="1252" w:type="dxa"/>
            <w:tcBorders>
              <w:top w:val="nil"/>
              <w:left w:val="single" w:sz="4" w:space="0" w:color="000000"/>
              <w:bottom w:val="single" w:sz="4" w:space="0" w:color="000000"/>
              <w:right w:val="single" w:sz="4" w:space="0" w:color="000000"/>
            </w:tcBorders>
            <w:vAlign w:val="center"/>
          </w:tcPr>
          <w:p w14:paraId="3E32C6D8" w14:textId="77777777" w:rsidR="001D2190" w:rsidRPr="00D9751C" w:rsidRDefault="001D2190" w:rsidP="000B33D0">
            <w:pPr>
              <w:spacing w:after="0" w:line="240" w:lineRule="auto"/>
              <w:jc w:val="center"/>
              <w:rPr>
                <w:rFonts w:ascii="Times New Roman" w:eastAsia="Arial" w:hAnsi="Times New Roman" w:cs="Times New Roman"/>
                <w:b/>
                <w:sz w:val="24"/>
                <w:szCs w:val="24"/>
              </w:rPr>
            </w:pPr>
          </w:p>
        </w:tc>
      </w:tr>
    </w:tbl>
    <w:p w14:paraId="3EEF7EB4"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p>
    <w:p w14:paraId="04DCA5E5" w14:textId="77777777" w:rsidR="001D2190" w:rsidRPr="00D9751C" w:rsidRDefault="001D2190" w:rsidP="001D2190">
      <w:pPr>
        <w:tabs>
          <w:tab w:val="left" w:pos="4005"/>
        </w:tabs>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3.0 DA ADESÃO À ATA DE REGISTRO DE PREÇOS: </w:t>
      </w:r>
    </w:p>
    <w:p w14:paraId="1FD50840" w14:textId="2F9D479D"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3.1.</w:t>
      </w:r>
      <w:r w:rsidRPr="00D9751C">
        <w:rPr>
          <w:rFonts w:ascii="Times New Roman" w:eastAsia="Arial" w:hAnsi="Times New Roman" w:cs="Times New Roman"/>
          <w:sz w:val="24"/>
          <w:szCs w:val="24"/>
        </w:rPr>
        <w:tab/>
        <w:t>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w:t>
      </w:r>
      <w:r>
        <w:rPr>
          <w:rFonts w:ascii="Times New Roman" w:eastAsia="Arial" w:hAnsi="Times New Roman" w:cs="Times New Roman"/>
          <w:sz w:val="24"/>
          <w:szCs w:val="24"/>
        </w:rPr>
        <w:t xml:space="preserve"> Federal</w:t>
      </w:r>
      <w:r w:rsidRPr="00D9751C">
        <w:rPr>
          <w:rFonts w:ascii="Times New Roman" w:eastAsia="Arial" w:hAnsi="Times New Roman" w:cs="Times New Roman"/>
          <w:sz w:val="24"/>
          <w:szCs w:val="24"/>
        </w:rPr>
        <w:t xml:space="preserve"> nº 14.133, de 2021;</w:t>
      </w:r>
    </w:p>
    <w:p w14:paraId="4AAA52B8"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3.1.1.</w:t>
      </w:r>
      <w:r w:rsidRPr="00D9751C">
        <w:rPr>
          <w:rFonts w:ascii="Times New Roman" w:eastAsia="Arial" w:hAnsi="Times New Roman" w:cs="Times New Roman"/>
          <w:sz w:val="24"/>
          <w:szCs w:val="24"/>
        </w:rPr>
        <w:tab/>
        <w:t xml:space="preserve"> A manifestação do órgão gerenciador de que trata o subitem anterior, salvo para adesões feitas por órgãos ou entidades de outras esferas federativas, fica condicionada à realização de estudo, pelos </w:t>
      </w:r>
      <w:r w:rsidRPr="00D9751C">
        <w:rPr>
          <w:rFonts w:ascii="Times New Roman" w:eastAsia="Arial" w:hAnsi="Times New Roman" w:cs="Times New Roman"/>
          <w:sz w:val="24"/>
          <w:szCs w:val="24"/>
        </w:rPr>
        <w:lastRenderedPageBreak/>
        <w:t>órgãos e pelas entidades que não participaram do registro de preços, que demonstre o ganho de eficiência, a viabilidade e a economicidade para a administração pública da utilização da ata de registro de preços;</w:t>
      </w:r>
    </w:p>
    <w:p w14:paraId="03344406"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3.2.</w:t>
      </w:r>
      <w:r w:rsidRPr="00D9751C">
        <w:rPr>
          <w:rFonts w:ascii="Times New Roman" w:eastAsia="Arial" w:hAnsi="Times New Roman" w:cs="Times New Roman"/>
          <w:sz w:val="24"/>
          <w:szCs w:val="24"/>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14:paraId="0722523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3.3.</w:t>
      </w:r>
      <w:r w:rsidRPr="00D9751C">
        <w:rPr>
          <w:rFonts w:ascii="Times New Roman" w:eastAsia="Arial" w:hAnsi="Times New Roman" w:cs="Times New Roman"/>
          <w:sz w:val="24"/>
          <w:szCs w:val="24"/>
        </w:rPr>
        <w:tab/>
        <w:t>As aquisições ou contratações adicionais a que se refere este item não poderão exceder, por órgão ou entidade, ao máximo 50% (cinquenta por cento) dos quantitativos dos itens do instrumento convocatório e registrados na ata de registro de preços para o órgão gerenciador e órgãos participantes.</w:t>
      </w:r>
    </w:p>
    <w:p w14:paraId="4AB94FD1"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3.4.</w:t>
      </w:r>
      <w:r w:rsidRPr="00D9751C">
        <w:rPr>
          <w:rFonts w:ascii="Times New Roman" w:eastAsia="Arial" w:hAnsi="Times New Roman" w:cs="Times New Roman"/>
          <w:sz w:val="24"/>
          <w:szCs w:val="24"/>
        </w:rPr>
        <w:tab/>
        <w:t>As adesões à ata de registro de preços são limitadas, na totalidade, ao máximo dobro do quantitativo de cada item registrado na ata de registro de preços para o órgão gerenciador e órgãos participantes, independente do número de órgãos não participantes que eventualmente aderirem.</w:t>
      </w:r>
    </w:p>
    <w:p w14:paraId="4237E01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3.4.1.</w:t>
      </w:r>
      <w:r w:rsidRPr="00D9751C">
        <w:rPr>
          <w:rFonts w:ascii="Times New Roman" w:eastAsia="Arial" w:hAnsi="Times New Roman" w:cs="Times New Roman"/>
          <w:sz w:val="24"/>
          <w:szCs w:val="24"/>
        </w:rPr>
        <w:tab/>
        <w:t>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à aderentes anteriores, não ultrapasse o limite de R$ 80.000,00 (oitenta mil reais).</w:t>
      </w:r>
    </w:p>
    <w:p w14:paraId="749D3888"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3.5.</w:t>
      </w:r>
      <w:r w:rsidRPr="00D9751C">
        <w:rPr>
          <w:rFonts w:ascii="Times New Roman" w:eastAsia="Arial" w:hAnsi="Times New Roman" w:cs="Times New Roman"/>
          <w:sz w:val="24"/>
          <w:szCs w:val="24"/>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E8EB99C"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3.6.</w:t>
      </w:r>
      <w:r w:rsidRPr="00D9751C">
        <w:rPr>
          <w:rFonts w:ascii="Times New Roman" w:eastAsia="Arial" w:hAnsi="Times New Roman" w:cs="Times New Roman"/>
          <w:sz w:val="24"/>
          <w:szCs w:val="24"/>
        </w:rPr>
        <w:tab/>
        <w:t>Após a autorização do órgão gerenciador, o órgão não participante deverá efetivar a contratação solicitada em até noventa dias, observado o prazo de validade da Ata de Registro de Preços.</w:t>
      </w:r>
    </w:p>
    <w:p w14:paraId="5473676B" w14:textId="77777777" w:rsidR="001D2190" w:rsidRPr="00D9751C" w:rsidRDefault="001D2190" w:rsidP="001D2190">
      <w:pPr>
        <w:tabs>
          <w:tab w:val="left" w:pos="0"/>
        </w:tabs>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3.6.1.</w:t>
      </w:r>
      <w:r w:rsidRPr="00D9751C">
        <w:rPr>
          <w:rFonts w:ascii="Times New Roman" w:eastAsia="Arial" w:hAnsi="Times New Roman" w:cs="Times New Roman"/>
          <w:sz w:val="24"/>
          <w:szCs w:val="24"/>
        </w:rPr>
        <w:tab/>
        <w:t>Caberá ao órgão gerenciador autorizar, excepcional e justificadamente, a prorrogação do prazo para efetivação da contratação, respeitado o prazo de vigência da ata, desde que solicitada pelo órgão não participante.</w:t>
      </w:r>
    </w:p>
    <w:p w14:paraId="6A53543A"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p>
    <w:p w14:paraId="19D3258A"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4.0 VALIDADE DA ATA</w:t>
      </w:r>
    </w:p>
    <w:p w14:paraId="5453EB42" w14:textId="77777777" w:rsidR="001D2190" w:rsidRPr="00D9751C" w:rsidRDefault="001D2190" w:rsidP="001D2190">
      <w:pPr>
        <w:pBdr>
          <w:top w:val="nil"/>
          <w:left w:val="nil"/>
          <w:bottom w:val="nil"/>
          <w:right w:val="nil"/>
          <w:between w:val="nil"/>
        </w:pBdr>
        <w:spacing w:after="0" w:line="240" w:lineRule="auto"/>
        <w:jc w:val="both"/>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4.1 O prazo de vigência da ata de registro de preços será de</w:t>
      </w:r>
      <w:r w:rsidRPr="00D9751C">
        <w:rPr>
          <w:rFonts w:ascii="Times New Roman" w:eastAsia="Arial" w:hAnsi="Times New Roman" w:cs="Times New Roman"/>
          <w:b/>
          <w:bCs/>
          <w:color w:val="000000"/>
          <w:sz w:val="24"/>
          <w:szCs w:val="24"/>
        </w:rPr>
        <w:t xml:space="preserve"> 1 (um) ano </w:t>
      </w:r>
      <w:r w:rsidRPr="00D9751C">
        <w:rPr>
          <w:rFonts w:ascii="Times New Roman" w:eastAsia="Arial" w:hAnsi="Times New Roman" w:cs="Times New Roman"/>
          <w:color w:val="000000"/>
          <w:sz w:val="24"/>
          <w:szCs w:val="24"/>
        </w:rPr>
        <w:t>e poderá ser prorrogado, por igual período, desde que comprovado o preço vantajoso, conforme o disposto no art. 84 da Lei n. 14.133/21.</w:t>
      </w:r>
    </w:p>
    <w:p w14:paraId="327531CC"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p>
    <w:p w14:paraId="55042B63" w14:textId="77777777" w:rsidR="001D2190" w:rsidRPr="00D9751C" w:rsidRDefault="001D2190" w:rsidP="001D2190">
      <w:pPr>
        <w:tabs>
          <w:tab w:val="left" w:pos="4005"/>
        </w:tabs>
        <w:spacing w:after="0" w:line="240" w:lineRule="auto"/>
        <w:rPr>
          <w:rFonts w:ascii="Times New Roman" w:eastAsia="Arial" w:hAnsi="Times New Roman" w:cs="Times New Roman"/>
          <w:b/>
          <w:sz w:val="24"/>
          <w:szCs w:val="24"/>
        </w:rPr>
      </w:pPr>
      <w:r w:rsidRPr="00D9751C">
        <w:rPr>
          <w:rFonts w:ascii="Times New Roman" w:eastAsia="Arial" w:hAnsi="Times New Roman" w:cs="Times New Roman"/>
          <w:b/>
          <w:sz w:val="24"/>
          <w:szCs w:val="24"/>
        </w:rPr>
        <w:t>5.0 REVISÃO E CANCELAMENTO</w:t>
      </w:r>
    </w:p>
    <w:p w14:paraId="1C014B5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5.1 A Administração realizará pesquisa de mercado periodicamente, em intervalos não superiores a 180 (cento e oitenta) dias, a fim de verificar a vantajosidade dos preços registrados nesta Ata.</w:t>
      </w:r>
    </w:p>
    <w:p w14:paraId="78B4CC74"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5.2.</w:t>
      </w:r>
      <w:r w:rsidRPr="00D9751C">
        <w:rPr>
          <w:rFonts w:ascii="Times New Roman" w:eastAsia="Arial" w:hAnsi="Times New Roman" w:cs="Times New Roman"/>
          <w:sz w:val="24"/>
          <w:szCs w:val="24"/>
        </w:rPr>
        <w:tab/>
        <w:t>Os preços registrados poderão ser revistos em decorrência de eventual redução dos preços praticados no mercado ou de fato que eleve o custo do objeto registrado, cabendo à Administração promover as negociações junto ao(s) fornecedor(es).</w:t>
      </w:r>
    </w:p>
    <w:p w14:paraId="4B147BA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5.3.</w:t>
      </w:r>
      <w:r w:rsidRPr="00D9751C">
        <w:rPr>
          <w:rFonts w:ascii="Times New Roman" w:eastAsia="Arial" w:hAnsi="Times New Roman" w:cs="Times New Roman"/>
          <w:sz w:val="24"/>
          <w:szCs w:val="24"/>
        </w:rPr>
        <w:tab/>
        <w:t>Quando o preço registrado tornar-se superior ao preço praticado no mercado por motivo superveniente, a Administração convocará o(s) fornecedor(es) para negociar(em) a redução dos preços aos valores praticados pelo mercado.</w:t>
      </w:r>
    </w:p>
    <w:p w14:paraId="6BD84C5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5.4.</w:t>
      </w:r>
      <w:r w:rsidRPr="00D9751C">
        <w:rPr>
          <w:rFonts w:ascii="Times New Roman" w:eastAsia="Arial" w:hAnsi="Times New Roman" w:cs="Times New Roman"/>
          <w:sz w:val="24"/>
          <w:szCs w:val="24"/>
        </w:rPr>
        <w:tab/>
        <w:t>O fornecedor que não aceitar reduzir seu preço ao valor praticado pelo mercado será liberado do compromisso assumido, sem aplicação de penalidade.</w:t>
      </w:r>
    </w:p>
    <w:p w14:paraId="63F6B3C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5.4.1.</w:t>
      </w:r>
      <w:r w:rsidRPr="00D9751C">
        <w:rPr>
          <w:rFonts w:ascii="Times New Roman" w:eastAsia="Arial" w:hAnsi="Times New Roman" w:cs="Times New Roman"/>
          <w:sz w:val="24"/>
          <w:szCs w:val="24"/>
        </w:rPr>
        <w:tab/>
        <w:t>A ordem de classificação dos fornecedores que aceitarem reduzir seus preços aos valores de mercado observará a classificação original.</w:t>
      </w:r>
    </w:p>
    <w:p w14:paraId="0A5B9610"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lastRenderedPageBreak/>
        <w:t>5.5.</w:t>
      </w:r>
      <w:r w:rsidRPr="00D9751C">
        <w:rPr>
          <w:rFonts w:ascii="Times New Roman" w:eastAsia="Arial" w:hAnsi="Times New Roman" w:cs="Times New Roman"/>
          <w:sz w:val="24"/>
          <w:szCs w:val="24"/>
        </w:rPr>
        <w:tab/>
        <w:t>Quando o preço de mercado tornar-se superior aos preços registrados e o fornecedor não puder cumprir o compromisso, o órgão gerenciador poderá:</w:t>
      </w:r>
    </w:p>
    <w:p w14:paraId="7698A333"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5.5.1.</w:t>
      </w:r>
      <w:r w:rsidRPr="00D9751C">
        <w:rPr>
          <w:rFonts w:ascii="Times New Roman" w:eastAsia="Arial" w:hAnsi="Times New Roman" w:cs="Times New Roman"/>
          <w:sz w:val="24"/>
          <w:szCs w:val="24"/>
        </w:rPr>
        <w:tab/>
        <w:t>liberar o fornecedor do compromisso assumido, caso a comunicação ocorra antes do pedido de fornecimento, e sem aplicação da penalidade se confirmada a veracidade dos motivos e comprovantes apresentados; e</w:t>
      </w:r>
    </w:p>
    <w:p w14:paraId="58B9CEF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5.5.2.</w:t>
      </w:r>
      <w:r w:rsidRPr="00D9751C">
        <w:rPr>
          <w:rFonts w:ascii="Times New Roman" w:eastAsia="Arial" w:hAnsi="Times New Roman" w:cs="Times New Roman"/>
          <w:sz w:val="24"/>
          <w:szCs w:val="24"/>
        </w:rPr>
        <w:tab/>
        <w:t>convocar os demais fornecedores para assegurar igual oportunidade de negociação.</w:t>
      </w:r>
    </w:p>
    <w:p w14:paraId="6B46BCAA"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5.6.</w:t>
      </w:r>
      <w:r w:rsidRPr="00D9751C">
        <w:rPr>
          <w:rFonts w:ascii="Times New Roman" w:eastAsia="Arial" w:hAnsi="Times New Roman" w:cs="Times New Roman"/>
          <w:sz w:val="24"/>
          <w:szCs w:val="24"/>
        </w:rPr>
        <w:tab/>
        <w:t>Não havendo êxito nas negociações, o órgão gerenciador deverá proceder à revogação desta ata de registro de preços, adotando as medidas cabíveis para obtenção da contratação mais vantajosa.</w:t>
      </w:r>
    </w:p>
    <w:p w14:paraId="13C0B029"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w:t>
      </w:r>
      <w:r w:rsidRPr="00D9751C">
        <w:rPr>
          <w:rFonts w:ascii="Times New Roman" w:eastAsia="Arial" w:hAnsi="Times New Roman" w:cs="Times New Roman"/>
          <w:sz w:val="24"/>
          <w:szCs w:val="24"/>
        </w:rPr>
        <w:tab/>
        <w:t>O registro do fornecedor será cancelado quando:</w:t>
      </w:r>
    </w:p>
    <w:p w14:paraId="6232C5A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5.7.1.</w:t>
      </w:r>
      <w:r w:rsidRPr="00D9751C">
        <w:rPr>
          <w:rFonts w:ascii="Times New Roman" w:eastAsia="Arial" w:hAnsi="Times New Roman" w:cs="Times New Roman"/>
          <w:sz w:val="24"/>
          <w:szCs w:val="24"/>
        </w:rPr>
        <w:tab/>
        <w:t>descumprir as condições da ata de registro de preços;</w:t>
      </w:r>
    </w:p>
    <w:p w14:paraId="50D63AD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5.7.2.</w:t>
      </w:r>
      <w:r w:rsidRPr="00D9751C">
        <w:rPr>
          <w:rFonts w:ascii="Times New Roman" w:eastAsia="Arial" w:hAnsi="Times New Roman" w:cs="Times New Roman"/>
          <w:sz w:val="24"/>
          <w:szCs w:val="24"/>
        </w:rPr>
        <w:tab/>
        <w:t>não retirar a nota de empenho ou instrumento equivalente no prazo estabelecido pela Administração, sem justificativa aceitável;</w:t>
      </w:r>
    </w:p>
    <w:p w14:paraId="459C1E6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5.7.3.</w:t>
      </w:r>
      <w:r w:rsidRPr="00D9751C">
        <w:rPr>
          <w:rFonts w:ascii="Times New Roman" w:eastAsia="Arial" w:hAnsi="Times New Roman" w:cs="Times New Roman"/>
          <w:sz w:val="24"/>
          <w:szCs w:val="24"/>
        </w:rPr>
        <w:tab/>
        <w:t>não aceitar reduzir o seu preço registrado, na hipótese deste se tornar superior àqueles praticados no mercado; ou</w:t>
      </w:r>
    </w:p>
    <w:p w14:paraId="11471629"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5.7.4.</w:t>
      </w:r>
      <w:r w:rsidRPr="00D9751C">
        <w:rPr>
          <w:rFonts w:ascii="Times New Roman" w:eastAsia="Arial" w:hAnsi="Times New Roman" w:cs="Times New Roman"/>
          <w:sz w:val="24"/>
          <w:szCs w:val="24"/>
        </w:rPr>
        <w:tab/>
        <w:t>sofrer sanção administrativa cujo efeito torne-o proibido de celebrar contrato administrativo, alcançando o órgão gerenciador e órgão(s) participante(s).</w:t>
      </w:r>
    </w:p>
    <w:p w14:paraId="6F29D3F8"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5.8.</w:t>
      </w:r>
      <w:r w:rsidRPr="00D9751C">
        <w:rPr>
          <w:rFonts w:ascii="Times New Roman" w:eastAsia="Arial" w:hAnsi="Times New Roman" w:cs="Times New Roman"/>
          <w:sz w:val="24"/>
          <w:szCs w:val="24"/>
        </w:rPr>
        <w:tab/>
        <w:t>O cancelamento de registros nas hipóteses previstas nos itens 5.7.1, 5.7.2 e 5.7.4 será formalizado por despacho do órgão gerenciador, assegurado o contraditório e a ampla defesa.</w:t>
      </w:r>
    </w:p>
    <w:p w14:paraId="32B5D053"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w:t>
      </w:r>
      <w:r w:rsidRPr="00D9751C">
        <w:rPr>
          <w:rFonts w:ascii="Times New Roman" w:eastAsia="Arial" w:hAnsi="Times New Roman" w:cs="Times New Roman"/>
          <w:sz w:val="24"/>
          <w:szCs w:val="24"/>
        </w:rPr>
        <w:tab/>
        <w:t>O cancelamento do registro de preços poderá ocorrer por fato superveniente, decorrente de caso fortuito ou força maior, que prejudique o cumprimento da ata, devidamente comprovados e justificados:</w:t>
      </w:r>
    </w:p>
    <w:p w14:paraId="0405C41E"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5.9.1.</w:t>
      </w:r>
      <w:r w:rsidRPr="00D9751C">
        <w:rPr>
          <w:rFonts w:ascii="Times New Roman" w:eastAsia="Arial" w:hAnsi="Times New Roman" w:cs="Times New Roman"/>
          <w:sz w:val="24"/>
          <w:szCs w:val="24"/>
        </w:rPr>
        <w:tab/>
        <w:t>por razão de interesse público; ou</w:t>
      </w:r>
    </w:p>
    <w:p w14:paraId="6C415CB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5.9.2.</w:t>
      </w:r>
      <w:r w:rsidRPr="00D9751C">
        <w:rPr>
          <w:rFonts w:ascii="Times New Roman" w:eastAsia="Arial" w:hAnsi="Times New Roman" w:cs="Times New Roman"/>
          <w:sz w:val="24"/>
          <w:szCs w:val="24"/>
        </w:rPr>
        <w:tab/>
        <w:t xml:space="preserve">a pedido do fornecedor. </w:t>
      </w:r>
    </w:p>
    <w:p w14:paraId="228E733B"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4DE7726D"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 xml:space="preserve">6. DAS PENALIDADES: </w:t>
      </w:r>
    </w:p>
    <w:p w14:paraId="431DB130"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6.1.</w:t>
      </w:r>
      <w:r w:rsidRPr="00D9751C">
        <w:rPr>
          <w:rFonts w:ascii="Times New Roman" w:eastAsia="Arial" w:hAnsi="Times New Roman" w:cs="Times New Roman"/>
          <w:sz w:val="24"/>
          <w:szCs w:val="24"/>
        </w:rPr>
        <w:tab/>
        <w:t>O descumprimento da Ata de Registro de Preços ensejará aplicação das penalidades estabelecidas no Edital.</w:t>
      </w:r>
    </w:p>
    <w:p w14:paraId="6523665C"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6.1.1.</w:t>
      </w:r>
      <w:r w:rsidRPr="00D9751C">
        <w:rPr>
          <w:rFonts w:ascii="Times New Roman" w:eastAsia="Arial" w:hAnsi="Times New Roman" w:cs="Times New Roman"/>
          <w:sz w:val="24"/>
          <w:szCs w:val="24"/>
        </w:rPr>
        <w:tab/>
        <w:t>As sanções do item acima também se aplicam aos integrantes do cadastro de reserva, em pregão para registro de preços que, convocados, não honrarem o compromisso assumido injustificadamente, nos termos da legislação.</w:t>
      </w:r>
    </w:p>
    <w:p w14:paraId="1A1AD52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6.2.</w:t>
      </w:r>
      <w:r w:rsidRPr="00D9751C">
        <w:rPr>
          <w:rFonts w:ascii="Times New Roman" w:eastAsia="Arial" w:hAnsi="Times New Roman" w:cs="Times New Roman"/>
          <w:sz w:val="24"/>
          <w:szCs w:val="24"/>
        </w:rPr>
        <w:tab/>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conforme legislação.</w:t>
      </w:r>
    </w:p>
    <w:p w14:paraId="12700B11"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6.3.</w:t>
      </w:r>
      <w:r w:rsidRPr="00D9751C">
        <w:rPr>
          <w:rFonts w:ascii="Times New Roman" w:eastAsia="Arial" w:hAnsi="Times New Roman" w:cs="Times New Roman"/>
          <w:sz w:val="24"/>
          <w:szCs w:val="24"/>
        </w:rPr>
        <w:tab/>
        <w:t>O órgão participante deverá comunicar ao órgão gerenciador qualquer descumprimento pelo fornecedor, dada a necessidade de instauração de procedimento para cancelamento do registro do fornecedor.</w:t>
      </w:r>
    </w:p>
    <w:p w14:paraId="6F65531B"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1D321B09"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7. ÓRGÃOS PARTICIPANTES</w:t>
      </w:r>
    </w:p>
    <w:p w14:paraId="2643F539" w14:textId="77777777" w:rsidR="001D2190" w:rsidRPr="00D9751C" w:rsidRDefault="001D2190" w:rsidP="001D2190">
      <w:pPr>
        <w:pBdr>
          <w:top w:val="nil"/>
          <w:left w:val="nil"/>
          <w:bottom w:val="nil"/>
          <w:right w:val="nil"/>
          <w:between w:val="nil"/>
        </w:pBdr>
        <w:spacing w:after="0" w:line="240" w:lineRule="auto"/>
        <w:rPr>
          <w:rFonts w:ascii="Times New Roman" w:eastAsia="Arial" w:hAnsi="Times New Roman" w:cs="Times New Roman"/>
          <w:color w:val="000000"/>
          <w:sz w:val="24"/>
          <w:szCs w:val="24"/>
        </w:rPr>
      </w:pPr>
      <w:r w:rsidRPr="00D9751C">
        <w:rPr>
          <w:rFonts w:ascii="Times New Roman" w:eastAsia="Arial" w:hAnsi="Times New Roman" w:cs="Times New Roman"/>
          <w:color w:val="000000"/>
          <w:sz w:val="24"/>
          <w:szCs w:val="24"/>
        </w:rPr>
        <w:t>SECRETARIA MUNICIPAL DE EDUCAÇÃO</w:t>
      </w:r>
    </w:p>
    <w:p w14:paraId="18235417" w14:textId="77777777" w:rsidR="001D2190" w:rsidRPr="00D9751C" w:rsidRDefault="001D2190" w:rsidP="001D2190">
      <w:pPr>
        <w:spacing w:after="0" w:line="240" w:lineRule="auto"/>
        <w:jc w:val="both"/>
        <w:rPr>
          <w:rFonts w:ascii="Times New Roman" w:eastAsia="Arial" w:hAnsi="Times New Roman" w:cs="Times New Roman"/>
          <w:b/>
          <w:sz w:val="24"/>
          <w:szCs w:val="24"/>
        </w:rPr>
      </w:pPr>
    </w:p>
    <w:p w14:paraId="1E5DBBAB" w14:textId="77777777" w:rsidR="001D2190" w:rsidRPr="00D9751C" w:rsidRDefault="001D2190" w:rsidP="001D2190">
      <w:pPr>
        <w:spacing w:after="0" w:line="240" w:lineRule="auto"/>
        <w:jc w:val="both"/>
        <w:rPr>
          <w:rFonts w:ascii="Times New Roman" w:eastAsia="Arial" w:hAnsi="Times New Roman" w:cs="Times New Roman"/>
          <w:b/>
          <w:sz w:val="24"/>
          <w:szCs w:val="24"/>
        </w:rPr>
      </w:pPr>
      <w:r w:rsidRPr="00D9751C">
        <w:rPr>
          <w:rFonts w:ascii="Times New Roman" w:eastAsia="Arial" w:hAnsi="Times New Roman" w:cs="Times New Roman"/>
          <w:b/>
          <w:sz w:val="24"/>
          <w:szCs w:val="24"/>
        </w:rPr>
        <w:t>8. CONDIÇÕES GERAIS</w:t>
      </w:r>
    </w:p>
    <w:p w14:paraId="0CF54346"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8.1.</w:t>
      </w:r>
      <w:r w:rsidRPr="00D9751C">
        <w:rPr>
          <w:rFonts w:ascii="Times New Roman" w:eastAsia="Arial" w:hAnsi="Times New Roman" w:cs="Times New Roman"/>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w:t>
      </w:r>
    </w:p>
    <w:p w14:paraId="38229817"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t>8.2.</w:t>
      </w:r>
      <w:r w:rsidRPr="00D9751C">
        <w:rPr>
          <w:rFonts w:ascii="Times New Roman" w:eastAsia="Arial" w:hAnsi="Times New Roman" w:cs="Times New Roman"/>
          <w:sz w:val="24"/>
          <w:szCs w:val="24"/>
        </w:rPr>
        <w:tab/>
        <w:t>É vedado efetuar acréscimos nos quantitativos fixados nesta ata de registro de preços, inclusive o acréscimo de que trata o art. 125 da Lei nº 14.133/21.</w:t>
      </w:r>
    </w:p>
    <w:p w14:paraId="22318505" w14:textId="77777777" w:rsidR="001D2190" w:rsidRPr="00D9751C" w:rsidRDefault="001D2190" w:rsidP="001D2190">
      <w:pPr>
        <w:spacing w:after="0" w:line="240" w:lineRule="auto"/>
        <w:jc w:val="both"/>
        <w:rPr>
          <w:rFonts w:ascii="Times New Roman" w:eastAsia="Arial" w:hAnsi="Times New Roman" w:cs="Times New Roman"/>
          <w:sz w:val="24"/>
          <w:szCs w:val="24"/>
        </w:rPr>
      </w:pPr>
      <w:r w:rsidRPr="00D9751C">
        <w:rPr>
          <w:rFonts w:ascii="Times New Roman" w:eastAsia="Arial" w:hAnsi="Times New Roman" w:cs="Times New Roman"/>
          <w:sz w:val="24"/>
          <w:szCs w:val="24"/>
        </w:rPr>
        <w:lastRenderedPageBreak/>
        <w:t>Para firmeza e validade do pactuado, a presente Ata foi lavrada em 03 vias de igual teor, que, depois de lida e achada em ordem, vai assinada pelas partes.</w:t>
      </w:r>
    </w:p>
    <w:p w14:paraId="60C8E269" w14:textId="77777777" w:rsidR="001D2190" w:rsidRPr="00D9751C" w:rsidRDefault="001D2190" w:rsidP="001D2190">
      <w:pPr>
        <w:spacing w:after="0" w:line="240" w:lineRule="auto"/>
        <w:jc w:val="both"/>
        <w:rPr>
          <w:rFonts w:ascii="Times New Roman" w:eastAsia="Arial" w:hAnsi="Times New Roman" w:cs="Times New Roman"/>
          <w:sz w:val="24"/>
          <w:szCs w:val="24"/>
        </w:rPr>
      </w:pPr>
    </w:p>
    <w:p w14:paraId="15A2CEEF"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21E952CF"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JANDAÍRA(BA), __ de ___________ de 2026.</w:t>
      </w:r>
    </w:p>
    <w:p w14:paraId="0F1A9A9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AA8EF4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DEFD2D5"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4477E1A9"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___________________________________________</w:t>
      </w:r>
    </w:p>
    <w:p w14:paraId="4618F7A5"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GILDASIO MENDES LOPES</w:t>
      </w:r>
    </w:p>
    <w:p w14:paraId="46E15A52"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PREFEITO MUNICIPAL</w:t>
      </w:r>
    </w:p>
    <w:p w14:paraId="4E52CC69"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5978C311"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08E044BC" w14:textId="77777777" w:rsidR="001D2190" w:rsidRPr="00D9751C" w:rsidRDefault="001D2190" w:rsidP="001D2190">
      <w:pPr>
        <w:spacing w:after="0" w:line="240" w:lineRule="auto"/>
        <w:jc w:val="center"/>
        <w:rPr>
          <w:rFonts w:ascii="Times New Roman" w:eastAsia="Arial" w:hAnsi="Times New Roman" w:cs="Times New Roman"/>
          <w:b/>
          <w:sz w:val="24"/>
          <w:szCs w:val="24"/>
        </w:rPr>
      </w:pPr>
    </w:p>
    <w:p w14:paraId="1EB9A6CF"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__________________________________________</w:t>
      </w:r>
    </w:p>
    <w:p w14:paraId="534103C0"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XXXXXXXXXXXXXXXXXXXXXX</w:t>
      </w:r>
    </w:p>
    <w:p w14:paraId="0039D191" w14:textId="77777777" w:rsidR="001D2190" w:rsidRPr="00D9751C" w:rsidRDefault="001D2190" w:rsidP="001D2190">
      <w:pPr>
        <w:spacing w:after="0" w:line="240" w:lineRule="auto"/>
        <w:jc w:val="center"/>
        <w:rPr>
          <w:rFonts w:ascii="Times New Roman" w:eastAsia="Arial" w:hAnsi="Times New Roman" w:cs="Times New Roman"/>
          <w:b/>
          <w:sz w:val="24"/>
          <w:szCs w:val="24"/>
        </w:rPr>
      </w:pPr>
      <w:r w:rsidRPr="00D9751C">
        <w:rPr>
          <w:rFonts w:ascii="Times New Roman" w:eastAsia="Arial" w:hAnsi="Times New Roman" w:cs="Times New Roman"/>
          <w:b/>
          <w:sz w:val="24"/>
          <w:szCs w:val="24"/>
        </w:rPr>
        <w:t>REPRESENTANTE LEGAL)</w:t>
      </w:r>
    </w:p>
    <w:p w14:paraId="1281B701" w14:textId="3286E210" w:rsidR="00C841A3" w:rsidRPr="001D2190" w:rsidRDefault="00C841A3" w:rsidP="001D2190"/>
    <w:sectPr w:rsidR="00C841A3" w:rsidRPr="001D2190" w:rsidSect="001D2190">
      <w:headerReference w:type="default" r:id="rId6"/>
      <w:pgSz w:w="11906" w:h="16838"/>
      <w:pgMar w:top="1417" w:right="99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867BB" w14:textId="77777777" w:rsidR="00685C5F" w:rsidRDefault="00685C5F" w:rsidP="001D2190">
      <w:pPr>
        <w:spacing w:after="0" w:line="240" w:lineRule="auto"/>
      </w:pPr>
      <w:r>
        <w:separator/>
      </w:r>
    </w:p>
  </w:endnote>
  <w:endnote w:type="continuationSeparator" w:id="0">
    <w:p w14:paraId="5AD51D46" w14:textId="77777777" w:rsidR="00685C5F" w:rsidRDefault="00685C5F" w:rsidP="001D2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32338" w14:textId="77777777" w:rsidR="00685C5F" w:rsidRDefault="00685C5F" w:rsidP="001D2190">
      <w:pPr>
        <w:spacing w:after="0" w:line="240" w:lineRule="auto"/>
      </w:pPr>
      <w:r>
        <w:separator/>
      </w:r>
    </w:p>
  </w:footnote>
  <w:footnote w:type="continuationSeparator" w:id="0">
    <w:p w14:paraId="39A8EE6A" w14:textId="77777777" w:rsidR="00685C5F" w:rsidRDefault="00685C5F" w:rsidP="001D21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61F38"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noProof/>
      </w:rPr>
      <w:drawing>
        <wp:anchor distT="0" distB="0" distL="114300" distR="114300" simplePos="0" relativeHeight="251659264" behindDoc="1" locked="0" layoutInCell="1" allowOverlap="1" wp14:anchorId="16A7B994" wp14:editId="6801C612">
          <wp:simplePos x="0" y="0"/>
          <wp:positionH relativeFrom="margin">
            <wp:posOffset>-372110</wp:posOffset>
          </wp:positionH>
          <wp:positionV relativeFrom="paragraph">
            <wp:posOffset>-53247</wp:posOffset>
          </wp:positionV>
          <wp:extent cx="866238" cy="818515"/>
          <wp:effectExtent l="0" t="0" r="0" b="635"/>
          <wp:wrapNone/>
          <wp:docPr id="5766016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866238"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D2190">
      <w:rPr>
        <w:rFonts w:ascii="Times New Roman" w:hAnsi="Times New Roman" w:cs="Times New Roman"/>
        <w:b/>
        <w:bCs/>
      </w:rPr>
      <w:t>ESTADO DA BAHIA</w:t>
    </w:r>
  </w:p>
  <w:p w14:paraId="600892F0"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PREFEITURA MUNICIPAL DE JANDAÍRA/BA - CNPJ: 13.697.206/0001-64</w:t>
    </w:r>
  </w:p>
  <w:p w14:paraId="43F9FB19" w14:textId="77777777" w:rsidR="001D2190" w:rsidRPr="001D2190" w:rsidRDefault="001D2190" w:rsidP="001D2190">
    <w:pPr>
      <w:pStyle w:val="Cabealho"/>
      <w:tabs>
        <w:tab w:val="clear" w:pos="8504"/>
      </w:tabs>
      <w:ind w:left="1560" w:hanging="567"/>
      <w:rPr>
        <w:rFonts w:ascii="Times New Roman" w:hAnsi="Times New Roman" w:cs="Times New Roman"/>
        <w:b/>
        <w:bCs/>
      </w:rPr>
    </w:pPr>
    <w:r w:rsidRPr="001D2190">
      <w:rPr>
        <w:rFonts w:ascii="Times New Roman" w:hAnsi="Times New Roman" w:cs="Times New Roman"/>
        <w:b/>
        <w:bCs/>
      </w:rPr>
      <w:t>Praça Horácio de Faria, 300, Centro, Jandaíra – Bahia</w:t>
    </w:r>
  </w:p>
  <w:p w14:paraId="6822B5DC" w14:textId="77777777" w:rsidR="001D2190" w:rsidRPr="001D2190" w:rsidRDefault="001D2190" w:rsidP="001D2190">
    <w:pPr>
      <w:pStyle w:val="Cabealho"/>
      <w:tabs>
        <w:tab w:val="clear" w:pos="8504"/>
      </w:tabs>
      <w:ind w:left="1560" w:hanging="567"/>
      <w:rPr>
        <w:rFonts w:ascii="Times New Roman" w:hAnsi="Times New Roman" w:cs="Times New Roman"/>
      </w:rPr>
    </w:pPr>
    <w:r w:rsidRPr="001D2190">
      <w:rPr>
        <w:rFonts w:ascii="Times New Roman" w:hAnsi="Times New Roman" w:cs="Times New Roman"/>
        <w:b/>
        <w:bCs/>
      </w:rPr>
      <w:t xml:space="preserve">Telefone: (75) 3445-2109/2125/2176/2197 – Endereço Eletrônico: </w:t>
    </w:r>
    <w:hyperlink r:id="rId3" w:history="1">
      <w:r w:rsidRPr="001D2190">
        <w:rPr>
          <w:rStyle w:val="Hyperlink"/>
          <w:rFonts w:ascii="Times New Roman" w:hAnsi="Times New Roman" w:cs="Times New Roman"/>
          <w:b/>
          <w:bCs/>
        </w:rPr>
        <w:t>www.jandaira.ba.gov</w:t>
      </w:r>
    </w:hyperlink>
    <w:r w:rsidRPr="001D2190">
      <w:rPr>
        <w:rFonts w:ascii="Times New Roman" w:hAnsi="Times New Roman" w:cs="Times New Roman"/>
      </w:rPr>
      <w:t xml:space="preserve"> </w:t>
    </w:r>
  </w:p>
  <w:p w14:paraId="2CE7D092" w14:textId="77777777" w:rsidR="001D2190" w:rsidRDefault="001D219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1A3"/>
    <w:rsid w:val="001D2190"/>
    <w:rsid w:val="00381856"/>
    <w:rsid w:val="005F6BFF"/>
    <w:rsid w:val="00685C5F"/>
    <w:rsid w:val="00701CF6"/>
    <w:rsid w:val="007D31D1"/>
    <w:rsid w:val="008E0FC7"/>
    <w:rsid w:val="009F1F59"/>
    <w:rsid w:val="00A12C2E"/>
    <w:rsid w:val="00BB12C9"/>
    <w:rsid w:val="00C841A3"/>
    <w:rsid w:val="00E90C37"/>
    <w:rsid w:val="00F41C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D6E2A"/>
  <w15:chartTrackingRefBased/>
  <w15:docId w15:val="{5C9AEABC-4E44-4361-852C-5BC3C7A1C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1A3"/>
    <w:pPr>
      <w:spacing w:line="259" w:lineRule="auto"/>
    </w:pPr>
    <w:rPr>
      <w:kern w:val="0"/>
      <w:sz w:val="22"/>
      <w:szCs w:val="22"/>
      <w14:ligatures w14:val="none"/>
    </w:rPr>
  </w:style>
  <w:style w:type="paragraph" w:styleId="Ttulo1">
    <w:name w:val="heading 1"/>
    <w:basedOn w:val="Normal"/>
    <w:next w:val="Normal"/>
    <w:link w:val="Ttulo1Char"/>
    <w:uiPriority w:val="9"/>
    <w:qFormat/>
    <w:rsid w:val="00C841A3"/>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C841A3"/>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C841A3"/>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C841A3"/>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C841A3"/>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C841A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C841A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C841A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C841A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841A3"/>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C841A3"/>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C841A3"/>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C841A3"/>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C841A3"/>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C841A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841A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841A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841A3"/>
    <w:rPr>
      <w:rFonts w:eastAsiaTheme="majorEastAsia" w:cstheme="majorBidi"/>
      <w:color w:val="272727" w:themeColor="text1" w:themeTint="D8"/>
    </w:rPr>
  </w:style>
  <w:style w:type="paragraph" w:styleId="Ttulo">
    <w:name w:val="Title"/>
    <w:basedOn w:val="Normal"/>
    <w:next w:val="Normal"/>
    <w:link w:val="TtuloChar"/>
    <w:uiPriority w:val="10"/>
    <w:qFormat/>
    <w:rsid w:val="00C841A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C841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841A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C841A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841A3"/>
    <w:pPr>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C841A3"/>
    <w:rPr>
      <w:i/>
      <w:iCs/>
      <w:color w:val="404040" w:themeColor="text1" w:themeTint="BF"/>
    </w:rPr>
  </w:style>
  <w:style w:type="paragraph" w:styleId="PargrafodaLista">
    <w:name w:val="List Paragraph"/>
    <w:basedOn w:val="Normal"/>
    <w:uiPriority w:val="34"/>
    <w:qFormat/>
    <w:rsid w:val="00C841A3"/>
    <w:pPr>
      <w:spacing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C841A3"/>
    <w:rPr>
      <w:i/>
      <w:iCs/>
      <w:color w:val="2F5496" w:themeColor="accent1" w:themeShade="BF"/>
    </w:rPr>
  </w:style>
  <w:style w:type="paragraph" w:styleId="CitaoIntensa">
    <w:name w:val="Intense Quote"/>
    <w:basedOn w:val="Normal"/>
    <w:next w:val="Normal"/>
    <w:link w:val="CitaoIntensaChar"/>
    <w:uiPriority w:val="30"/>
    <w:qFormat/>
    <w:rsid w:val="00C841A3"/>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C841A3"/>
    <w:rPr>
      <w:i/>
      <w:iCs/>
      <w:color w:val="2F5496" w:themeColor="accent1" w:themeShade="BF"/>
    </w:rPr>
  </w:style>
  <w:style w:type="character" w:styleId="RefernciaIntensa">
    <w:name w:val="Intense Reference"/>
    <w:basedOn w:val="Fontepargpadro"/>
    <w:uiPriority w:val="32"/>
    <w:qFormat/>
    <w:rsid w:val="00C841A3"/>
    <w:rPr>
      <w:b/>
      <w:bCs/>
      <w:smallCaps/>
      <w:color w:val="2F5496" w:themeColor="accent1" w:themeShade="BF"/>
      <w:spacing w:val="5"/>
    </w:rPr>
  </w:style>
  <w:style w:type="character" w:styleId="Forte">
    <w:name w:val="Strong"/>
    <w:qFormat/>
    <w:rsid w:val="001D2190"/>
    <w:rPr>
      <w:b/>
      <w:bCs/>
    </w:rPr>
  </w:style>
  <w:style w:type="paragraph" w:styleId="Cabealho">
    <w:name w:val="header"/>
    <w:aliases w:val="Cabeçalho superior,Heading 1a,h,he,HeaderNN,encabezado, Char,Char,ho,header odd,hd"/>
    <w:basedOn w:val="Normal"/>
    <w:link w:val="CabealhoChar"/>
    <w:uiPriority w:val="99"/>
    <w:unhideWhenUsed/>
    <w:qFormat/>
    <w:rsid w:val="001D2190"/>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encabezado Char, Char Char,Char Char,ho Char,header odd Char,hd Char"/>
    <w:basedOn w:val="Fontepargpadro"/>
    <w:link w:val="Cabealho"/>
    <w:uiPriority w:val="99"/>
    <w:rsid w:val="001D2190"/>
    <w:rPr>
      <w:kern w:val="0"/>
      <w:sz w:val="22"/>
      <w:szCs w:val="22"/>
      <w14:ligatures w14:val="none"/>
    </w:rPr>
  </w:style>
  <w:style w:type="paragraph" w:styleId="Rodap">
    <w:name w:val="footer"/>
    <w:basedOn w:val="Normal"/>
    <w:link w:val="RodapChar"/>
    <w:uiPriority w:val="99"/>
    <w:unhideWhenUsed/>
    <w:rsid w:val="001D2190"/>
    <w:pPr>
      <w:tabs>
        <w:tab w:val="center" w:pos="4252"/>
        <w:tab w:val="right" w:pos="8504"/>
      </w:tabs>
      <w:spacing w:after="0" w:line="240" w:lineRule="auto"/>
    </w:pPr>
  </w:style>
  <w:style w:type="character" w:customStyle="1" w:styleId="RodapChar">
    <w:name w:val="Rodapé Char"/>
    <w:basedOn w:val="Fontepargpadro"/>
    <w:link w:val="Rodap"/>
    <w:uiPriority w:val="99"/>
    <w:rsid w:val="001D2190"/>
    <w:rPr>
      <w:kern w:val="0"/>
      <w:sz w:val="22"/>
      <w:szCs w:val="22"/>
      <w14:ligatures w14:val="none"/>
    </w:rPr>
  </w:style>
  <w:style w:type="character" w:styleId="Hyperlink">
    <w:name w:val="Hyperlink"/>
    <w:basedOn w:val="Fontepargpadro"/>
    <w:uiPriority w:val="99"/>
    <w:unhideWhenUsed/>
    <w:rsid w:val="001D2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3" Type="http://schemas.openxmlformats.org/officeDocument/2006/relationships/hyperlink" Target="http://www.jandaira.ba.gov" TargetMode="External"/><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1461</Words>
  <Characters>7893</Characters>
  <Application>Microsoft Office Word</Application>
  <DocSecurity>0</DocSecurity>
  <Lines>65</Lines>
  <Paragraphs>18</Paragraphs>
  <ScaleCrop>false</ScaleCrop>
  <Company/>
  <LinksUpToDate>false</LinksUpToDate>
  <CharactersWithSpaces>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aldenir souza</dc:creator>
  <cp:keywords/>
  <dc:description/>
  <cp:lastModifiedBy>aldenir souza</cp:lastModifiedBy>
  <cp:revision>6</cp:revision>
  <dcterms:created xsi:type="dcterms:W3CDTF">2026-03-16T00:26:00Z</dcterms:created>
  <dcterms:modified xsi:type="dcterms:W3CDTF">2026-04-24T11:28:00Z</dcterms:modified>
</cp:coreProperties>
</file>