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E69A2B" w14:textId="77777777" w:rsidR="00722E0F" w:rsidRPr="008F5C09" w:rsidRDefault="00722E0F" w:rsidP="00722E0F">
      <w:pPr>
        <w:ind w:left="0" w:hanging="2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ATO DE AUTORIZAÇÃO </w:t>
      </w:r>
      <w:r w:rsidRPr="008F5C09">
        <w:rPr>
          <w:rFonts w:ascii="Arial" w:eastAsia="Arial" w:hAnsi="Arial" w:cs="Arial"/>
          <w:b/>
          <w:color w:val="000000"/>
        </w:rPr>
        <w:t>DE INEXIGIBILIDADE DE LICITAÇÃO</w:t>
      </w:r>
    </w:p>
    <w:p w14:paraId="51B548B3" w14:textId="77777777" w:rsidR="00722E0F" w:rsidRPr="008F5C09" w:rsidRDefault="00722E0F" w:rsidP="00722E0F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Arial" w:eastAsia="Arial" w:hAnsi="Arial" w:cs="Arial"/>
          <w:color w:val="000000"/>
        </w:rPr>
      </w:pPr>
      <w:r w:rsidRPr="008F5C09">
        <w:rPr>
          <w:rFonts w:ascii="Arial" w:eastAsia="Arial" w:hAnsi="Arial" w:cs="Arial"/>
          <w:b/>
          <w:color w:val="000000"/>
        </w:rPr>
        <w:t> </w:t>
      </w:r>
    </w:p>
    <w:p w14:paraId="32B2D624" w14:textId="79827443" w:rsidR="00722E0F" w:rsidRPr="00D24042" w:rsidRDefault="00722E0F" w:rsidP="00722E0F">
      <w:pPr>
        <w:spacing w:line="360" w:lineRule="auto"/>
        <w:ind w:left="0" w:right="141" w:hanging="2"/>
        <w:jc w:val="center"/>
        <w:rPr>
          <w:rFonts w:ascii="Arial" w:eastAsia="Arial" w:hAnsi="Arial" w:cs="Arial"/>
          <w:b/>
          <w:color w:val="000000"/>
        </w:rPr>
      </w:pPr>
      <w:r w:rsidRPr="00D24042">
        <w:rPr>
          <w:rFonts w:ascii="Arial" w:eastAsia="Arial" w:hAnsi="Arial" w:cs="Arial"/>
          <w:b/>
          <w:color w:val="000000"/>
        </w:rPr>
        <w:t>PROCESSO ADMINISTRATIVO: PA01</w:t>
      </w:r>
      <w:r w:rsidR="00D24042" w:rsidRPr="00D24042">
        <w:rPr>
          <w:rFonts w:ascii="Arial" w:eastAsia="Arial" w:hAnsi="Arial" w:cs="Arial"/>
          <w:b/>
          <w:color w:val="000000"/>
        </w:rPr>
        <w:t>2108</w:t>
      </w:r>
      <w:r w:rsidRPr="00D24042">
        <w:rPr>
          <w:rFonts w:ascii="Arial" w:eastAsia="Arial" w:hAnsi="Arial" w:cs="Arial"/>
          <w:b/>
          <w:color w:val="000000"/>
        </w:rPr>
        <w:t>/2025</w:t>
      </w:r>
    </w:p>
    <w:p w14:paraId="11CDF820" w14:textId="28EA9D3A" w:rsidR="00722E0F" w:rsidRPr="008F5C09" w:rsidRDefault="00722E0F" w:rsidP="00722E0F">
      <w:pPr>
        <w:tabs>
          <w:tab w:val="center" w:pos="4607"/>
          <w:tab w:val="left" w:pos="7626"/>
        </w:tabs>
        <w:spacing w:line="360" w:lineRule="auto"/>
        <w:ind w:left="0" w:right="141" w:hanging="2"/>
        <w:jc w:val="center"/>
        <w:rPr>
          <w:rFonts w:ascii="Arial" w:eastAsia="Arial" w:hAnsi="Arial" w:cs="Arial"/>
          <w:b/>
          <w:color w:val="000000"/>
        </w:rPr>
      </w:pPr>
      <w:r w:rsidRPr="00D24042">
        <w:rPr>
          <w:rFonts w:ascii="Arial" w:eastAsia="Arial" w:hAnsi="Arial" w:cs="Arial"/>
          <w:b/>
          <w:color w:val="000000"/>
        </w:rPr>
        <w:t>INEXIGIBILIDADE DE LICITAÇÃO: IN01</w:t>
      </w:r>
      <w:r w:rsidR="00D24042" w:rsidRPr="00D24042">
        <w:rPr>
          <w:rFonts w:ascii="Arial" w:eastAsia="Arial" w:hAnsi="Arial" w:cs="Arial"/>
          <w:b/>
          <w:color w:val="000000"/>
        </w:rPr>
        <w:t>2108</w:t>
      </w:r>
      <w:r w:rsidRPr="00D24042">
        <w:rPr>
          <w:rFonts w:ascii="Arial" w:eastAsia="Arial" w:hAnsi="Arial" w:cs="Arial"/>
          <w:b/>
          <w:color w:val="000000"/>
        </w:rPr>
        <w:t>/2025</w:t>
      </w:r>
    </w:p>
    <w:p w14:paraId="25B49D52" w14:textId="77777777" w:rsidR="00722E0F" w:rsidRDefault="00722E0F" w:rsidP="00722E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1D042763" w14:textId="77777777" w:rsidR="00722E0F" w:rsidRDefault="00722E0F" w:rsidP="00722E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CONSIDERANDO</w:t>
      </w:r>
      <w:r>
        <w:rPr>
          <w:rFonts w:ascii="Arial" w:eastAsia="Arial" w:hAnsi="Arial" w:cs="Arial"/>
          <w:color w:val="000000"/>
        </w:rPr>
        <w:t xml:space="preserve"> os elementos contidos no presente processo de inexigibilidade de licitação, que foi devidamente justificado, tanto pela razão da escolha do prestador de serviços, quanto pela justificativa dos preços;</w:t>
      </w:r>
    </w:p>
    <w:p w14:paraId="4367B737" w14:textId="77777777" w:rsidR="00722E0F" w:rsidRDefault="00722E0F" w:rsidP="00722E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CONSIDERANDO</w:t>
      </w:r>
      <w:r>
        <w:rPr>
          <w:rFonts w:ascii="Arial" w:eastAsia="Arial" w:hAnsi="Arial" w:cs="Arial"/>
          <w:color w:val="000000"/>
        </w:rPr>
        <w:t xml:space="preserve"> que o processo foi instruído com os documentos e requisitos que comprovam que o contratado possui habilitação e qualificação mínima para celebrar o contrato, conforme preconizado no artigo 72 da Lei Federal 14.133/2021; </w:t>
      </w:r>
    </w:p>
    <w:p w14:paraId="7CEC7FEF" w14:textId="77777777" w:rsidR="00722E0F" w:rsidRDefault="00722E0F" w:rsidP="00722E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17F4F48E" w14:textId="77777777" w:rsidR="00722E0F" w:rsidRDefault="00722E0F" w:rsidP="00722E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CONSIDERANDO</w:t>
      </w:r>
      <w:r>
        <w:rPr>
          <w:rFonts w:ascii="Arial" w:eastAsia="Arial" w:hAnsi="Arial" w:cs="Arial"/>
          <w:color w:val="000000"/>
        </w:rPr>
        <w:t xml:space="preserve"> que o PARECER TÉCNICO da Agente de Contratação que prevê que a INEXIGIBILIDADE DE LICITAÇÃO está em conformidade ao disposto no artigo 72 c/c 74, INC II, da Lei Federal 14.133/2021; </w:t>
      </w:r>
    </w:p>
    <w:p w14:paraId="2B56A176" w14:textId="77777777" w:rsidR="00722E0F" w:rsidRDefault="00722E0F" w:rsidP="00722E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357CF659" w14:textId="77777777" w:rsidR="00722E0F" w:rsidRDefault="00722E0F" w:rsidP="00722E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CONSIDERANDO</w:t>
      </w:r>
      <w:r>
        <w:rPr>
          <w:rFonts w:ascii="Arial" w:eastAsia="Arial" w:hAnsi="Arial" w:cs="Arial"/>
          <w:color w:val="000000"/>
        </w:rPr>
        <w:t xml:space="preserve"> que o PARECER </w:t>
      </w:r>
      <w:r>
        <w:rPr>
          <w:rFonts w:ascii="Arial" w:eastAsia="Arial" w:hAnsi="Arial" w:cs="Arial"/>
        </w:rPr>
        <w:t>JURÍDICO</w:t>
      </w:r>
      <w:r>
        <w:rPr>
          <w:rFonts w:ascii="Arial" w:eastAsia="Arial" w:hAnsi="Arial" w:cs="Arial"/>
          <w:color w:val="000000"/>
        </w:rPr>
        <w:t xml:space="preserve"> atesta que foram cumpridas as exigências legais e os requisitos mínimos para a contratação;</w:t>
      </w:r>
    </w:p>
    <w:p w14:paraId="16037CF1" w14:textId="77777777" w:rsidR="00722E0F" w:rsidRDefault="00722E0F" w:rsidP="00722E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1EDCDD67" w14:textId="01842F38" w:rsidR="00722E0F" w:rsidRDefault="00722E0F" w:rsidP="00722E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No uso das atribuições que me foram conferidas, em especial ao disposto no artigo 72, VIII da Lei Federal </w:t>
      </w:r>
      <w:r w:rsidRPr="00D24042">
        <w:rPr>
          <w:rFonts w:ascii="Arial" w:eastAsia="Arial" w:hAnsi="Arial" w:cs="Arial"/>
          <w:color w:val="000000"/>
        </w:rPr>
        <w:t xml:space="preserve">14.133/2021, </w:t>
      </w:r>
      <w:r w:rsidRPr="00D24042">
        <w:rPr>
          <w:rFonts w:ascii="Arial" w:eastAsia="Arial" w:hAnsi="Arial" w:cs="Arial"/>
          <w:b/>
          <w:color w:val="000000"/>
        </w:rPr>
        <w:t>AUTORIZO A INEXIGIBILIDADE DE LICITAÇÃO IN01</w:t>
      </w:r>
      <w:r w:rsidR="00D24042" w:rsidRPr="00D24042">
        <w:rPr>
          <w:rFonts w:ascii="Arial" w:eastAsia="Arial" w:hAnsi="Arial" w:cs="Arial"/>
          <w:b/>
          <w:color w:val="000000"/>
        </w:rPr>
        <w:t>2108</w:t>
      </w:r>
      <w:r w:rsidRPr="00D24042">
        <w:rPr>
          <w:rFonts w:ascii="Arial" w:eastAsia="Arial" w:hAnsi="Arial" w:cs="Arial"/>
          <w:b/>
          <w:color w:val="000000"/>
        </w:rPr>
        <w:t>/2025</w:t>
      </w:r>
      <w:r w:rsidRPr="00D24042">
        <w:rPr>
          <w:rFonts w:ascii="Arial" w:eastAsia="Arial" w:hAnsi="Arial" w:cs="Arial"/>
          <w:color w:val="000000"/>
        </w:rPr>
        <w:t>, nos termos</w:t>
      </w:r>
      <w:r>
        <w:rPr>
          <w:rFonts w:ascii="Arial" w:eastAsia="Arial" w:hAnsi="Arial" w:cs="Arial"/>
          <w:color w:val="000000"/>
        </w:rPr>
        <w:t xml:space="preserve"> descritos abaixo:</w:t>
      </w:r>
    </w:p>
    <w:p w14:paraId="1A268692" w14:textId="77777777" w:rsidR="00722E0F" w:rsidRDefault="00722E0F" w:rsidP="00722E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tbl>
      <w:tblPr>
        <w:tblW w:w="9639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2899"/>
        <w:gridCol w:w="6740"/>
      </w:tblGrid>
      <w:tr w:rsidR="00722E0F" w:rsidRPr="008F5C09" w14:paraId="1D16C743" w14:textId="77777777" w:rsidTr="008662F2">
        <w:trPr>
          <w:trHeight w:val="1472"/>
        </w:trPr>
        <w:tc>
          <w:tcPr>
            <w:tcW w:w="2899" w:type="dxa"/>
          </w:tcPr>
          <w:p w14:paraId="530553D3" w14:textId="77777777" w:rsidR="00722E0F" w:rsidRPr="008F5C09" w:rsidRDefault="00722E0F" w:rsidP="008662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right"/>
              <w:rPr>
                <w:rFonts w:ascii="Arial" w:eastAsia="Arial" w:hAnsi="Arial" w:cs="Arial"/>
                <w:color w:val="000000"/>
              </w:rPr>
            </w:pPr>
            <w:r w:rsidRPr="008F5C09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740" w:type="dxa"/>
          </w:tcPr>
          <w:p w14:paraId="0E6D95C1" w14:textId="77777777" w:rsidR="00722E0F" w:rsidRPr="00CF2F52" w:rsidRDefault="00722E0F" w:rsidP="008662F2">
            <w:pPr>
              <w:spacing w:line="276" w:lineRule="auto"/>
              <w:ind w:left="0" w:hanging="2"/>
              <w:jc w:val="both"/>
              <w:rPr>
                <w:rFonts w:ascii="Arial" w:eastAsia="Arial" w:hAnsi="Arial" w:cs="Arial"/>
                <w:b/>
                <w:color w:val="000000"/>
              </w:rPr>
            </w:pPr>
            <w:r w:rsidRPr="00CF2F52">
              <w:rPr>
                <w:rFonts w:ascii="Arial" w:eastAsia="Arial" w:hAnsi="Arial" w:cs="Arial"/>
                <w:b/>
                <w:color w:val="000000"/>
              </w:rPr>
              <w:t>Contratação de empresa especializada na prestação de serviços artísticos, para realização de show musical da atração COLLO DE MENINA, no dia 27 de setembro de 2025, em praça pública, durante a programação do Festival Cannabrava, no Município de Canarana/BA.</w:t>
            </w:r>
          </w:p>
        </w:tc>
      </w:tr>
      <w:tr w:rsidR="00722E0F" w:rsidRPr="008F5C09" w14:paraId="5BAF2AE4" w14:textId="77777777" w:rsidTr="008662F2">
        <w:tc>
          <w:tcPr>
            <w:tcW w:w="2899" w:type="dxa"/>
          </w:tcPr>
          <w:p w14:paraId="0DE70705" w14:textId="77777777" w:rsidR="00722E0F" w:rsidRPr="008F5C09" w:rsidRDefault="00722E0F" w:rsidP="008662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right"/>
              <w:rPr>
                <w:rFonts w:ascii="Arial" w:eastAsia="Arial" w:hAnsi="Arial" w:cs="Arial"/>
                <w:color w:val="000000"/>
              </w:rPr>
            </w:pPr>
            <w:r w:rsidRPr="008F5C09">
              <w:rPr>
                <w:rFonts w:ascii="Arial" w:eastAsia="Arial" w:hAnsi="Arial" w:cs="Arial"/>
                <w:color w:val="000000"/>
              </w:rPr>
              <w:t xml:space="preserve">Contratado: </w:t>
            </w:r>
          </w:p>
        </w:tc>
        <w:tc>
          <w:tcPr>
            <w:tcW w:w="6740" w:type="dxa"/>
          </w:tcPr>
          <w:p w14:paraId="73050EB3" w14:textId="77777777" w:rsidR="00722E0F" w:rsidRPr="00CF2F52" w:rsidRDefault="00722E0F" w:rsidP="008662F2">
            <w:pPr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Arial" w:eastAsia="Arial" w:hAnsi="Arial" w:cs="Arial"/>
                <w:b/>
                <w:color w:val="000000"/>
              </w:rPr>
            </w:pPr>
            <w:r w:rsidRPr="00CF2F52">
              <w:rPr>
                <w:rFonts w:ascii="Arial" w:eastAsia="Arial" w:hAnsi="Arial" w:cs="Arial"/>
                <w:b/>
                <w:color w:val="000000"/>
              </w:rPr>
              <w:t>BCM PRODUÇÕES ARTISTICAS LTDA, inscrita no CNPJ nº 07.728.465/0001-02.</w:t>
            </w:r>
          </w:p>
          <w:p w14:paraId="2411D899" w14:textId="77777777" w:rsidR="00722E0F" w:rsidRPr="00CF2F52" w:rsidRDefault="00722E0F" w:rsidP="008662F2">
            <w:pPr>
              <w:suppressAutoHyphens w:val="0"/>
              <w:autoSpaceDE w:val="0"/>
              <w:autoSpaceDN w:val="0"/>
              <w:adjustRightInd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Tahoma" w:eastAsia="Tahoma" w:hAnsi="Tahoma" w:cs="Tahoma"/>
                <w:b/>
              </w:rPr>
            </w:pPr>
          </w:p>
        </w:tc>
      </w:tr>
      <w:tr w:rsidR="00722E0F" w:rsidRPr="008F5C09" w14:paraId="284506C4" w14:textId="77777777" w:rsidTr="008662F2">
        <w:trPr>
          <w:trHeight w:val="551"/>
        </w:trPr>
        <w:tc>
          <w:tcPr>
            <w:tcW w:w="2899" w:type="dxa"/>
          </w:tcPr>
          <w:p w14:paraId="6A0D4757" w14:textId="77777777" w:rsidR="00722E0F" w:rsidRPr="008F5C09" w:rsidRDefault="00722E0F" w:rsidP="008662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right"/>
              <w:rPr>
                <w:rFonts w:ascii="Arial" w:eastAsia="Arial" w:hAnsi="Arial" w:cs="Arial"/>
                <w:color w:val="000000"/>
              </w:rPr>
            </w:pPr>
            <w:r w:rsidRPr="008F5C09">
              <w:rPr>
                <w:rFonts w:ascii="Arial" w:eastAsia="Arial" w:hAnsi="Arial" w:cs="Arial"/>
                <w:color w:val="000000"/>
              </w:rPr>
              <w:t>Prazo de Vigência:</w:t>
            </w:r>
          </w:p>
        </w:tc>
        <w:tc>
          <w:tcPr>
            <w:tcW w:w="6740" w:type="dxa"/>
          </w:tcPr>
          <w:p w14:paraId="1A76BEA2" w14:textId="77777777" w:rsidR="00722E0F" w:rsidRPr="00CF2F52" w:rsidRDefault="00722E0F" w:rsidP="008662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Arial" w:eastAsia="Arial" w:hAnsi="Arial" w:cs="Arial"/>
                <w:b/>
                <w:color w:val="000000"/>
              </w:rPr>
            </w:pPr>
            <w:r w:rsidRPr="00CF2F52">
              <w:rPr>
                <w:rFonts w:ascii="Arial" w:eastAsia="Arial" w:hAnsi="Arial" w:cs="Arial"/>
                <w:b/>
                <w:color w:val="000000"/>
              </w:rPr>
              <w:t>Até o dia 31 de dezembro de 2025.</w:t>
            </w:r>
          </w:p>
          <w:p w14:paraId="587C0126" w14:textId="77777777" w:rsidR="00722E0F" w:rsidRPr="00CF2F52" w:rsidRDefault="00722E0F" w:rsidP="008662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rPr>
                <w:rFonts w:ascii="Arial" w:eastAsia="Arial" w:hAnsi="Arial" w:cs="Arial"/>
                <w:color w:val="000000"/>
              </w:rPr>
            </w:pPr>
          </w:p>
        </w:tc>
      </w:tr>
      <w:tr w:rsidR="00722E0F" w:rsidRPr="008F5C09" w14:paraId="01E5B29E" w14:textId="77777777" w:rsidTr="008662F2">
        <w:tc>
          <w:tcPr>
            <w:tcW w:w="2899" w:type="dxa"/>
          </w:tcPr>
          <w:p w14:paraId="7B215F9F" w14:textId="77777777" w:rsidR="00722E0F" w:rsidRPr="008F5C09" w:rsidRDefault="00722E0F" w:rsidP="008662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right"/>
              <w:rPr>
                <w:rFonts w:ascii="Arial" w:eastAsia="Arial" w:hAnsi="Arial" w:cs="Arial"/>
                <w:color w:val="000000"/>
              </w:rPr>
            </w:pPr>
            <w:r w:rsidRPr="008F5C09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740" w:type="dxa"/>
          </w:tcPr>
          <w:p w14:paraId="4A5E4F79" w14:textId="77777777" w:rsidR="00722E0F" w:rsidRPr="00CF2F52" w:rsidRDefault="00722E0F" w:rsidP="008662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both"/>
              <w:rPr>
                <w:rFonts w:ascii="Arial" w:eastAsia="Arial" w:hAnsi="Arial" w:cs="Arial"/>
                <w:b/>
                <w:color w:val="000000"/>
              </w:rPr>
            </w:pPr>
            <w:r w:rsidRPr="00CF2F52">
              <w:rPr>
                <w:rFonts w:ascii="Arial" w:eastAsia="Arial" w:hAnsi="Arial" w:cs="Arial"/>
                <w:b/>
                <w:color w:val="000000"/>
              </w:rPr>
              <w:t xml:space="preserve">R$ </w:t>
            </w:r>
            <w:r w:rsidRPr="00CF2F52">
              <w:rPr>
                <w:rFonts w:ascii="Arial" w:eastAsia="Arial" w:hAnsi="Arial" w:cs="Arial"/>
                <w:b/>
              </w:rPr>
              <w:t>150.000,00</w:t>
            </w:r>
            <w:r w:rsidRPr="00CF2F52">
              <w:rPr>
                <w:rFonts w:ascii="Arial" w:eastAsia="Arial" w:hAnsi="Arial" w:cs="Arial"/>
                <w:b/>
                <w:color w:val="000000"/>
              </w:rPr>
              <w:t xml:space="preserve"> (</w:t>
            </w:r>
            <w:r w:rsidRPr="00CF2F52">
              <w:rPr>
                <w:rFonts w:ascii="Arial" w:eastAsia="Arial" w:hAnsi="Arial" w:cs="Arial"/>
                <w:b/>
              </w:rPr>
              <w:t>cento e cinquenta mil reais</w:t>
            </w:r>
            <w:r w:rsidRPr="00CF2F52">
              <w:rPr>
                <w:rFonts w:ascii="Arial" w:eastAsia="Arial" w:hAnsi="Arial" w:cs="Arial"/>
                <w:b/>
                <w:color w:val="000000"/>
              </w:rPr>
              <w:t>).</w:t>
            </w:r>
          </w:p>
          <w:p w14:paraId="1F1BA06A" w14:textId="77777777" w:rsidR="00722E0F" w:rsidRPr="00CF2F52" w:rsidRDefault="00722E0F" w:rsidP="008662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both"/>
              <w:rPr>
                <w:rFonts w:ascii="Arial" w:eastAsia="Arial" w:hAnsi="Arial" w:cs="Arial"/>
                <w:b/>
                <w:color w:val="000000"/>
              </w:rPr>
            </w:pPr>
          </w:p>
        </w:tc>
      </w:tr>
      <w:tr w:rsidR="00722E0F" w:rsidRPr="008F5C09" w14:paraId="1020A767" w14:textId="77777777" w:rsidTr="008662F2">
        <w:tc>
          <w:tcPr>
            <w:tcW w:w="2899" w:type="dxa"/>
          </w:tcPr>
          <w:p w14:paraId="6401FC09" w14:textId="77777777" w:rsidR="00722E0F" w:rsidRPr="008F5C09" w:rsidRDefault="00722E0F" w:rsidP="008662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right"/>
              <w:rPr>
                <w:rFonts w:ascii="Arial" w:eastAsia="Arial" w:hAnsi="Arial" w:cs="Arial"/>
                <w:color w:val="000000"/>
              </w:rPr>
            </w:pPr>
            <w:r w:rsidRPr="008F5C09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740" w:type="dxa"/>
          </w:tcPr>
          <w:p w14:paraId="3B2EDEA8" w14:textId="77777777" w:rsidR="00722E0F" w:rsidRPr="008F5C09" w:rsidRDefault="00722E0F" w:rsidP="008662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hanging="2"/>
              <w:jc w:val="both"/>
              <w:rPr>
                <w:rFonts w:ascii="Arial" w:eastAsia="Arial" w:hAnsi="Arial" w:cs="Arial"/>
                <w:color w:val="000000"/>
              </w:rPr>
            </w:pPr>
            <w:r w:rsidRPr="008F5C09">
              <w:rPr>
                <w:rFonts w:ascii="Arial" w:eastAsia="Arial" w:hAnsi="Arial" w:cs="Arial"/>
                <w:color w:val="000000"/>
              </w:rPr>
              <w:t>Artigo 74, inciso II, da Lei Federal 14.133/2021.</w:t>
            </w:r>
          </w:p>
        </w:tc>
      </w:tr>
    </w:tbl>
    <w:p w14:paraId="4FC2E220" w14:textId="77777777" w:rsidR="00722E0F" w:rsidRPr="008F5C09" w:rsidRDefault="00722E0F" w:rsidP="00722E0F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ascii="Arial" w:eastAsia="Arial" w:hAnsi="Arial" w:cs="Arial"/>
          <w:color w:val="000000"/>
        </w:rPr>
      </w:pPr>
    </w:p>
    <w:p w14:paraId="0269B8F3" w14:textId="77777777" w:rsidR="00722E0F" w:rsidRDefault="00722E0F" w:rsidP="00722E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 w:rsidRPr="008F5C09">
        <w:rPr>
          <w:rFonts w:ascii="Arial" w:eastAsia="Arial" w:hAnsi="Arial" w:cs="Arial"/>
          <w:color w:val="000000"/>
        </w:rPr>
        <w:t>Determino, ainda, que seja dada a devida publicidade legal ao contrato, em atendimento ao preceito do artigo 72, parágrafo único da Lei 14.133/2021,</w:t>
      </w:r>
      <w:r>
        <w:rPr>
          <w:rFonts w:ascii="Arial" w:eastAsia="Arial" w:hAnsi="Arial" w:cs="Arial"/>
          <w:color w:val="000000"/>
        </w:rPr>
        <w:t xml:space="preserve"> para que fique à disposição do público em sítio eletrônico oficial. </w:t>
      </w:r>
    </w:p>
    <w:p w14:paraId="2CE8F528" w14:textId="6C11F23E" w:rsidR="00722E0F" w:rsidRDefault="00D24042" w:rsidP="00722E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  <w:r w:rsidRPr="00D24042">
        <w:rPr>
          <w:rFonts w:ascii="Arial" w:eastAsia="Arial" w:hAnsi="Arial" w:cs="Arial"/>
          <w:color w:val="000000"/>
        </w:rPr>
        <w:t>Canarana - BA, 25</w:t>
      </w:r>
      <w:r w:rsidR="00722E0F" w:rsidRPr="00D24042">
        <w:rPr>
          <w:rFonts w:ascii="Arial" w:eastAsia="Arial" w:hAnsi="Arial" w:cs="Arial"/>
          <w:color w:val="000000"/>
        </w:rPr>
        <w:t xml:space="preserve"> de </w:t>
      </w:r>
      <w:r w:rsidRPr="00D24042">
        <w:rPr>
          <w:rFonts w:ascii="Arial" w:eastAsia="Arial" w:hAnsi="Arial" w:cs="Arial"/>
        </w:rPr>
        <w:t>agosto</w:t>
      </w:r>
      <w:r w:rsidR="00722E0F" w:rsidRPr="00D24042">
        <w:rPr>
          <w:rFonts w:ascii="Arial" w:eastAsia="Arial" w:hAnsi="Arial" w:cs="Arial"/>
          <w:color w:val="000000"/>
        </w:rPr>
        <w:t xml:space="preserve"> de 2025</w:t>
      </w:r>
      <w:r w:rsidRPr="00D24042">
        <w:rPr>
          <w:rFonts w:ascii="Arial" w:eastAsia="Arial" w:hAnsi="Arial" w:cs="Arial"/>
          <w:color w:val="000000"/>
        </w:rPr>
        <w:t>.</w:t>
      </w:r>
    </w:p>
    <w:p w14:paraId="1AF2EE7C" w14:textId="77777777" w:rsidR="00EA1894" w:rsidRDefault="00EA1894" w:rsidP="00722E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color w:val="000000"/>
        </w:rPr>
      </w:pPr>
    </w:p>
    <w:p w14:paraId="0011BFD4" w14:textId="77777777" w:rsidR="00722E0F" w:rsidRDefault="00722E0F" w:rsidP="00722E0F">
      <w:pPr>
        <w:spacing w:line="276" w:lineRule="auto"/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__________________________________</w:t>
      </w:r>
    </w:p>
    <w:p w14:paraId="43F8C649" w14:textId="77777777" w:rsidR="00722E0F" w:rsidRDefault="00722E0F" w:rsidP="00722E0F">
      <w:pPr>
        <w:spacing w:line="276" w:lineRule="auto"/>
        <w:ind w:left="0" w:hanging="2"/>
        <w:jc w:val="center"/>
        <w:rPr>
          <w:rFonts w:ascii="Arial" w:eastAsia="Arial" w:hAnsi="Arial" w:cs="Arial"/>
        </w:rPr>
      </w:pPr>
      <w:bookmarkStart w:id="0" w:name="_GoBack"/>
      <w:bookmarkEnd w:id="0"/>
      <w:r>
        <w:rPr>
          <w:rFonts w:ascii="Arial" w:eastAsia="Arial" w:hAnsi="Arial" w:cs="Arial"/>
          <w:b/>
        </w:rPr>
        <w:t>Marleide Barbosa de Oliveira</w:t>
      </w:r>
    </w:p>
    <w:p w14:paraId="2F0B9609" w14:textId="05939B93" w:rsidR="00811ECB" w:rsidRPr="00EA1894" w:rsidRDefault="00722E0F" w:rsidP="00EA1894">
      <w:pPr>
        <w:spacing w:line="276" w:lineRule="auto"/>
        <w:ind w:left="0" w:hanging="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Prefeita Municipal</w:t>
      </w:r>
    </w:p>
    <w:sectPr w:rsidR="00811ECB" w:rsidRPr="00EA1894" w:rsidSect="007777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985" w:right="1134" w:bottom="993" w:left="1134" w:header="567" w:footer="99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D513BD" w14:textId="77777777" w:rsidR="00375E7D" w:rsidRDefault="00375E7D">
      <w:pPr>
        <w:spacing w:line="240" w:lineRule="auto"/>
        <w:ind w:left="0" w:hanging="2"/>
      </w:pPr>
      <w:r>
        <w:separator/>
      </w:r>
    </w:p>
  </w:endnote>
  <w:endnote w:type="continuationSeparator" w:id="0">
    <w:p w14:paraId="10384679" w14:textId="77777777" w:rsidR="00375E7D" w:rsidRDefault="00375E7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Bold r:id="rId1" w:fontKey="{D8BB210A-B599-4905-9F41-C2BD695EF4E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B962350F-2E55-4C43-9D48-DE3F91E2280C}"/>
    <w:embedBold r:id="rId3" w:fontKey="{C607FA63-4C8D-4C94-AFED-DDD1DF3422C8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36DEEA94-BCE8-46B3-A96C-E6DFEC1EBB7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006F44F8-835B-4D4E-BD68-690E1CA96B9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A0318EC7-D849-469D-BE42-55C24DD3CA16}"/>
    <w:embedItalic r:id="rId7" w:fontKey="{BA769BE3-FD8B-4CEF-9122-B996C51E1DCC}"/>
  </w:font>
  <w:font w:name="Open Sans Light">
    <w:altName w:val="Times New Roman"/>
    <w:charset w:val="00"/>
    <w:family w:val="swiss"/>
    <w:pitch w:val="variable"/>
    <w:sig w:usb0="E00002EF" w:usb1="4000205B" w:usb2="00000028" w:usb3="00000000" w:csb0="0000019F" w:csb1="00000000"/>
    <w:embedRegular r:id="rId8" w:fontKey="{065A7425-54EE-4954-97A5-32E31663F21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0B961F" w14:textId="77777777" w:rsidR="00811ECB" w:rsidRDefault="00D11E05">
    <w:pPr>
      <w:ind w:left="0" w:right="-1186" w:hanging="2"/>
      <w:jc w:val="center"/>
      <w:rPr>
        <w:u w:val="single"/>
      </w:rPr>
    </w:pPr>
    <w:r>
      <w:rPr>
        <w:u w:val="single"/>
      </w:rPr>
      <w:t>_________________________________________________________________________________________________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0B9622" w14:textId="26CA7B97" w:rsidR="00811ECB" w:rsidRPr="00D25B8C" w:rsidRDefault="00811ECB" w:rsidP="00D25B8C">
    <w:pPr>
      <w:pStyle w:val="Rodap"/>
      <w:ind w:left="0" w:hanging="2"/>
      <w:rPr>
        <w:rFonts w:eastAsia="Open Sans Light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96B79" w14:textId="77777777" w:rsidR="009D2565" w:rsidRDefault="009D2565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1B74EA" w14:textId="77777777" w:rsidR="00375E7D" w:rsidRDefault="00375E7D">
      <w:pPr>
        <w:spacing w:line="240" w:lineRule="auto"/>
        <w:ind w:left="0" w:hanging="2"/>
      </w:pPr>
      <w:r>
        <w:separator/>
      </w:r>
    </w:p>
  </w:footnote>
  <w:footnote w:type="continuationSeparator" w:id="0">
    <w:p w14:paraId="3D306746" w14:textId="77777777" w:rsidR="00375E7D" w:rsidRDefault="00375E7D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0B960A" w14:textId="77777777" w:rsidR="00811ECB" w:rsidRDefault="00811ECB">
    <w:pPr>
      <w:ind w:left="0" w:hanging="2"/>
    </w:pPr>
  </w:p>
  <w:p w14:paraId="2F0B960B" w14:textId="77777777" w:rsidR="00811ECB" w:rsidRDefault="00811ECB">
    <w:pPr>
      <w:ind w:left="0" w:hanging="2"/>
    </w:pPr>
  </w:p>
  <w:p w14:paraId="2F0B960C" w14:textId="77777777" w:rsidR="00811ECB" w:rsidRDefault="00811ECB">
    <w:pPr>
      <w:ind w:left="0" w:hanging="2"/>
    </w:pPr>
  </w:p>
  <w:p w14:paraId="2F0B960D" w14:textId="77777777" w:rsidR="00811ECB" w:rsidRDefault="00811ECB">
    <w:pPr>
      <w:ind w:left="0" w:hanging="2"/>
    </w:pPr>
  </w:p>
  <w:p w14:paraId="2F0B960E" w14:textId="77777777" w:rsidR="00811ECB" w:rsidRDefault="00811ECB">
    <w:pPr>
      <w:ind w:left="0" w:hanging="2"/>
    </w:pPr>
  </w:p>
  <w:p w14:paraId="2F0B960F" w14:textId="77777777" w:rsidR="00811ECB" w:rsidRDefault="00811ECB">
    <w:pPr>
      <w:ind w:left="0" w:hanging="2"/>
    </w:pPr>
  </w:p>
  <w:p w14:paraId="2F0B9610" w14:textId="77777777" w:rsidR="00811ECB" w:rsidRDefault="00811ECB">
    <w:pPr>
      <w:ind w:left="0" w:hanging="2"/>
    </w:pPr>
  </w:p>
  <w:p w14:paraId="2F0B9611" w14:textId="77777777" w:rsidR="00811ECB" w:rsidRDefault="00811ECB">
    <w:pPr>
      <w:ind w:left="0" w:hanging="2"/>
    </w:pPr>
  </w:p>
  <w:p w14:paraId="2F0B9612" w14:textId="77777777" w:rsidR="00811ECB" w:rsidRDefault="00811ECB">
    <w:pPr>
      <w:ind w:left="0" w:hanging="2"/>
    </w:pPr>
  </w:p>
  <w:p w14:paraId="2F0B9613" w14:textId="77777777" w:rsidR="00811ECB" w:rsidRDefault="00811ECB">
    <w:pPr>
      <w:ind w:left="0" w:hanging="2"/>
    </w:pPr>
  </w:p>
  <w:p w14:paraId="2F0B9614" w14:textId="77777777" w:rsidR="00811ECB" w:rsidRDefault="00811ECB">
    <w:pPr>
      <w:ind w:left="0" w:hanging="2"/>
    </w:pPr>
  </w:p>
  <w:p w14:paraId="2F0B9615" w14:textId="77777777" w:rsidR="00811ECB" w:rsidRDefault="00811ECB">
    <w:pPr>
      <w:ind w:left="0" w:hanging="2"/>
    </w:pPr>
  </w:p>
  <w:p w14:paraId="2F0B9616" w14:textId="77777777" w:rsidR="00811ECB" w:rsidRDefault="00811ECB">
    <w:pPr>
      <w:ind w:left="0" w:hanging="2"/>
    </w:pPr>
  </w:p>
  <w:p w14:paraId="2F0B9617" w14:textId="77777777" w:rsidR="00811ECB" w:rsidRDefault="00811ECB">
    <w:pPr>
      <w:ind w:left="0" w:hanging="2"/>
    </w:pPr>
  </w:p>
  <w:p w14:paraId="2F0B9618" w14:textId="77777777" w:rsidR="00811ECB" w:rsidRDefault="00811ECB">
    <w:pPr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0B961E" w14:textId="3AD371C3" w:rsidR="00811ECB" w:rsidRDefault="001C1742">
    <w:pPr>
      <w:ind w:left="0" w:right="-1186" w:hanging="2"/>
    </w:pPr>
    <w:r>
      <w:rPr>
        <w:noProof/>
      </w:rPr>
      <w:drawing>
        <wp:inline distT="0" distB="0" distL="0" distR="0" wp14:anchorId="417AFFDB" wp14:editId="26B64DCD">
          <wp:extent cx="5913120" cy="1219200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3120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8A7EAA" w14:textId="77777777" w:rsidR="009D2565" w:rsidRDefault="009D2565">
    <w:pPr>
      <w:pStyle w:val="Cabealho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ECB"/>
    <w:rsid w:val="00020F98"/>
    <w:rsid w:val="001C1742"/>
    <w:rsid w:val="0026453A"/>
    <w:rsid w:val="00295D82"/>
    <w:rsid w:val="002B632C"/>
    <w:rsid w:val="00375E7D"/>
    <w:rsid w:val="00460A6B"/>
    <w:rsid w:val="004C08B4"/>
    <w:rsid w:val="005223B7"/>
    <w:rsid w:val="00552475"/>
    <w:rsid w:val="00722E0F"/>
    <w:rsid w:val="0077775C"/>
    <w:rsid w:val="00811ECB"/>
    <w:rsid w:val="008214C9"/>
    <w:rsid w:val="00907D99"/>
    <w:rsid w:val="009D2565"/>
    <w:rsid w:val="00A852EE"/>
    <w:rsid w:val="00CB546E"/>
    <w:rsid w:val="00D11E05"/>
    <w:rsid w:val="00D24042"/>
    <w:rsid w:val="00D25B8C"/>
    <w:rsid w:val="00D6542C"/>
    <w:rsid w:val="00D841E9"/>
    <w:rsid w:val="00EA1894"/>
    <w:rsid w:val="00F86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B95E5"/>
  <w15:docId w15:val="{17CDFDB9-8406-4997-B6CC-ECFE3D600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Verdana" w:hAnsi="Verdana"/>
      <w:b/>
      <w:sz w:val="4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b/>
      <w:sz w:val="2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outlineLvl w:val="2"/>
    </w:pPr>
    <w:rPr>
      <w:rFonts w:ascii="Verdana" w:hAnsi="Verdana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MapadoDocumento">
    <w:name w:val="Document Map"/>
    <w:basedOn w:val="Normal"/>
    <w:pPr>
      <w:shd w:val="clear" w:color="auto" w:fill="000080"/>
    </w:pPr>
    <w:rPr>
      <w:rFonts w:ascii="Tahoma" w:hAnsi="Tahoma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rFonts w:ascii="Verdana" w:hAnsi="Verdana"/>
      <w:b/>
      <w:w w:val="100"/>
      <w:position w:val="-1"/>
      <w:sz w:val="44"/>
      <w:effect w:val="none"/>
      <w:vertAlign w:val="baseline"/>
      <w:cs w:val="0"/>
      <w:em w:val="none"/>
    </w:rPr>
  </w:style>
  <w:style w:type="character" w:customStyle="1" w:styleId="Ttulo2Char">
    <w:name w:val="Título 2 Char"/>
    <w:rPr>
      <w:b/>
      <w:w w:val="100"/>
      <w:position w:val="-1"/>
      <w:sz w:val="22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Verdana" w:hAnsi="Verdana"/>
      <w:b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al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Pr>
      <w:w w:val="100"/>
      <w:position w:val="-1"/>
      <w:effect w:val="none"/>
      <w:vertAlign w:val="baseline"/>
      <w:cs w:val="0"/>
      <w:em w:val="none"/>
    </w:rPr>
  </w:style>
  <w:style w:type="character" w:customStyle="1" w:styleId="eop">
    <w:name w:val="eop"/>
    <w:rPr>
      <w:w w:val="100"/>
      <w:position w:val="-1"/>
      <w:effect w:val="none"/>
      <w:vertAlign w:val="baseline"/>
      <w:cs w:val="0"/>
      <w:em w:val="none"/>
    </w:rPr>
  </w:style>
  <w:style w:type="character" w:customStyle="1" w:styleId="spellingerror">
    <w:name w:val="spellingerror"/>
    <w:rPr>
      <w:w w:val="100"/>
      <w:position w:val="-1"/>
      <w:effect w:val="none"/>
      <w:vertAlign w:val="baseline"/>
      <w:cs w:val="0"/>
      <w:em w:val="none"/>
    </w:rPr>
  </w:style>
  <w:style w:type="paragraph" w:styleId="PargrafodaLista">
    <w:name w:val="List Paragraph"/>
    <w:basedOn w:val="Normal"/>
    <w:pPr>
      <w:spacing w:after="200" w:line="276" w:lineRule="auto"/>
      <w:ind w:left="720" w:right="-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pPr>
      <w:spacing w:before="180" w:after="180"/>
    </w:pPr>
    <w:rPr>
      <w:rFonts w:ascii="Cambria" w:eastAsia="Cambria" w:hAnsi="Cambria"/>
      <w:sz w:val="24"/>
      <w:szCs w:val="24"/>
      <w:lang w:val="en-US" w:eastAsia="en-US"/>
    </w:rPr>
  </w:style>
  <w:style w:type="character" w:customStyle="1" w:styleId="CorpodetextoChar">
    <w:name w:val="Corpo de texto Char"/>
    <w:rPr>
      <w:rFonts w:ascii="Cambria" w:eastAsia="Cambria" w:hAnsi="Cambria"/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paragraph" w:customStyle="1" w:styleId="FirstParagraph">
    <w:name w:val="First Paragraph"/>
    <w:basedOn w:val="Corpodetexto"/>
    <w:next w:val="Corpodetexto"/>
  </w:style>
  <w:style w:type="character" w:styleId="Hyperlink">
    <w:name w:val="Hyperlink"/>
    <w:rPr>
      <w:color w:val="4F81BD"/>
      <w:w w:val="100"/>
      <w:position w:val="-1"/>
      <w:effect w:val="none"/>
      <w:vertAlign w:val="baseline"/>
      <w:cs w:val="0"/>
      <w:em w:val="none"/>
    </w:rPr>
  </w:style>
  <w:style w:type="paragraph" w:styleId="Textoembloco">
    <w:name w:val="Block Text"/>
    <w:basedOn w:val="Normal"/>
    <w:pPr>
      <w:ind w:left="1134" w:right="885"/>
      <w:jc w:val="both"/>
    </w:pPr>
    <w:rPr>
      <w:rFonts w:ascii="Arial" w:hAnsi="Arial"/>
      <w:sz w:val="28"/>
    </w:rPr>
  </w:style>
  <w:style w:type="paragraph" w:customStyle="1" w:styleId="xmsonormal">
    <w:name w:val="x_msonormal"/>
    <w:basedOn w:val="Normal"/>
    <w:pPr>
      <w:spacing w:before="100" w:beforeAutospacing="1" w:after="100" w:afterAutospacing="1"/>
    </w:pPr>
    <w:rPr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dOp9FX5nBRtXud1Kb07OOSdQ7w==">CgMxLjAyCGguZ2pkZ3hzOABqOQoUc3VnZ2VzdC4yZ280YTNpbHJoaWkSIVNldG9yIGRlIGxpY2l0YcOnw6NvIFPDo28gR2FicmllbGo5ChRzdWdnZXN0LmxjbnZtcnFnMzBtcRIhU2V0b3IgZGUgbGljaXRhw6fDo28gU8OjbyBHYWJyaWVsciExSjVINlRGcTBzUV9yZ1o3VXNLcS1ZVmNHUlA1ek5KX1A=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314</Words>
  <Characters>1698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P. Municipal de Sao Gabriel</dc:creator>
  <cp:lastModifiedBy>Licita</cp:lastModifiedBy>
  <cp:revision>16</cp:revision>
  <dcterms:created xsi:type="dcterms:W3CDTF">2025-02-16T18:37:00Z</dcterms:created>
  <dcterms:modified xsi:type="dcterms:W3CDTF">2025-09-04T16:35:00Z</dcterms:modified>
</cp:coreProperties>
</file>