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82493" w14:textId="77777777" w:rsidR="002E7B44" w:rsidRPr="00466C28" w:rsidRDefault="002E7B44" w:rsidP="002E7B44">
      <w:pPr>
        <w:spacing w:after="0" w:line="360" w:lineRule="auto"/>
        <w:jc w:val="center"/>
        <w:rPr>
          <w:rFonts w:ascii="Bookman Old Style" w:hAnsi="Bookman Old Style"/>
          <w:b/>
        </w:rPr>
      </w:pPr>
      <w:bookmarkStart w:id="0" w:name="_Hlk172803960"/>
      <w:r w:rsidRPr="00466C28">
        <w:rPr>
          <w:rFonts w:ascii="Bookman Old Style" w:hAnsi="Bookman Old Style"/>
          <w:b/>
        </w:rPr>
        <w:t>ATO DE AUTORIZAÇÃO DE INEXIGIBILIDADE DE LICITAÇÃO</w:t>
      </w:r>
    </w:p>
    <w:p w14:paraId="304017DC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25E02173" w14:textId="77777777" w:rsidR="002E7B44" w:rsidRPr="00466C28" w:rsidRDefault="002E7B44" w:rsidP="002E7B44">
      <w:pPr>
        <w:spacing w:after="0" w:line="360" w:lineRule="auto"/>
        <w:jc w:val="center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 xml:space="preserve">PROCESSO ADMINISTRATIVO N° </w:t>
      </w:r>
      <w:r>
        <w:rPr>
          <w:rFonts w:ascii="Bookman Old Style" w:hAnsi="Bookman Old Style"/>
          <w:b/>
        </w:rPr>
        <w:t>007/2025</w:t>
      </w:r>
    </w:p>
    <w:p w14:paraId="226FFA0B" w14:textId="77777777" w:rsidR="002E7B44" w:rsidRPr="00466C28" w:rsidRDefault="002E7B44" w:rsidP="002E7B44">
      <w:pPr>
        <w:spacing w:after="0" w:line="360" w:lineRule="auto"/>
        <w:jc w:val="center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 xml:space="preserve">INEXIGIBILIDADE DE LICITAÇÃO N° </w:t>
      </w:r>
      <w:r>
        <w:rPr>
          <w:rFonts w:ascii="Bookman Old Style" w:hAnsi="Bookman Old Style"/>
          <w:b/>
        </w:rPr>
        <w:t>PMI003</w:t>
      </w:r>
      <w:r w:rsidRPr="00466C28">
        <w:rPr>
          <w:rFonts w:ascii="Bookman Old Style" w:hAnsi="Bookman Old Style"/>
          <w:b/>
        </w:rPr>
        <w:t>INEX/202</w:t>
      </w:r>
      <w:r>
        <w:rPr>
          <w:rFonts w:ascii="Bookman Old Style" w:hAnsi="Bookman Old Style"/>
          <w:b/>
        </w:rPr>
        <w:t>5</w:t>
      </w:r>
    </w:p>
    <w:p w14:paraId="3CD8337D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4D3C24CA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 xml:space="preserve">CONSIDERANDO os elementos contidos no presente processo de Inexigibilidade de licitação, que foi devidamente justificado, tanto pela razão da escolha do prestador de serviços, quanto pela justificativa dos preços; </w:t>
      </w:r>
    </w:p>
    <w:p w14:paraId="175C462E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49FD22A9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 xml:space="preserve">CONSIDERANDO que o processo foi instruído com os documentos e requisitos que comprovam que o contratado possui habilitação e qualificação mínima para celebrar o contrato administrativo, conforme preconizado no artigo 72 da Lei Federal 14.133/2021; </w:t>
      </w:r>
    </w:p>
    <w:p w14:paraId="0F277FF8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79650703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 xml:space="preserve">CONSIDERANDO que o PARECER TÉCNICO da Comissão de Contratação (ou agente de contratação) que prevê que a INEXIGIBILIDADE DE LICITAÇÃO está em conformidade ao disposto no artigo 72 c/c 74, </w:t>
      </w:r>
      <w:r w:rsidRPr="00466C28">
        <w:rPr>
          <w:rFonts w:ascii="Bookman Old Style" w:hAnsi="Bookman Old Style"/>
          <w:i/>
          <w:iCs/>
        </w:rPr>
        <w:t>caput</w:t>
      </w:r>
      <w:r w:rsidRPr="00466C28">
        <w:rPr>
          <w:rFonts w:ascii="Bookman Old Style" w:hAnsi="Bookman Old Style"/>
        </w:rPr>
        <w:t xml:space="preserve">, da Lei Federal 14.133/2021; </w:t>
      </w:r>
    </w:p>
    <w:p w14:paraId="33CAE797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0A235C1B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 xml:space="preserve">CONSIDERANDO que o PARECER JURÍDICO atesta que foram cumpridas as exigências legais e os requisitos mínimos para a contratação; </w:t>
      </w:r>
    </w:p>
    <w:p w14:paraId="09913FE5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244CDDA1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 xml:space="preserve">No uso das atribuições que me foram conferidas, em especial ao disposto no artigo 72, VIII da Lei Federal 14.133/2021, </w:t>
      </w:r>
      <w:r w:rsidRPr="00466C28">
        <w:rPr>
          <w:rFonts w:ascii="Bookman Old Style" w:hAnsi="Bookman Old Style"/>
          <w:b/>
        </w:rPr>
        <w:t xml:space="preserve">AUTORIZO A INEXIGIBILIDADE DE LICITAÇÃO </w:t>
      </w:r>
      <w:r>
        <w:rPr>
          <w:rFonts w:ascii="Bookman Old Style" w:hAnsi="Bookman Old Style"/>
          <w:b/>
        </w:rPr>
        <w:t>PMI003</w:t>
      </w:r>
      <w:r w:rsidRPr="00466C28">
        <w:rPr>
          <w:rFonts w:ascii="Bookman Old Style" w:hAnsi="Bookman Old Style"/>
          <w:b/>
        </w:rPr>
        <w:t>INEX/202</w:t>
      </w:r>
      <w:r>
        <w:rPr>
          <w:rFonts w:ascii="Bookman Old Style" w:hAnsi="Bookman Old Style"/>
          <w:b/>
        </w:rPr>
        <w:t>5</w:t>
      </w:r>
      <w:r w:rsidRPr="00466C28">
        <w:rPr>
          <w:rFonts w:ascii="Bookman Old Style" w:hAnsi="Bookman Old Style"/>
        </w:rPr>
        <w:t xml:space="preserve">, nos termos descritos abaixo: </w:t>
      </w:r>
    </w:p>
    <w:p w14:paraId="33DF2E20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13F943CA" w14:textId="77777777" w:rsidR="002E7B44" w:rsidRPr="00D57BF5" w:rsidRDefault="002E7B44" w:rsidP="002E7B44">
      <w:pPr>
        <w:spacing w:after="0" w:line="360" w:lineRule="auto"/>
        <w:ind w:right="-1" w:hanging="4"/>
        <w:jc w:val="both"/>
        <w:rPr>
          <w:rFonts w:ascii="Bookman Old Style" w:hAnsi="Bookman Old Style"/>
          <w:bCs/>
          <w:w w:val="110"/>
        </w:rPr>
      </w:pPr>
      <w:r w:rsidRPr="00466C28">
        <w:rPr>
          <w:rFonts w:ascii="Bookman Old Style" w:hAnsi="Bookman Old Style"/>
        </w:rPr>
        <w:t xml:space="preserve">Objeto a ser </w:t>
      </w:r>
      <w:r w:rsidRPr="00D57BF5">
        <w:rPr>
          <w:rFonts w:ascii="Bookman Old Style" w:hAnsi="Bookman Old Style"/>
        </w:rPr>
        <w:t xml:space="preserve">contratado: </w:t>
      </w:r>
      <w:r>
        <w:rPr>
          <w:rFonts w:ascii="Garamond" w:hAnsi="Garamond"/>
          <w:bCs/>
          <w:w w:val="110"/>
          <w:sz w:val="24"/>
          <w:szCs w:val="24"/>
        </w:rPr>
        <w:t>Contratação de empresa especializada em Assessoria para correta implementação das quatro fases do eSocial e da DCTFWeb na Prefeitura Municipal de Itaberaba, no período de janeiro até dezembro de 2025</w:t>
      </w:r>
      <w:r w:rsidRPr="00D57BF5">
        <w:rPr>
          <w:rFonts w:ascii="Bookman Old Style" w:hAnsi="Bookman Old Style"/>
          <w:bCs/>
          <w:w w:val="110"/>
        </w:rPr>
        <w:t>.</w:t>
      </w:r>
    </w:p>
    <w:p w14:paraId="5CAA5EC5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  <w:b/>
        </w:rPr>
      </w:pPr>
      <w:r w:rsidRPr="00466C28">
        <w:rPr>
          <w:rFonts w:ascii="Bookman Old Style" w:hAnsi="Bookman Old Style"/>
        </w:rPr>
        <w:t xml:space="preserve">Contratado: </w:t>
      </w:r>
      <w:r>
        <w:rPr>
          <w:rFonts w:ascii="Bookman Old Style" w:hAnsi="Bookman Old Style"/>
          <w:b/>
        </w:rPr>
        <w:t>H12 CONTABILIDADE CONSULTORIA E TREINAMENTO EMPRESARIAL LTDA.</w:t>
      </w:r>
    </w:p>
    <w:p w14:paraId="0F0282DC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6E62FCD9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  <w:b/>
        </w:rPr>
      </w:pPr>
      <w:r w:rsidRPr="00466C28">
        <w:rPr>
          <w:rFonts w:ascii="Bookman Old Style" w:hAnsi="Bookman Old Style"/>
        </w:rPr>
        <w:t>Prazo de Vigência:</w:t>
      </w:r>
      <w:r w:rsidRPr="00466C28"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/>
        </w:rPr>
        <w:t>03 de janeiro até 31 de dezembro de 2025</w:t>
      </w:r>
      <w:r w:rsidRPr="00466C28">
        <w:rPr>
          <w:rFonts w:ascii="Bookman Old Style" w:hAnsi="Bookman Old Style"/>
          <w:b/>
        </w:rPr>
        <w:t xml:space="preserve"> </w:t>
      </w:r>
    </w:p>
    <w:p w14:paraId="668B033F" w14:textId="77777777" w:rsidR="002E7B44" w:rsidRPr="00D57BF5" w:rsidRDefault="002E7B44" w:rsidP="002E7B44">
      <w:pPr>
        <w:spacing w:after="0" w:line="360" w:lineRule="auto"/>
        <w:jc w:val="both"/>
        <w:rPr>
          <w:rFonts w:ascii="Bookman Old Style" w:hAnsi="Bookman Old Style"/>
          <w:bCs/>
        </w:rPr>
      </w:pPr>
      <w:r w:rsidRPr="00466C28">
        <w:rPr>
          <w:rFonts w:ascii="Bookman Old Style" w:hAnsi="Bookman Old Style"/>
        </w:rPr>
        <w:t>Valor Total:</w:t>
      </w:r>
      <w:r w:rsidRPr="00466C28">
        <w:rPr>
          <w:rFonts w:ascii="Bookman Old Style" w:hAnsi="Bookman Old Style"/>
          <w:b/>
        </w:rPr>
        <w:t xml:space="preserve"> R$ </w:t>
      </w:r>
      <w:r>
        <w:rPr>
          <w:rFonts w:ascii="Bookman Old Style" w:hAnsi="Bookman Old Style"/>
          <w:b/>
        </w:rPr>
        <w:t>72.000,00</w:t>
      </w:r>
      <w:r w:rsidRPr="00466C28">
        <w:rPr>
          <w:rFonts w:ascii="Bookman Old Style" w:hAnsi="Bookman Old Style"/>
          <w:b/>
        </w:rPr>
        <w:t xml:space="preserve"> </w:t>
      </w:r>
      <w:r w:rsidRPr="00D57BF5">
        <w:rPr>
          <w:rFonts w:ascii="Bookman Old Style" w:hAnsi="Bookman Old Style"/>
          <w:bCs/>
        </w:rPr>
        <w:t>(</w:t>
      </w:r>
      <w:r>
        <w:rPr>
          <w:rFonts w:ascii="Bookman Old Style" w:hAnsi="Bookman Old Style"/>
          <w:bCs/>
        </w:rPr>
        <w:t xml:space="preserve">Setenta e dois </w:t>
      </w:r>
      <w:r w:rsidRPr="00D57BF5">
        <w:rPr>
          <w:rFonts w:ascii="Bookman Old Style" w:hAnsi="Bookman Old Style"/>
          <w:bCs/>
        </w:rPr>
        <w:t>mil reais)</w:t>
      </w:r>
    </w:p>
    <w:p w14:paraId="7E086FCF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>Fundamento Legal: Art. 74, caput, da Lei Federal 14.133/21.</w:t>
      </w:r>
    </w:p>
    <w:p w14:paraId="24B655EE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lastRenderedPageBreak/>
        <w:t xml:space="preserve">Determino, ainda, que seja dada a devida publicidade legal ao contrato, em atendimento ao preceito do artigo 72, parágrafo único da Lei 14.133/2021, para que fique à disposição do público em sítio eletrônico oficial. </w:t>
      </w:r>
    </w:p>
    <w:p w14:paraId="020B5D83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</w:p>
    <w:p w14:paraId="090F1A19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</w:rPr>
      </w:pPr>
      <w:r w:rsidRPr="00466C28">
        <w:rPr>
          <w:rFonts w:ascii="Bookman Old Style" w:hAnsi="Bookman Old Style"/>
        </w:rPr>
        <w:t>Itaberaba</w:t>
      </w:r>
      <w:r>
        <w:rPr>
          <w:rFonts w:ascii="Bookman Old Style" w:hAnsi="Bookman Old Style"/>
        </w:rPr>
        <w:t>/Bahia</w:t>
      </w:r>
      <w:r w:rsidRPr="00466C28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>03 de janeiro de 2025</w:t>
      </w:r>
      <w:r w:rsidRPr="00466C28">
        <w:rPr>
          <w:rFonts w:ascii="Bookman Old Style" w:hAnsi="Bookman Old Style"/>
        </w:rPr>
        <w:t>.</w:t>
      </w:r>
    </w:p>
    <w:p w14:paraId="2368EAB5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0B00E003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3B9E9B82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LEANDRO VIEIRA SANTOS</w:t>
      </w:r>
    </w:p>
    <w:p w14:paraId="4EC0A633" w14:textId="77777777" w:rsidR="002E7B44" w:rsidRPr="00466C28" w:rsidRDefault="002E7B44" w:rsidP="002E7B44">
      <w:pPr>
        <w:spacing w:after="0" w:line="360" w:lineRule="auto"/>
        <w:jc w:val="both"/>
        <w:rPr>
          <w:rFonts w:ascii="Bookman Old Style" w:hAnsi="Bookman Old Style"/>
          <w:bCs/>
        </w:rPr>
      </w:pPr>
      <w:r w:rsidRPr="00466C28">
        <w:rPr>
          <w:rFonts w:ascii="Bookman Old Style" w:hAnsi="Bookman Old Style"/>
          <w:bCs/>
        </w:rPr>
        <w:t xml:space="preserve">Secretário </w:t>
      </w:r>
      <w:r>
        <w:rPr>
          <w:rFonts w:ascii="Bookman Old Style" w:hAnsi="Bookman Old Style"/>
          <w:bCs/>
        </w:rPr>
        <w:t>de Administração, Modernização e Informação.</w:t>
      </w:r>
    </w:p>
    <w:p w14:paraId="4FB4DE20" w14:textId="77777777" w:rsidR="002E7B44" w:rsidRPr="00466C28" w:rsidRDefault="002E7B44" w:rsidP="002E7B44">
      <w:pPr>
        <w:rPr>
          <w:rFonts w:ascii="Bookman Old Style" w:hAnsi="Bookman Old Style"/>
          <w:bCs/>
        </w:rPr>
      </w:pPr>
    </w:p>
    <w:p w14:paraId="68BA452B" w14:textId="77777777" w:rsidR="002E7B44" w:rsidRPr="00466C28" w:rsidRDefault="002E7B44" w:rsidP="002E7B44">
      <w:pPr>
        <w:rPr>
          <w:rFonts w:ascii="Bookman Old Style" w:hAnsi="Bookman Old Style"/>
        </w:rPr>
      </w:pPr>
    </w:p>
    <w:p w14:paraId="4CFC70C4" w14:textId="77777777" w:rsidR="002E7B44" w:rsidRPr="00466C28" w:rsidRDefault="002E7B44" w:rsidP="002E7B44">
      <w:pPr>
        <w:rPr>
          <w:rFonts w:ascii="Bookman Old Style" w:hAnsi="Bookman Old Style"/>
        </w:rPr>
      </w:pPr>
    </w:p>
    <w:bookmarkEnd w:id="0"/>
    <w:p w14:paraId="056B28F5" w14:textId="77777777" w:rsidR="004D177C" w:rsidRDefault="004D177C"/>
    <w:p w14:paraId="28221CE9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267048F5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1DE5A16F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72E9CDFE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55EEED6B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71F0C230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61A4FF89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2A3C9B05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00D42694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1ED05BE5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21C43B40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297CFF22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31A275C6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7A2D490F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05047D49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7923804C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441B36F5" w14:textId="77777777" w:rsidR="002E7B44" w:rsidRDefault="002E7B44" w:rsidP="002E7B44">
      <w:pPr>
        <w:jc w:val="center"/>
        <w:rPr>
          <w:rFonts w:ascii="Book Antiqua" w:hAnsi="Book Antiqua" w:cstheme="minorHAnsi"/>
          <w:b/>
        </w:rPr>
      </w:pPr>
    </w:p>
    <w:p w14:paraId="380E8376" w14:textId="65D8AABE" w:rsidR="002E7B44" w:rsidRPr="007F7BB3" w:rsidRDefault="002E7B44" w:rsidP="002E7B44">
      <w:pPr>
        <w:jc w:val="center"/>
        <w:rPr>
          <w:rFonts w:ascii="Book Antiqua" w:hAnsi="Book Antiqua" w:cstheme="minorHAnsi"/>
          <w:b/>
        </w:rPr>
      </w:pPr>
      <w:r w:rsidRPr="007F7BB3">
        <w:rPr>
          <w:rFonts w:ascii="Book Antiqua" w:hAnsi="Book Antiqua" w:cstheme="minorHAnsi"/>
          <w:b/>
        </w:rPr>
        <w:lastRenderedPageBreak/>
        <w:t>EXTRATO DE CONTRATO</w:t>
      </w:r>
    </w:p>
    <w:p w14:paraId="1FD61764" w14:textId="77777777" w:rsidR="002E7B44" w:rsidRPr="007F7BB3" w:rsidRDefault="002E7B44" w:rsidP="002E7B44">
      <w:pPr>
        <w:pStyle w:val="SemEspaamento"/>
        <w:jc w:val="both"/>
        <w:rPr>
          <w:rFonts w:ascii="Book Antiqua" w:hAnsi="Book Antiqua" w:cstheme="minorHAnsi"/>
          <w:b/>
        </w:rPr>
      </w:pPr>
      <w:r w:rsidRPr="007F7BB3">
        <w:rPr>
          <w:rFonts w:ascii="Book Antiqua" w:hAnsi="Book Antiqua" w:cstheme="minorHAnsi"/>
          <w:b/>
        </w:rPr>
        <w:t>CONTRATO</w:t>
      </w:r>
      <w:r w:rsidRPr="007F7BB3">
        <w:rPr>
          <w:rFonts w:ascii="Book Antiqua" w:hAnsi="Book Antiqua" w:cstheme="minorHAnsi"/>
          <w:b/>
          <w:i/>
        </w:rPr>
        <w:t xml:space="preserve"> </w:t>
      </w:r>
      <w:r w:rsidRPr="007F7BB3">
        <w:rPr>
          <w:rFonts w:ascii="Book Antiqua" w:hAnsi="Book Antiqua" w:cstheme="minorHAnsi"/>
          <w:b/>
        </w:rPr>
        <w:t>nº PMI007/2025</w:t>
      </w:r>
    </w:p>
    <w:p w14:paraId="734C22C7" w14:textId="77777777" w:rsidR="002E7B44" w:rsidRPr="007F7BB3" w:rsidRDefault="002E7B44" w:rsidP="002E7B44">
      <w:pPr>
        <w:pStyle w:val="SemEspaamento"/>
        <w:jc w:val="both"/>
        <w:rPr>
          <w:rFonts w:ascii="Book Antiqua" w:hAnsi="Book Antiqua" w:cstheme="minorHAnsi"/>
          <w:b/>
        </w:rPr>
      </w:pPr>
      <w:r w:rsidRPr="007F7BB3">
        <w:rPr>
          <w:rFonts w:ascii="Book Antiqua" w:hAnsi="Book Antiqua" w:cstheme="minorHAnsi"/>
          <w:b/>
        </w:rPr>
        <w:t>PROCESSO ADMINISTRATIVO: Nº 007/2025</w:t>
      </w:r>
    </w:p>
    <w:p w14:paraId="4ADF2920" w14:textId="77777777" w:rsidR="002E7B44" w:rsidRPr="007F7BB3" w:rsidRDefault="002E7B44" w:rsidP="002E7B44">
      <w:pPr>
        <w:pStyle w:val="SemEspaamento"/>
        <w:jc w:val="both"/>
        <w:rPr>
          <w:rFonts w:ascii="Book Antiqua" w:eastAsia="Times New Roman" w:hAnsi="Book Antiqua" w:cstheme="minorHAnsi"/>
          <w:bCs/>
          <w:lang w:eastAsia="pt-BR"/>
        </w:rPr>
      </w:pPr>
      <w:r w:rsidRPr="007F7BB3">
        <w:rPr>
          <w:rFonts w:ascii="Book Antiqua" w:hAnsi="Book Antiqua" w:cstheme="minorHAnsi"/>
          <w:b/>
        </w:rPr>
        <w:t xml:space="preserve">CONTRATANTE: </w:t>
      </w:r>
      <w:r w:rsidRPr="007F7BB3">
        <w:rPr>
          <w:rFonts w:ascii="Book Antiqua" w:eastAsia="Times New Roman" w:hAnsi="Book Antiqua" w:cstheme="minorHAnsi"/>
          <w:bCs/>
          <w:lang w:eastAsia="pt-BR"/>
        </w:rPr>
        <w:t>Municipio de Itaberaba/Secretaria de Administração, Modernização e Informação.</w:t>
      </w:r>
    </w:p>
    <w:p w14:paraId="6E397BC7" w14:textId="77777777" w:rsidR="002E7B44" w:rsidRPr="007F7BB3" w:rsidRDefault="002E7B44" w:rsidP="002E7B44">
      <w:pPr>
        <w:pStyle w:val="SemEspaamento"/>
        <w:jc w:val="both"/>
        <w:rPr>
          <w:rFonts w:ascii="Book Antiqua" w:hAnsi="Book Antiqua" w:cstheme="minorHAnsi"/>
          <w:b/>
        </w:rPr>
      </w:pPr>
      <w:r w:rsidRPr="007F7BB3">
        <w:rPr>
          <w:rFonts w:ascii="Book Antiqua" w:hAnsi="Book Antiqua" w:cstheme="minorHAnsi"/>
          <w:b/>
        </w:rPr>
        <w:t>CONTRATADA: H12 CONTABILIDADE CONSULTORIA E TREINAMENTO</w:t>
      </w:r>
    </w:p>
    <w:p w14:paraId="2E4E6240" w14:textId="60E5CD01" w:rsidR="002E7B44" w:rsidRPr="007F7BB3" w:rsidRDefault="002E7B44" w:rsidP="002E7B44">
      <w:pPr>
        <w:pStyle w:val="SemEspaamento"/>
        <w:jc w:val="both"/>
        <w:rPr>
          <w:rFonts w:ascii="Book Antiqua" w:hAnsi="Book Antiqua"/>
        </w:rPr>
      </w:pPr>
      <w:r w:rsidRPr="007F7BB3">
        <w:rPr>
          <w:rFonts w:ascii="Book Antiqua" w:eastAsia="Times New Roman" w:hAnsi="Book Antiqua" w:cstheme="minorHAnsi"/>
          <w:b/>
          <w:lang w:eastAsia="pt-BR"/>
        </w:rPr>
        <w:t xml:space="preserve">OBJETO: </w:t>
      </w:r>
      <w:r w:rsidRPr="007F7BB3">
        <w:rPr>
          <w:rFonts w:ascii="Book Antiqua" w:eastAsia="Courier New" w:hAnsi="Book Antiqua" w:cs="Courier New"/>
        </w:rPr>
        <w:t xml:space="preserve">Prestação serviços de assessoria especializada para a correta implementação das quatro fases do eSocial e da DCTFWeb, conforme definido no Processo Administrativo </w:t>
      </w:r>
      <w:r w:rsidRPr="007F7BB3">
        <w:rPr>
          <w:rFonts w:ascii="Book Antiqua" w:eastAsia="Courier New" w:hAnsi="Book Antiqua" w:cs="Courier New"/>
          <w:b/>
          <w:bCs/>
        </w:rPr>
        <w:t xml:space="preserve">nº </w:t>
      </w:r>
      <w:r w:rsidRPr="007F7BB3">
        <w:rPr>
          <w:rFonts w:ascii="Book Antiqua" w:eastAsia="Courier New" w:hAnsi="Book Antiqua" w:cs="Courier New"/>
          <w:b/>
          <w:bCs/>
        </w:rPr>
        <w:fldChar w:fldCharType="begin"/>
      </w:r>
      <w:r w:rsidRPr="007F7BB3">
        <w:rPr>
          <w:rFonts w:ascii="Book Antiqua" w:eastAsia="Courier New" w:hAnsi="Book Antiqua" w:cs="Courier New"/>
          <w:b/>
          <w:bCs/>
        </w:rPr>
        <w:instrText xml:space="preserve"> MERGEFIELD Nº_PA </w:instrText>
      </w:r>
      <w:r w:rsidRPr="007F7BB3">
        <w:rPr>
          <w:rFonts w:ascii="Book Antiqua" w:eastAsia="Courier New" w:hAnsi="Book Antiqua" w:cs="Courier New"/>
          <w:b/>
          <w:bCs/>
        </w:rPr>
        <w:fldChar w:fldCharType="separate"/>
      </w:r>
      <w:r w:rsidRPr="007F7BB3">
        <w:rPr>
          <w:rFonts w:ascii="Book Antiqua" w:eastAsia="Courier New" w:hAnsi="Book Antiqua" w:cs="Courier New"/>
          <w:b/>
          <w:bCs/>
          <w:noProof/>
        </w:rPr>
        <w:t>007/2025</w:t>
      </w:r>
      <w:r w:rsidRPr="007F7BB3">
        <w:rPr>
          <w:rFonts w:ascii="Book Antiqua" w:eastAsia="Courier New" w:hAnsi="Book Antiqua" w:cs="Courier New"/>
          <w:b/>
          <w:bCs/>
        </w:rPr>
        <w:fldChar w:fldCharType="end"/>
      </w:r>
      <w:r w:rsidRPr="007F7BB3">
        <w:rPr>
          <w:rFonts w:ascii="Book Antiqua" w:eastAsia="Courier New" w:hAnsi="Book Antiqua" w:cs="Courier New"/>
        </w:rPr>
        <w:t xml:space="preserve">, vinculado à Inexigibilidade de Licitação </w:t>
      </w:r>
      <w:r w:rsidRPr="007F7BB3">
        <w:rPr>
          <w:rFonts w:ascii="Book Antiqua" w:eastAsia="Courier New" w:hAnsi="Book Antiqua" w:cs="Courier New"/>
          <w:b/>
          <w:bCs/>
        </w:rPr>
        <w:t xml:space="preserve">nº </w:t>
      </w:r>
      <w:r w:rsidRPr="007F7BB3">
        <w:rPr>
          <w:rFonts w:ascii="Book Antiqua" w:eastAsia="Courier New" w:hAnsi="Book Antiqua" w:cs="Courier New"/>
          <w:b/>
          <w:bCs/>
        </w:rPr>
        <w:fldChar w:fldCharType="begin"/>
      </w:r>
      <w:r w:rsidRPr="007F7BB3">
        <w:rPr>
          <w:rFonts w:ascii="Book Antiqua" w:eastAsia="Courier New" w:hAnsi="Book Antiqua" w:cs="Courier New"/>
          <w:b/>
          <w:bCs/>
        </w:rPr>
        <w:instrText xml:space="preserve"> MERGEFIELD Nº_MODALIDADE </w:instrText>
      </w:r>
      <w:r w:rsidRPr="007F7BB3">
        <w:rPr>
          <w:rFonts w:ascii="Book Antiqua" w:eastAsia="Courier New" w:hAnsi="Book Antiqua" w:cs="Courier New"/>
          <w:b/>
          <w:bCs/>
        </w:rPr>
        <w:fldChar w:fldCharType="separate"/>
      </w:r>
      <w:r w:rsidRPr="007F7BB3">
        <w:rPr>
          <w:rFonts w:ascii="Book Antiqua" w:eastAsia="Courier New" w:hAnsi="Book Antiqua" w:cs="Courier New"/>
          <w:b/>
          <w:bCs/>
          <w:noProof/>
        </w:rPr>
        <w:t>003/2025</w:t>
      </w:r>
      <w:r w:rsidRPr="007F7BB3">
        <w:rPr>
          <w:rFonts w:ascii="Book Antiqua" w:eastAsia="Courier New" w:hAnsi="Book Antiqua" w:cs="Courier New"/>
          <w:b/>
          <w:bCs/>
        </w:rPr>
        <w:fldChar w:fldCharType="end"/>
      </w:r>
      <w:r w:rsidRPr="007F7BB3">
        <w:rPr>
          <w:rFonts w:ascii="Book Antiqua" w:eastAsia="Courier New" w:hAnsi="Book Antiqua" w:cs="Courier New"/>
        </w:rPr>
        <w:t>.Para a execução dos serviços serão realizadas as seguintes atividades:</w:t>
      </w:r>
      <w:r w:rsidRPr="007F7BB3">
        <w:rPr>
          <w:rFonts w:ascii="Book Antiqua" w:hAnsi="Book Antiqua"/>
        </w:rPr>
        <w:t xml:space="preserve"> Fase 1 – Envio de Eventos de Tabelas-Descrição: Cadastramento inicial e revisão das informações do município no eSocial, como dados de empregadores, tabelas de cargos, horários, lotações tributárias e estabelecimentos.</w:t>
      </w:r>
      <w:r w:rsidRPr="007F7BB3">
        <w:rPr>
          <w:rFonts w:ascii="Book Antiqua" w:hAnsi="Book Antiqua"/>
        </w:rPr>
        <w:tab/>
        <w:t>Atividades:</w:t>
      </w:r>
      <w:r w:rsidRPr="007F7BB3">
        <w:rPr>
          <w:rFonts w:ascii="Book Antiqua" w:hAnsi="Book Antiqua"/>
        </w:rPr>
        <w:tab/>
        <w:t xml:space="preserve">Levantamento e revisão das tabelas </w:t>
      </w:r>
      <w:r w:rsidRPr="007F7BB3">
        <w:rPr>
          <w:rFonts w:ascii="Book Antiqua" w:hAnsi="Book Antiqua"/>
        </w:rPr>
        <w:t>atuais. Ajustes</w:t>
      </w:r>
      <w:r w:rsidRPr="007F7BB3">
        <w:rPr>
          <w:rFonts w:ascii="Book Antiqua" w:hAnsi="Book Antiqua"/>
        </w:rPr>
        <w:t xml:space="preserve"> nos cadastros de forma a garantir a integridade dos </w:t>
      </w:r>
      <w:r w:rsidRPr="007F7BB3">
        <w:rPr>
          <w:rFonts w:ascii="Book Antiqua" w:hAnsi="Book Antiqua"/>
        </w:rPr>
        <w:t>dados. Envio</w:t>
      </w:r>
      <w:r w:rsidRPr="007F7BB3">
        <w:rPr>
          <w:rFonts w:ascii="Book Antiqua" w:hAnsi="Book Antiqua"/>
        </w:rPr>
        <w:t xml:space="preserve"> e validação das tabelas no ambiente do </w:t>
      </w:r>
      <w:proofErr w:type="gramStart"/>
      <w:r w:rsidRPr="007F7BB3">
        <w:rPr>
          <w:rFonts w:ascii="Book Antiqua" w:hAnsi="Book Antiqua"/>
        </w:rPr>
        <w:t>eSocial..</w:t>
      </w:r>
      <w:proofErr w:type="gramEnd"/>
      <w:r w:rsidRPr="007F7BB3">
        <w:rPr>
          <w:rFonts w:ascii="Book Antiqua" w:hAnsi="Book Antiqua"/>
        </w:rPr>
        <w:t xml:space="preserve"> Fase 2 – Envio de Eventos Não Periódicos-Descrição: Inserção de informações relacionadas aos eventos de vínculos trabalhistas, como admissões, afastamentos, rescisões e alterações cadastrais. </w:t>
      </w:r>
      <w:r w:rsidRPr="007F7BB3">
        <w:rPr>
          <w:rFonts w:ascii="Book Antiqua" w:hAnsi="Book Antiqua"/>
        </w:rPr>
        <w:t>Atividades: Revisão</w:t>
      </w:r>
      <w:r w:rsidRPr="007F7BB3">
        <w:rPr>
          <w:rFonts w:ascii="Book Antiqua" w:hAnsi="Book Antiqua"/>
        </w:rPr>
        <w:t xml:space="preserve"> dos processos de admissão, desligamento e alterações funcionais. Orientação quanto ao preenchimento correto dos eventos.</w:t>
      </w:r>
      <w:r w:rsidRPr="007F7BB3">
        <w:rPr>
          <w:rFonts w:ascii="Book Antiqua" w:hAnsi="Book Antiqua"/>
        </w:rPr>
        <w:tab/>
        <w:t>Validação e envio dos eventos ao eSocial.3. Fase 3 – Envio de Eventos Periódicos</w:t>
      </w:r>
      <w:r>
        <w:rPr>
          <w:rFonts w:ascii="Book Antiqua" w:hAnsi="Book Antiqua"/>
        </w:rPr>
        <w:t>.</w:t>
      </w:r>
      <w:r w:rsidRPr="007F7BB3">
        <w:rPr>
          <w:rFonts w:ascii="Book Antiqua" w:hAnsi="Book Antiqua"/>
        </w:rPr>
        <w:tab/>
        <w:t>Descrição: Envio das informações de folha de pagamento, incluindo remuneração de servidores e encargos sociais.</w:t>
      </w:r>
      <w:r>
        <w:rPr>
          <w:rFonts w:ascii="Book Antiqua" w:hAnsi="Book Antiqua"/>
        </w:rPr>
        <w:t xml:space="preserve"> </w:t>
      </w:r>
      <w:r w:rsidRPr="007F7BB3">
        <w:rPr>
          <w:rFonts w:ascii="Book Antiqua" w:hAnsi="Book Antiqua"/>
        </w:rPr>
        <w:t>Atividades:</w:t>
      </w:r>
      <w:r w:rsidRPr="007F7BB3">
        <w:rPr>
          <w:rFonts w:ascii="Book Antiqua" w:hAnsi="Book Antiqua"/>
        </w:rPr>
        <w:tab/>
        <w:t>Conferência e adaptação dos cálculos de folha de pagamento. Revisão dos processos de fechamento da folha. Envio seguro dos eventos de remuneração e encargos via eSocial.  Fase 4 – Substituição de Obrigações Acessórias</w:t>
      </w:r>
      <w:r>
        <w:rPr>
          <w:rFonts w:ascii="Book Antiqua" w:hAnsi="Book Antiqua"/>
        </w:rPr>
        <w:t xml:space="preserve">. </w:t>
      </w:r>
      <w:r w:rsidRPr="007F7BB3">
        <w:rPr>
          <w:rFonts w:ascii="Book Antiqua" w:hAnsi="Book Antiqua"/>
        </w:rPr>
        <w:t xml:space="preserve">Descrição: Substituição de declarações como GFIP pela DCTFWeb, com transmissão automática de débitos de INSS e FGTS para recolhimento. </w:t>
      </w:r>
      <w:r w:rsidRPr="007F7BB3">
        <w:rPr>
          <w:rFonts w:ascii="Book Antiqua" w:hAnsi="Book Antiqua"/>
        </w:rPr>
        <w:t>Atividades: Implementação</w:t>
      </w:r>
      <w:r w:rsidRPr="007F7BB3">
        <w:rPr>
          <w:rFonts w:ascii="Book Antiqua" w:hAnsi="Book Antiqua"/>
        </w:rPr>
        <w:t xml:space="preserve"> da DCTFWeb. Treinamento da equipe para correta utilização do sistema.</w:t>
      </w:r>
      <w:r w:rsidRPr="007F7BB3">
        <w:rPr>
          <w:rFonts w:ascii="Book Antiqua" w:hAnsi="Book Antiqua"/>
        </w:rPr>
        <w:tab/>
        <w:t>Revisão dos processos de geração e envio da DCTFWeb.</w:t>
      </w:r>
    </w:p>
    <w:p w14:paraId="101C0CE4" w14:textId="77777777" w:rsidR="002E7B44" w:rsidRPr="007F7BB3" w:rsidRDefault="002E7B44" w:rsidP="002E7B44">
      <w:pPr>
        <w:pStyle w:val="SemEspaamento"/>
        <w:jc w:val="both"/>
        <w:rPr>
          <w:rFonts w:ascii="Book Antiqua" w:hAnsi="Book Antiqua"/>
          <w:b/>
        </w:rPr>
      </w:pPr>
      <w:r w:rsidRPr="007F7BB3">
        <w:rPr>
          <w:rFonts w:ascii="Book Antiqua" w:hAnsi="Book Antiqua" w:cstheme="minorHAnsi"/>
          <w:b/>
        </w:rPr>
        <w:t>CNPJ/MF</w:t>
      </w:r>
      <w:r w:rsidRPr="007F7BB3">
        <w:rPr>
          <w:rFonts w:ascii="Book Antiqua" w:hAnsi="Book Antiqua" w:cstheme="minorHAnsi"/>
          <w:b/>
          <w:i/>
        </w:rPr>
        <w:t xml:space="preserve"> </w:t>
      </w:r>
      <w:r w:rsidRPr="007F7BB3">
        <w:rPr>
          <w:rFonts w:ascii="Book Antiqua" w:eastAsia="Times New Roman" w:hAnsi="Book Antiqua" w:cstheme="minorHAnsi"/>
          <w:b/>
          <w:lang w:eastAsia="pt-BR"/>
        </w:rPr>
        <w:t xml:space="preserve">nº </w:t>
      </w:r>
      <w:r w:rsidRPr="007F7BB3">
        <w:rPr>
          <w:rFonts w:ascii="Book Antiqua" w:hAnsi="Book Antiqua"/>
          <w:b/>
        </w:rPr>
        <w:t>28.842.222/0001-70</w:t>
      </w:r>
    </w:p>
    <w:p w14:paraId="1F273FED" w14:textId="77777777" w:rsidR="002E7B44" w:rsidRPr="007F7BB3" w:rsidRDefault="002E7B44" w:rsidP="002E7B44">
      <w:pPr>
        <w:pStyle w:val="SemEspaamento"/>
        <w:jc w:val="both"/>
        <w:rPr>
          <w:rFonts w:ascii="Book Antiqua" w:eastAsia="Courier New" w:hAnsi="Book Antiqua" w:cs="Courier New"/>
          <w:b/>
        </w:rPr>
      </w:pPr>
      <w:r w:rsidRPr="007F7BB3">
        <w:rPr>
          <w:rFonts w:ascii="Book Antiqua" w:eastAsia="Times New Roman" w:hAnsi="Book Antiqua" w:cstheme="minorHAnsi"/>
          <w:b/>
          <w:lang w:eastAsia="pt-BR"/>
        </w:rPr>
        <w:t xml:space="preserve">VALOR GLOBAL E FORMA DE PAGAMENTO: </w:t>
      </w:r>
      <w:r w:rsidRPr="007F7BB3">
        <w:rPr>
          <w:rFonts w:ascii="Book Antiqua" w:eastAsia="Courier New" w:hAnsi="Book Antiqua" w:cs="Courier New"/>
        </w:rPr>
        <w:t xml:space="preserve">Pelos serviços ora contratados, a CONTRATANTE pagará à CONTRATADA o valor total de </w:t>
      </w:r>
      <w:r w:rsidRPr="007F7BB3">
        <w:rPr>
          <w:rFonts w:ascii="Book Antiqua" w:eastAsia="Courier New" w:hAnsi="Book Antiqua" w:cs="Courier New"/>
          <w:b/>
          <w:bCs/>
        </w:rPr>
        <w:t>R$ 72.000,00</w:t>
      </w:r>
      <w:r w:rsidRPr="007F7BB3">
        <w:rPr>
          <w:rFonts w:ascii="Book Antiqua" w:eastAsia="Courier New" w:hAnsi="Book Antiqua" w:cs="Courier New"/>
        </w:rPr>
        <w:t xml:space="preserve"> (setenta e dois mil reais), em 12 (doze) parcelas, mensais e sucessivas, no valor de </w:t>
      </w:r>
      <w:r w:rsidRPr="007F7BB3">
        <w:rPr>
          <w:rFonts w:ascii="Book Antiqua" w:eastAsia="Courier New" w:hAnsi="Book Antiqua" w:cs="Courier New"/>
          <w:b/>
          <w:bCs/>
        </w:rPr>
        <w:t>R$ 6.000,00</w:t>
      </w:r>
      <w:r w:rsidRPr="007F7BB3">
        <w:rPr>
          <w:rFonts w:ascii="Book Antiqua" w:eastAsia="Courier New" w:hAnsi="Book Antiqua" w:cs="Courier New"/>
        </w:rPr>
        <w:t xml:space="preserve"> (seis mil reais), sendo 60% referentes aos Serviços de Pessoal e 40% referente a insumos.</w:t>
      </w:r>
    </w:p>
    <w:p w14:paraId="23387321" w14:textId="77777777" w:rsidR="002E7B44" w:rsidRDefault="002E7B44" w:rsidP="002E7B44">
      <w:pPr>
        <w:pStyle w:val="SemEspaamento"/>
        <w:jc w:val="both"/>
        <w:rPr>
          <w:rFonts w:ascii="Book Antiqua" w:eastAsia="Courier New" w:hAnsi="Book Antiqua" w:cs="Courier New"/>
        </w:rPr>
      </w:pPr>
      <w:r w:rsidRPr="007F7BB3">
        <w:rPr>
          <w:rFonts w:ascii="Book Antiqua" w:eastAsia="Times New Roman" w:hAnsi="Book Antiqua" w:cstheme="minorHAnsi"/>
          <w:b/>
          <w:lang w:eastAsia="pt-BR"/>
        </w:rPr>
        <w:t xml:space="preserve">PRAZO DE VALIDADE: </w:t>
      </w:r>
      <w:r w:rsidRPr="007F7BB3">
        <w:rPr>
          <w:rFonts w:ascii="Book Antiqua" w:eastAsia="Courier New" w:hAnsi="Book Antiqua" w:cs="Courier New"/>
        </w:rPr>
        <w:t>A vigência deste Contrato será de 12 (doze) meses, a contar assinatura deste instrumento, podendo, entretanto, ser prorrogada se presentes os requisitos exigidos pelo art. 111 da Lei 14.133/2021</w:t>
      </w:r>
    </w:p>
    <w:p w14:paraId="3FCC2A4F" w14:textId="438367F8" w:rsidR="002E7B44" w:rsidRPr="007F7BB3" w:rsidRDefault="002E7B44" w:rsidP="002E7B44">
      <w:pPr>
        <w:pStyle w:val="SemEspaamento"/>
        <w:jc w:val="both"/>
        <w:rPr>
          <w:rFonts w:ascii="Book Antiqua" w:eastAsia="Times New Roman" w:hAnsi="Book Antiqua" w:cstheme="minorHAnsi"/>
          <w:b/>
          <w:lang w:eastAsia="pt-BR"/>
        </w:rPr>
      </w:pPr>
      <w:r w:rsidRPr="007F7BB3">
        <w:rPr>
          <w:rFonts w:ascii="Book Antiqua" w:hAnsi="Book Antiqua" w:cstheme="minorHAnsi"/>
          <w:b/>
        </w:rPr>
        <w:t xml:space="preserve">ORIGEM: </w:t>
      </w:r>
      <w:r w:rsidRPr="007F7BB3">
        <w:rPr>
          <w:rFonts w:ascii="Book Antiqua" w:eastAsia="Times New Roman" w:hAnsi="Book Antiqua" w:cstheme="minorHAnsi"/>
          <w:b/>
          <w:lang w:eastAsia="pt-BR"/>
        </w:rPr>
        <w:t>Inexigibilidade de Licitação nº PMI003INEX/2025</w:t>
      </w:r>
    </w:p>
    <w:p w14:paraId="167FEFEB" w14:textId="77777777" w:rsidR="002E7B44" w:rsidRPr="007F7BB3" w:rsidRDefault="002E7B44" w:rsidP="002E7B44">
      <w:pPr>
        <w:pStyle w:val="SemEspaamento"/>
        <w:jc w:val="both"/>
        <w:rPr>
          <w:rFonts w:ascii="Book Antiqua" w:hAnsi="Book Antiqua" w:cstheme="minorHAnsi"/>
          <w:b/>
          <w:w w:val="105"/>
        </w:rPr>
      </w:pPr>
      <w:r w:rsidRPr="007F7BB3">
        <w:rPr>
          <w:rFonts w:ascii="Book Antiqua" w:eastAsia="Times New Roman" w:hAnsi="Book Antiqua" w:cstheme="minorHAnsi"/>
          <w:b/>
          <w:lang w:eastAsia="pt-BR"/>
        </w:rPr>
        <w:t xml:space="preserve">FUNDAMENTO: </w:t>
      </w:r>
      <w:r w:rsidRPr="007F7BB3">
        <w:rPr>
          <w:rFonts w:ascii="Book Antiqua" w:hAnsi="Book Antiqua" w:cstheme="minorHAnsi"/>
          <w:b/>
          <w:w w:val="105"/>
        </w:rPr>
        <w:t xml:space="preserve">Nos termos do art. 74, </w:t>
      </w:r>
      <w:r w:rsidRPr="007F7BB3">
        <w:rPr>
          <w:rFonts w:ascii="Book Antiqua" w:hAnsi="Book Antiqua" w:cstheme="minorHAnsi"/>
          <w:b/>
          <w:i/>
          <w:w w:val="105"/>
        </w:rPr>
        <w:t xml:space="preserve">caput, </w:t>
      </w:r>
      <w:r w:rsidRPr="007F7BB3">
        <w:rPr>
          <w:rFonts w:ascii="Book Antiqua" w:hAnsi="Book Antiqua" w:cstheme="minorHAnsi"/>
          <w:b/>
          <w:w w:val="105"/>
        </w:rPr>
        <w:t>da Lei Federal 14.133/2021.</w:t>
      </w:r>
    </w:p>
    <w:p w14:paraId="4523CE55" w14:textId="77777777" w:rsidR="002E7B44" w:rsidRPr="007F7BB3" w:rsidRDefault="002E7B44" w:rsidP="002E7B44">
      <w:pPr>
        <w:pStyle w:val="SemEspaamento"/>
        <w:jc w:val="both"/>
        <w:rPr>
          <w:rFonts w:ascii="Book Antiqua" w:eastAsia="Times New Roman" w:hAnsi="Book Antiqua" w:cstheme="minorHAnsi"/>
          <w:b/>
          <w:lang w:eastAsia="pt-BR"/>
        </w:rPr>
      </w:pPr>
      <w:r w:rsidRPr="007F7BB3">
        <w:rPr>
          <w:rFonts w:ascii="Book Antiqua" w:eastAsia="Times New Roman" w:hAnsi="Book Antiqua" w:cstheme="minorHAnsi"/>
          <w:b/>
          <w:lang w:eastAsia="pt-BR"/>
        </w:rPr>
        <w:t xml:space="preserve">DATA: </w:t>
      </w:r>
      <w:r w:rsidRPr="007F7BB3">
        <w:rPr>
          <w:rFonts w:ascii="Book Antiqua" w:eastAsia="Times New Roman" w:hAnsi="Book Antiqua" w:cstheme="minorHAnsi"/>
          <w:b/>
        </w:rPr>
        <w:t>03 de janeiro de 2025</w:t>
      </w:r>
      <w:r w:rsidRPr="007F7BB3">
        <w:rPr>
          <w:rFonts w:ascii="Book Antiqua" w:eastAsia="Times New Roman" w:hAnsi="Book Antiqua" w:cstheme="minorHAnsi"/>
          <w:b/>
          <w:lang w:eastAsia="pt-BR"/>
        </w:rPr>
        <w:t>.</w:t>
      </w:r>
    </w:p>
    <w:p w14:paraId="09AF630E" w14:textId="77777777" w:rsidR="002E7B44" w:rsidRPr="002E7B44" w:rsidRDefault="002E7B44" w:rsidP="002E7B44">
      <w:pPr>
        <w:pStyle w:val="SemEspaamento"/>
        <w:jc w:val="both"/>
        <w:rPr>
          <w:rFonts w:ascii="Book Antiqua" w:hAnsi="Book Antiqua" w:cstheme="minorHAnsi"/>
          <w:bCs/>
        </w:rPr>
      </w:pPr>
      <w:r w:rsidRPr="007F7BB3">
        <w:rPr>
          <w:rFonts w:ascii="Book Antiqua" w:eastAsia="Times New Roman" w:hAnsi="Book Antiqua" w:cstheme="minorHAnsi"/>
          <w:b/>
          <w:color w:val="000000"/>
          <w:lang w:eastAsia="pt-BR"/>
        </w:rPr>
        <w:t xml:space="preserve">LEANDRO VIEIRA SANTOS – </w:t>
      </w:r>
      <w:r w:rsidRPr="002E7B44">
        <w:rPr>
          <w:rFonts w:ascii="Book Antiqua" w:eastAsia="Times New Roman" w:hAnsi="Book Antiqua" w:cstheme="minorHAnsi"/>
          <w:bCs/>
          <w:color w:val="000000"/>
          <w:lang w:eastAsia="pt-BR"/>
        </w:rPr>
        <w:t xml:space="preserve">Secretário de Administração, Modernização e Informação. </w:t>
      </w:r>
    </w:p>
    <w:p w14:paraId="0D70B64E" w14:textId="77777777" w:rsidR="002E7B44" w:rsidRPr="002E7B44" w:rsidRDefault="002E7B44">
      <w:pPr>
        <w:rPr>
          <w:bCs/>
        </w:rPr>
      </w:pPr>
    </w:p>
    <w:sectPr w:rsidR="002E7B44" w:rsidRPr="002E7B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B44"/>
    <w:rsid w:val="00240612"/>
    <w:rsid w:val="002E7B44"/>
    <w:rsid w:val="004D177C"/>
    <w:rsid w:val="00561AC4"/>
    <w:rsid w:val="006E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D138"/>
  <w15:chartTrackingRefBased/>
  <w15:docId w15:val="{111E8ABE-B529-4EA2-B001-50BD8DC01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B44"/>
    <w:pPr>
      <w:spacing w:after="200" w:line="276" w:lineRule="auto"/>
    </w:pPr>
    <w:rPr>
      <w:rFonts w:eastAsiaTheme="minorEastAsi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E7B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E7B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7B4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E7B4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E7B4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E7B4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E7B4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E7B4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E7B4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B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E7B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7B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E7B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E7B4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E7B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E7B4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E7B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E7B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E7B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E7B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E7B4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E7B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E7B44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E7B4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E7B44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E7B4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E7B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E7B4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E7B44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2E7B4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753</Words>
  <Characters>4071</Characters>
  <Application>Microsoft Office Word</Application>
  <DocSecurity>0</DocSecurity>
  <Lines>33</Lines>
  <Paragraphs>9</Paragraphs>
  <ScaleCrop>false</ScaleCrop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Daten</dc:creator>
  <cp:keywords/>
  <dc:description/>
  <cp:lastModifiedBy>Daten</cp:lastModifiedBy>
  <cp:revision>1</cp:revision>
  <dcterms:created xsi:type="dcterms:W3CDTF">2025-01-20T14:35:00Z</dcterms:created>
  <dcterms:modified xsi:type="dcterms:W3CDTF">2025-01-20T14:38:00Z</dcterms:modified>
</cp:coreProperties>
</file>