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rPr>
          <w:rFonts w:cs="Arial"/>
          <w:b/>
          <w:bCs/>
          <w:i/>
          <w:iCs/>
        </w:rPr>
      </w:pPr>
      <w:r>
        <w:rPr>
          <w:rFonts w:cs="Arial"/>
          <w:b/>
          <w:bCs/>
          <w:i/>
          <w:iCs/>
        </w:rPr>
      </w:r>
    </w:p>
    <w:p>
      <w:pPr>
        <w:pStyle w:val="Normal"/>
        <w:spacing w:before="0" w:after="0"/>
        <w:rPr>
          <w:rFonts w:cs="Arial"/>
          <w:b/>
          <w:bCs/>
          <w:i/>
          <w:iCs/>
        </w:rPr>
      </w:pPr>
      <w:r>
        <w:rPr>
          <w:rFonts w:cs="Arial"/>
          <w:sz w:val="36"/>
          <w:szCs w:val="36"/>
        </w:rPr>
        <w:t>Aviso de</w:t>
      </w:r>
      <w:r>
        <w:rPr>
          <w:rFonts w:cs="Arial"/>
        </w:rPr>
        <w:t xml:space="preserve"> </w:t>
      </w:r>
    </w:p>
    <w:p>
      <w:pPr>
        <w:pStyle w:val="Normal"/>
        <w:spacing w:before="0" w:after="0"/>
        <w:rPr>
          <w:rFonts w:cs="Arial"/>
          <w:b/>
          <w:sz w:val="44"/>
          <w:szCs w:val="44"/>
        </w:rPr>
      </w:pPr>
      <w:r>
        <w:rPr>
          <w:rFonts w:cs="Arial"/>
          <w:b/>
          <w:sz w:val="44"/>
          <w:szCs w:val="44"/>
        </w:rPr>
        <w:t>CONTRATAÇÃO</w:t>
      </w:r>
    </w:p>
    <w:p>
      <w:pPr>
        <w:pStyle w:val="Normal"/>
        <w:spacing w:before="0" w:after="0"/>
        <w:rPr>
          <w:rFonts w:cs="Arial"/>
          <w:sz w:val="44"/>
          <w:szCs w:val="44"/>
        </w:rPr>
      </w:pPr>
      <w:r>
        <w:rPr>
          <w:rFonts w:cs="Arial"/>
          <w:b/>
          <w:sz w:val="44"/>
          <w:szCs w:val="44"/>
        </w:rPr>
        <w:t>DIRETA ELETRÔNICA</w:t>
      </w:r>
    </w:p>
    <w:p>
      <w:pPr>
        <w:pStyle w:val="Normal"/>
        <w:spacing w:before="0" w:after="0"/>
        <w:rPr>
          <w:rFonts w:cs="Arial"/>
          <w:iCs/>
          <w:sz w:val="48"/>
          <w:szCs w:val="48"/>
        </w:rPr>
      </w:pPr>
      <w:r>
        <w:rPr>
          <w:rFonts w:cs="Arial"/>
          <w:bCs/>
          <w:sz w:val="48"/>
          <w:szCs w:val="48"/>
        </w:rPr>
        <w:t>003/2026</w:t>
      </w:r>
    </w:p>
    <w:p>
      <w:pPr>
        <w:pStyle w:val="Normal"/>
        <w:spacing w:lineRule="auto" w:line="259"/>
        <w:rPr>
          <w:rFonts w:cs="Arial"/>
          <w:b/>
          <w:bCs/>
          <w:sz w:val="28"/>
          <w:szCs w:val="28"/>
        </w:rPr>
      </w:pPr>
      <w:r>
        <w:rPr>
          <w:rFonts w:cs="Arial"/>
          <w:b/>
          <w:bCs/>
          <w:sz w:val="28"/>
          <w:szCs w:val="28"/>
        </w:rPr>
      </w:r>
    </w:p>
    <w:p>
      <w:pPr>
        <w:pStyle w:val="Normal"/>
        <w:spacing w:before="0" w:after="0"/>
        <w:rPr>
          <w:rFonts w:cs="Arial"/>
          <w:b/>
          <w:bCs/>
          <w:sz w:val="26"/>
          <w:szCs w:val="26"/>
        </w:rPr>
      </w:pPr>
      <w:r>
        <w:rPr>
          <w:rFonts w:cs="Arial"/>
          <w:b/>
          <w:bCs/>
          <w:sz w:val="32"/>
          <w:szCs w:val="32"/>
        </w:rPr>
        <w:t>CONTRATANTE</w:t>
      </w:r>
      <w:r>
        <w:rPr>
          <w:rFonts w:cs="Arial"/>
          <w:b/>
          <w:bCs/>
          <w:sz w:val="26"/>
          <w:szCs w:val="26"/>
        </w:rPr>
        <w:t xml:space="preserve"> (UASG)</w:t>
      </w:r>
    </w:p>
    <w:p>
      <w:pPr>
        <w:pStyle w:val="Normal"/>
        <w:spacing w:before="0" w:after="0"/>
        <w:rPr>
          <w:rFonts w:cs="Arial"/>
          <w:sz w:val="28"/>
          <w:szCs w:val="28"/>
        </w:rPr>
      </w:pPr>
      <w:r>
        <w:rPr>
          <w:rFonts w:cs="Arial"/>
          <w:sz w:val="28"/>
          <w:szCs w:val="28"/>
        </w:rPr>
        <w:t>Fundo Municipal de Assistência Social de Rio das Flôres/RJ (</w:t>
      </w:r>
      <w:r>
        <w:rPr>
          <w:rStyle w:val="tex3"/>
          <w:rFonts w:eastAsia="Arial" w:cs="Arial"/>
          <w:sz w:val="28"/>
          <w:szCs w:val="28"/>
          <w:shd w:fill="FFFFFF" w:val="clear"/>
        </w:rPr>
        <w:t>929019</w:t>
      </w:r>
      <w:r>
        <w:rPr>
          <w:rFonts w:cs="Arial"/>
          <w:sz w:val="28"/>
          <w:szCs w:val="28"/>
        </w:rPr>
        <w:t>)</w:t>
      </w:r>
    </w:p>
    <w:p>
      <w:pPr>
        <w:pStyle w:val="Normal"/>
        <w:rPr>
          <w:rFonts w:cs="Arial"/>
          <w:b/>
          <w:bCs/>
          <w:sz w:val="28"/>
          <w:szCs w:val="28"/>
        </w:rPr>
      </w:pPr>
      <w:r>
        <w:rPr>
          <w:rFonts w:cs="Arial"/>
          <w:b/>
          <w:bCs/>
          <w:sz w:val="28"/>
          <w:szCs w:val="28"/>
        </w:rPr>
      </w:r>
    </w:p>
    <w:p>
      <w:pPr>
        <w:pStyle w:val="Normal"/>
        <w:rPr>
          <w:rFonts w:cs="Arial"/>
          <w:b/>
          <w:bCs/>
          <w:sz w:val="26"/>
          <w:szCs w:val="26"/>
        </w:rPr>
      </w:pPr>
      <w:r>
        <w:rPr>
          <w:rFonts w:cs="Arial"/>
          <w:b/>
          <w:bCs/>
          <w:sz w:val="32"/>
          <w:szCs w:val="32"/>
        </w:rPr>
        <w:t>OBJETO</w:t>
      </w:r>
    </w:p>
    <w:p>
      <w:pPr>
        <w:pStyle w:val="Normal"/>
        <w:spacing w:before="0" w:after="0"/>
        <w:rPr>
          <w:sz w:val="28"/>
          <w:szCs w:val="28"/>
        </w:rPr>
      </w:pPr>
      <w:r>
        <w:rPr>
          <w:sz w:val="28"/>
          <w:szCs w:val="28"/>
        </w:rPr>
        <w:t>Aquisição de bens permanentes (notebooks, tablets e celular) para o Cadastro Único.</w:t>
      </w:r>
    </w:p>
    <w:p>
      <w:pPr>
        <w:pStyle w:val="Normal"/>
        <w:spacing w:before="0" w:after="0"/>
        <w:rPr>
          <w:sz w:val="28"/>
          <w:szCs w:val="28"/>
        </w:rPr>
      </w:pPr>
      <w:r>
        <w:rPr>
          <w:sz w:val="28"/>
          <w:szCs w:val="28"/>
        </w:rPr>
      </w:r>
    </w:p>
    <w:p>
      <w:pPr>
        <w:pStyle w:val="Normal"/>
        <w:spacing w:before="0" w:after="0"/>
        <w:rPr>
          <w:rFonts w:cs="Arial"/>
          <w:b/>
          <w:bCs/>
          <w:sz w:val="26"/>
          <w:szCs w:val="26"/>
        </w:rPr>
      </w:pPr>
      <w:r>
        <w:rPr>
          <w:rFonts w:cs="Arial"/>
          <w:b/>
          <w:bCs/>
          <w:sz w:val="32"/>
          <w:szCs w:val="32"/>
        </w:rPr>
        <w:t>VALOR</w:t>
      </w:r>
      <w:r>
        <w:rPr>
          <w:rFonts w:cs="Arial"/>
          <w:b/>
          <w:bCs/>
          <w:sz w:val="26"/>
          <w:szCs w:val="26"/>
        </w:rPr>
        <w:t xml:space="preserve"> </w:t>
      </w:r>
      <w:r>
        <w:rPr>
          <w:rFonts w:cs="Arial"/>
          <w:b/>
          <w:bCs/>
          <w:sz w:val="32"/>
          <w:szCs w:val="32"/>
        </w:rPr>
        <w:t>TOTAL DA CONTRATAÇÃO</w:t>
      </w:r>
    </w:p>
    <w:p>
      <w:pPr>
        <w:pStyle w:val="Normal"/>
        <w:rPr>
          <w:b w:val="false"/>
          <w:bCs w:val="false"/>
        </w:rPr>
      </w:pPr>
      <w:r>
        <w:rPr>
          <w:rFonts w:cs="Arial"/>
          <w:b w:val="false"/>
          <w:bCs w:val="false"/>
          <w:color w:val="auto"/>
          <w:sz w:val="28"/>
          <w:szCs w:val="28"/>
        </w:rPr>
        <w:t>R$16.935,00 (dezesseis mil, novecentos e trinta e cinco reais).</w:t>
      </w:r>
    </w:p>
    <w:p>
      <w:pPr>
        <w:pStyle w:val="Normal"/>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DATA DA SESSÃO PÚBLICA</w:t>
      </w:r>
    </w:p>
    <w:p>
      <w:pPr>
        <w:pStyle w:val="Normal"/>
        <w:spacing w:before="0" w:after="0"/>
        <w:rPr>
          <w:rFonts w:cs="Arial"/>
          <w:bCs/>
          <w:sz w:val="28"/>
          <w:szCs w:val="28"/>
        </w:rPr>
      </w:pPr>
      <w:r>
        <w:rPr>
          <w:rFonts w:cs="Arial"/>
          <w:bCs/>
          <w:sz w:val="28"/>
          <w:szCs w:val="28"/>
        </w:rPr>
        <w:t>Dia 10/06</w:t>
      </w:r>
      <w:r>
        <w:rPr>
          <w:rFonts w:cs="Arial"/>
          <w:bCs/>
          <w:sz w:val="28"/>
          <w:szCs w:val="28"/>
          <w:shd w:fill="auto" w:val="clear"/>
        </w:rPr>
        <w:t xml:space="preserve">/2026 </w:t>
      </w:r>
    </w:p>
    <w:p>
      <w:pPr>
        <w:pStyle w:val="Normal"/>
        <w:spacing w:before="0" w:after="0"/>
        <w:rPr>
          <w:rFonts w:cs="Arial"/>
          <w:b/>
          <w:bCs/>
          <w:sz w:val="28"/>
          <w:szCs w:val="28"/>
        </w:rPr>
      </w:pPr>
      <w:r>
        <w:rPr>
          <w:rFonts w:cs="Arial"/>
          <w:b/>
          <w:bCs/>
          <w:sz w:val="28"/>
          <w:szCs w:val="28"/>
        </w:rPr>
      </w:r>
    </w:p>
    <w:p>
      <w:pPr>
        <w:pStyle w:val="Normal"/>
        <w:spacing w:before="0" w:after="0"/>
        <w:rPr>
          <w:rFonts w:cs="Arial"/>
          <w:b/>
          <w:bCs/>
          <w:sz w:val="32"/>
          <w:szCs w:val="32"/>
        </w:rPr>
      </w:pPr>
      <w:r>
        <w:rPr>
          <w:rFonts w:cs="Arial"/>
          <w:b/>
          <w:bCs/>
          <w:sz w:val="32"/>
          <w:szCs w:val="32"/>
        </w:rPr>
        <w:t>HORÁRIO DA FASE DE LANCES</w:t>
      </w:r>
    </w:p>
    <w:p>
      <w:pPr>
        <w:pStyle w:val="Normal"/>
        <w:spacing w:before="0" w:after="0"/>
        <w:rPr>
          <w:rFonts w:cs="Arial"/>
          <w:sz w:val="28"/>
          <w:szCs w:val="28"/>
        </w:rPr>
      </w:pPr>
      <w:r>
        <w:rPr>
          <w:rFonts w:cs="Arial"/>
          <w:sz w:val="28"/>
          <w:szCs w:val="28"/>
        </w:rPr>
        <w:t>Das 09hs00min até 15hs00min</w:t>
      </w:r>
    </w:p>
    <w:p>
      <w:pPr>
        <w:pStyle w:val="Normal"/>
        <w:spacing w:before="0" w:after="0"/>
        <w:rPr>
          <w:rFonts w:cs="Arial"/>
          <w:b/>
          <w:bCs/>
          <w:sz w:val="28"/>
          <w:szCs w:val="28"/>
        </w:rPr>
      </w:pPr>
      <w:r>
        <w:rPr>
          <w:rFonts w:cs="Arial"/>
          <w:b/>
          <w:bCs/>
          <w:sz w:val="28"/>
          <w:szCs w:val="28"/>
        </w:rPr>
      </w:r>
    </w:p>
    <w:p>
      <w:pPr>
        <w:pStyle w:val="Normal"/>
        <w:spacing w:before="0" w:after="0"/>
        <w:rPr>
          <w:rFonts w:cs="Arial"/>
          <w:caps/>
          <w:sz w:val="32"/>
          <w:szCs w:val="32"/>
        </w:rPr>
      </w:pPr>
      <w:r>
        <w:rPr>
          <w:rFonts w:cs="Arial"/>
          <w:b/>
          <w:bCs/>
          <w:caps/>
          <w:sz w:val="32"/>
          <w:szCs w:val="32"/>
        </w:rPr>
        <w:t>Critério de Julgamento</w:t>
      </w:r>
    </w:p>
    <w:p>
      <w:pPr>
        <w:pStyle w:val="Normal"/>
        <w:spacing w:before="0" w:after="0"/>
        <w:rPr>
          <w:rFonts w:cs="Arial"/>
          <w:sz w:val="28"/>
          <w:szCs w:val="28"/>
        </w:rPr>
      </w:pPr>
      <w:r>
        <w:rPr>
          <w:rFonts w:cs="Arial"/>
          <w:sz w:val="28"/>
          <w:szCs w:val="28"/>
        </w:rPr>
        <w:t>Menor preço por item</w:t>
      </w:r>
    </w:p>
    <w:p>
      <w:pPr>
        <w:pStyle w:val="Normal"/>
        <w:spacing w:before="0" w:after="0"/>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PREFERÊNCIA ME/EPP/EQUIPARADAS</w:t>
      </w:r>
    </w:p>
    <w:p>
      <w:pPr>
        <w:pStyle w:val="Normal"/>
        <w:spacing w:before="0" w:after="0"/>
        <w:rPr>
          <w:rFonts w:cs="Arial"/>
          <w:b/>
          <w:bCs/>
          <w:sz w:val="28"/>
          <w:szCs w:val="28"/>
        </w:rPr>
      </w:pPr>
      <w:r>
        <w:rPr>
          <w:rFonts w:cs="Arial"/>
          <w:b/>
          <w:bCs/>
          <w:sz w:val="28"/>
          <w:szCs w:val="28"/>
        </w:rPr>
        <w:t>SIM</w:t>
      </w:r>
    </w:p>
    <w:p>
      <w:pPr>
        <w:pStyle w:val="Normal"/>
        <w:spacing w:before="0" w:after="0"/>
        <w:rPr>
          <w:rFonts w:cs="Arial"/>
          <w:b/>
          <w:bCs/>
          <w:sz w:val="28"/>
          <w:szCs w:val="28"/>
        </w:rPr>
      </w:pPr>
      <w:r>
        <w:rPr>
          <w:rFonts w:cs="Arial"/>
          <w:b/>
          <w:bCs/>
          <w:sz w:val="28"/>
          <w:szCs w:val="28"/>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t>PREFEITURA MUNICIPAL DE RIO DAS FLÔRES</w:t>
      </w:r>
    </w:p>
    <w:p>
      <w:pPr>
        <w:pStyle w:val="Normal"/>
        <w:spacing w:lineRule="auto" w:line="312" w:before="288" w:after="288"/>
        <w:ind w:firstLine="567"/>
        <w:jc w:val="center"/>
        <w:rPr>
          <w:rFonts w:cs="Arial"/>
          <w:b/>
          <w:sz w:val="24"/>
          <w:szCs w:val="24"/>
        </w:rPr>
      </w:pPr>
      <w:r>
        <w:rPr>
          <w:rFonts w:cs="Arial"/>
          <w:b/>
          <w:bCs/>
          <w:sz w:val="24"/>
          <w:szCs w:val="24"/>
        </w:rPr>
        <w:t>AVISO DE CONTRATAÇÃO DIRETA</w:t>
      </w:r>
      <w:r>
        <w:rPr>
          <w:rFonts w:cs="Arial"/>
          <w:b/>
          <w:bCs/>
          <w:szCs w:val="20"/>
        </w:rPr>
        <w:t xml:space="preserve"> </w:t>
      </w:r>
      <w:r>
        <w:rPr>
          <w:rFonts w:cs="Arial"/>
          <w:b/>
          <w:bCs/>
          <w:sz w:val="24"/>
          <w:szCs w:val="24"/>
        </w:rPr>
        <w:t>ELETRÔNICA</w:t>
      </w:r>
      <w:r>
        <w:rPr>
          <w:rFonts w:cs="Arial"/>
          <w:b/>
          <w:bCs/>
          <w:szCs w:val="20"/>
        </w:rPr>
        <w:t xml:space="preserve"> </w:t>
      </w:r>
      <w:r>
        <w:rPr>
          <w:rFonts w:cs="Arial"/>
          <w:b/>
          <w:sz w:val="24"/>
          <w:szCs w:val="24"/>
        </w:rPr>
        <w:t>Nº 003/2026</w:t>
      </w:r>
    </w:p>
    <w:p>
      <w:pPr>
        <w:pStyle w:val="Normal"/>
        <w:spacing w:lineRule="auto" w:line="312" w:before="288" w:after="288"/>
        <w:ind w:firstLine="567"/>
        <w:jc w:val="center"/>
        <w:rPr>
          <w:rFonts w:cs="Arial"/>
          <w:bCs/>
          <w:sz w:val="24"/>
          <w:szCs w:val="24"/>
        </w:rPr>
      </w:pPr>
      <w:r>
        <w:rPr>
          <w:rFonts w:cs="Arial"/>
          <w:sz w:val="24"/>
          <w:szCs w:val="24"/>
        </w:rPr>
        <w:t>(Processo Administrativo n</w:t>
      </w:r>
      <w:r>
        <w:rPr>
          <w:rFonts w:cs="Arial"/>
          <w:bCs/>
          <w:sz w:val="24"/>
          <w:szCs w:val="24"/>
        </w:rPr>
        <w:t>° 3699/2026)</w:t>
      </w:r>
    </w:p>
    <w:p>
      <w:pPr>
        <w:pStyle w:val="Normal"/>
        <w:spacing w:lineRule="auto" w:line="312" w:before="288" w:after="288"/>
        <w:ind w:firstLine="567"/>
        <w:jc w:val="center"/>
        <w:rPr>
          <w:rFonts w:cs="Arial"/>
          <w:bCs/>
          <w:sz w:val="24"/>
          <w:szCs w:val="24"/>
        </w:rPr>
      </w:pPr>
      <w:r>
        <w:rPr>
          <w:rFonts w:cs="Arial"/>
          <w:bCs/>
          <w:sz w:val="24"/>
          <w:szCs w:val="24"/>
        </w:rPr>
      </w:r>
    </w:p>
    <w:p>
      <w:pPr>
        <w:pStyle w:val="Normal"/>
        <w:spacing w:lineRule="auto" w:line="312" w:before="288" w:after="288"/>
        <w:ind w:firstLine="567"/>
        <w:jc w:val="center"/>
        <w:rPr>
          <w:rFonts w:cs="Arial"/>
          <w:bCs/>
          <w:sz w:val="24"/>
          <w:szCs w:val="24"/>
        </w:rPr>
      </w:pPr>
      <w:r>
        <w:rPr>
          <w:rFonts w:cs="Arial"/>
          <w:bCs/>
          <w:sz w:val="24"/>
          <w:szCs w:val="24"/>
        </w:rPr>
      </w:r>
    </w:p>
    <w:p>
      <w:pPr>
        <w:pStyle w:val="Normal"/>
        <w:spacing w:lineRule="atLeast" w:line="280"/>
        <w:ind w:firstLine="709"/>
        <w:rPr>
          <w:sz w:val="24"/>
          <w:szCs w:val="24"/>
        </w:rPr>
      </w:pPr>
      <w:r>
        <w:rPr>
          <w:sz w:val="24"/>
          <w:szCs w:val="24"/>
        </w:rPr>
        <w:t>Torna-se público, para conhecimento dos interessados, que o Município de Rio das Flôres, através do Fundo Municipal de Assistência Social, sediado na Rua Coronel Ladislau Guedes, nº 03, Centro, Rio das Flôres/RJ, realizará DISPENSA</w:t>
      </w:r>
      <w:r>
        <w:rPr>
          <w:bCs/>
          <w:sz w:val="24"/>
          <w:szCs w:val="24"/>
        </w:rPr>
        <w:t xml:space="preserve">, </w:t>
      </w:r>
      <w:r>
        <w:rPr>
          <w:sz w:val="24"/>
          <w:szCs w:val="24"/>
        </w:rPr>
        <w:t>na forma</w:t>
      </w:r>
      <w:r>
        <w:rPr>
          <w:bCs/>
          <w:sz w:val="24"/>
          <w:szCs w:val="24"/>
        </w:rPr>
        <w:t xml:space="preserve"> ELETRÔNICA, </w:t>
      </w:r>
      <w:r>
        <w:rPr>
          <w:sz w:val="24"/>
          <w:szCs w:val="24"/>
        </w:rPr>
        <w:t xml:space="preserve">com critério de julgamento menor preço por item, na hipótese do art. 75, inciso II, nos termos da </w:t>
      </w:r>
      <w:hyperlink r:id="rId2" w:tooltip="http://www.planalto.gov.br/ccivil_03/_ato2019-2022/2021/lei/L14133.htm">
        <w:r>
          <w:rPr>
            <w:rStyle w:val="Style"/>
            <w:color w:val="auto"/>
            <w:sz w:val="24"/>
            <w:szCs w:val="24"/>
            <w:u w:val="single"/>
          </w:rPr>
          <w:t>Lei nº 14.133, de 1º de abril de 2021</w:t>
        </w:r>
      </w:hyperlink>
      <w:r>
        <w:rPr>
          <w:sz w:val="24"/>
          <w:szCs w:val="24"/>
        </w:rPr>
        <w:t xml:space="preserve">, </w:t>
      </w:r>
      <w:r>
        <w:rPr>
          <w:rFonts w:cs="Arial"/>
          <w:bCs/>
          <w:sz w:val="24"/>
          <w:szCs w:val="24"/>
        </w:rPr>
        <w:t>demais normas aplicáveis</w:t>
      </w:r>
      <w:r>
        <w:rPr>
          <w:sz w:val="24"/>
          <w:szCs w:val="24"/>
        </w:rPr>
        <w:t xml:space="preserve"> e, ainda, de acordo com as condições estabelecidas neste AVISO DE CONTRATAÇÃO DIRETA ELETRÔNICA.</w:t>
      </w:r>
    </w:p>
    <w:p>
      <w:pPr>
        <w:pStyle w:val="Normal"/>
        <w:spacing w:lineRule="atLeast" w:line="280"/>
        <w:ind w:firstLine="709"/>
        <w:rPr>
          <w:sz w:val="24"/>
          <w:szCs w:val="24"/>
        </w:rPr>
      </w:pPr>
      <w:r>
        <w:rPr>
          <w:sz w:val="24"/>
          <w:szCs w:val="24"/>
        </w:rPr>
      </w:r>
    </w:p>
    <w:p>
      <w:pPr>
        <w:pStyle w:val="Normal"/>
        <w:spacing w:before="0" w:after="0"/>
        <w:jc w:val="left"/>
        <w:rPr>
          <w:rFonts w:cs="Arial"/>
          <w:b/>
          <w:bCs/>
          <w:sz w:val="24"/>
          <w:szCs w:val="24"/>
        </w:rPr>
      </w:pPr>
      <w:r>
        <w:rPr>
          <w:rFonts w:cs="Arial"/>
          <w:b/>
          <w:bCs/>
          <w:sz w:val="24"/>
          <w:szCs w:val="24"/>
        </w:rPr>
        <w:t>Data da Sessão: 1</w:t>
      </w:r>
      <w:r>
        <w:rPr>
          <w:rFonts w:cs="Arial"/>
          <w:b/>
          <w:bCs/>
          <w:sz w:val="24"/>
          <w:szCs w:val="24"/>
        </w:rPr>
        <w:t>1</w:t>
      </w:r>
      <w:r>
        <w:rPr>
          <w:rFonts w:cs="Arial"/>
          <w:b/>
          <w:bCs/>
          <w:sz w:val="24"/>
          <w:szCs w:val="24"/>
        </w:rPr>
        <w:t>/06/2026</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
          <w:bCs/>
          <w:sz w:val="24"/>
          <w:szCs w:val="24"/>
        </w:rPr>
      </w:pPr>
      <w:r>
        <w:rPr>
          <w:rFonts w:cs="Arial"/>
          <w:b/>
          <w:bCs/>
          <w:sz w:val="24"/>
          <w:szCs w:val="24"/>
        </w:rPr>
        <w:t>Horário da Fase de Lances:</w:t>
      </w:r>
      <w:r>
        <w:rPr>
          <w:rFonts w:cs="Arial"/>
          <w:b/>
          <w:bCs/>
          <w:szCs w:val="20"/>
        </w:rPr>
        <w:t xml:space="preserve"> </w:t>
      </w:r>
      <w:r>
        <w:rPr>
          <w:rFonts w:cs="Arial"/>
          <w:bCs/>
          <w:sz w:val="24"/>
          <w:szCs w:val="24"/>
        </w:rPr>
        <w:t>09hs00min às 15hs00min</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Cs/>
          <w:sz w:val="24"/>
          <w:szCs w:val="24"/>
        </w:rPr>
      </w:pPr>
      <w:r>
        <w:rPr>
          <w:rFonts w:cs="Arial"/>
          <w:b/>
          <w:bCs/>
          <w:sz w:val="24"/>
          <w:szCs w:val="24"/>
        </w:rPr>
        <w:t xml:space="preserve">Local realização: </w:t>
      </w:r>
      <w:hyperlink r:id="rId3" w:tooltip="http://www.gov.br/compras">
        <w:r>
          <w:rPr>
            <w:rStyle w:val="Hyperlink"/>
            <w:bCs/>
            <w:color w:val="auto"/>
            <w:sz w:val="24"/>
            <w:szCs w:val="24"/>
          </w:rPr>
          <w:t>www.gov.br/compras</w:t>
        </w:r>
      </w:hyperlink>
    </w:p>
    <w:p>
      <w:pPr>
        <w:pStyle w:val="Normal"/>
        <w:spacing w:before="0" w:after="0"/>
        <w:jc w:val="left"/>
        <w:rPr>
          <w:rFonts w:cs="Arial"/>
          <w:b/>
          <w:bCs/>
          <w:sz w:val="24"/>
          <w:szCs w:val="24"/>
        </w:rPr>
      </w:pPr>
      <w:r>
        <w:rPr>
          <w:rFonts w:cs="Arial"/>
          <w:b/>
          <w:bCs/>
          <w:sz w:val="24"/>
          <w:szCs w:val="24"/>
        </w:rPr>
        <w:t xml:space="preserve"> </w:t>
      </w:r>
    </w:p>
    <w:p>
      <w:pPr>
        <w:pStyle w:val="Normal"/>
        <w:tabs>
          <w:tab w:val="clear" w:pos="720"/>
          <w:tab w:val="left" w:pos="567" w:leader="none"/>
        </w:tabs>
        <w:ind w:right="-427"/>
        <w:jc w:val="left"/>
        <w:rPr/>
      </w:pPr>
      <w:r>
        <w:rPr>
          <w:rStyle w:val="Hyperlink1"/>
          <w:rFonts w:cs="Arial"/>
          <w:b/>
          <w:color w:val="auto"/>
          <w:sz w:val="24"/>
          <w:szCs w:val="24"/>
          <w:u w:val="none"/>
        </w:rPr>
        <w:t>Link acesso ao Aviso de Dispensa de Licitação:</w:t>
      </w:r>
      <w:r>
        <w:rPr/>
        <w:t xml:space="preserve"> </w:t>
      </w:r>
      <w:hyperlink r:id="rId4" w:tooltip="https://transparencia.betha.cloud/#/6pate64yBjikfhmXWCPx0Q==/consulta/110871&quot; l &quot;/6pate64yBjikfhmXWCPx0Q==/consulta/110871">
        <w:r>
          <w:rPr>
            <w:rStyle w:val="Hyperlink"/>
            <w:color w:val="auto"/>
            <w:sz w:val="24"/>
            <w:szCs w:val="24"/>
          </w:rPr>
          <w:t>https://transparencia.betha.cloud/#/6pate64yBjikfhmXWCPx0Q==/consulta/110871</w:t>
        </w:r>
      </w:hyperlink>
    </w:p>
    <w:p>
      <w:pPr>
        <w:pStyle w:val="Normal"/>
        <w:spacing w:lineRule="auto" w:line="276"/>
        <w:ind w:right="-15"/>
        <w:rPr>
          <w:rFonts w:cs="Arial"/>
          <w:b/>
          <w:bCs/>
          <w:iCs/>
          <w:sz w:val="24"/>
          <w:szCs w:val="24"/>
        </w:rPr>
      </w:pPr>
      <w:r>
        <w:rPr>
          <w:rFonts w:cs="Arial"/>
          <w:b/>
          <w:bCs/>
          <w:iCs/>
          <w:sz w:val="24"/>
          <w:szCs w:val="24"/>
        </w:rPr>
      </w:r>
    </w:p>
    <w:p>
      <w:pPr>
        <w:pStyle w:val="Normal"/>
        <w:spacing w:lineRule="auto" w:line="276"/>
        <w:ind w:right="-15"/>
        <w:rPr>
          <w:rFonts w:cs="Arial"/>
          <w:iCs/>
          <w:sz w:val="24"/>
          <w:szCs w:val="24"/>
        </w:rPr>
      </w:pPr>
      <w:r>
        <w:rPr>
          <w:rFonts w:cs="Arial"/>
          <w:b/>
          <w:bCs/>
          <w:iCs/>
          <w:sz w:val="24"/>
          <w:szCs w:val="24"/>
        </w:rPr>
        <w:t>Critério de Julgamento:</w:t>
      </w:r>
      <w:r>
        <w:rPr>
          <w:rFonts w:cs="Arial"/>
          <w:sz w:val="24"/>
          <w:szCs w:val="24"/>
        </w:rPr>
        <w:t xml:space="preserve"> </w:t>
      </w:r>
      <w:r>
        <w:rPr>
          <w:rFonts w:cs="Arial"/>
          <w:iCs/>
          <w:sz w:val="24"/>
          <w:szCs w:val="24"/>
        </w:rPr>
        <w:t>menor preço por item</w:t>
      </w:r>
    </w:p>
    <w:p>
      <w:pPr>
        <w:pStyle w:val="ListParagraph"/>
        <w:numPr>
          <w:ilvl w:val="0"/>
          <w:numId w:val="1"/>
        </w:numPr>
        <w:tabs>
          <w:tab w:val="clear" w:pos="720"/>
          <w:tab w:val="left" w:pos="284" w:leader="none"/>
        </w:tabs>
        <w:spacing w:lineRule="atLeast" w:line="280" w:before="480" w:after="0"/>
        <w:ind w:hanging="0" w:left="0"/>
        <w:contextualSpacing w:val="false"/>
        <w:rPr>
          <w:b/>
          <w:sz w:val="24"/>
          <w:szCs w:val="24"/>
          <w:u w:val="single"/>
        </w:rPr>
      </w:pPr>
      <w:bookmarkStart w:id="0" w:name="EDITALOBJETO"/>
      <w:r>
        <w:rPr>
          <w:b/>
          <w:color w:val="auto"/>
          <w:sz w:val="24"/>
          <w:szCs w:val="24"/>
          <w:u w:val="single"/>
        </w:rPr>
        <w:t>DO OBJETO:</w:t>
      </w:r>
      <w:bookmarkEnd w:id="0"/>
    </w:p>
    <w:p>
      <w:pPr>
        <w:pStyle w:val="Normal"/>
        <w:rPr>
          <w:rStyle w:val="Ttulo1Char"/>
          <w:sz w:val="24"/>
          <w:szCs w:val="24"/>
        </w:rPr>
      </w:pPr>
      <w:r>
        <w:rPr>
          <w:sz w:val="24"/>
          <w:szCs w:val="24"/>
        </w:rPr>
      </w:r>
    </w:p>
    <w:p>
      <w:pPr>
        <w:pStyle w:val="PADRO1"/>
        <w:keepNext w:val="false"/>
        <w:widowControl/>
        <w:numPr>
          <w:ilvl w:val="1"/>
          <w:numId w:val="5"/>
        </w:numPr>
        <w:shd w:val="clear" w:color="auto" w:fill="auto"/>
        <w:spacing w:before="120" w:after="120"/>
        <w:ind w:hanging="720" w:left="993"/>
        <w:rPr>
          <w:sz w:val="24"/>
        </w:rPr>
      </w:pPr>
      <w:r>
        <w:rPr>
          <w:rFonts w:cs="Arial" w:ascii="Arial" w:hAnsi="Arial"/>
          <w:sz w:val="24"/>
        </w:rPr>
        <w:t>O objeto do presente procedimento é a e</w:t>
      </w:r>
      <w:r>
        <w:rPr>
          <w:rFonts w:cs="Arial" w:ascii="Arial" w:hAnsi="Arial"/>
          <w:color w:val="000000"/>
          <w:sz w:val="24"/>
          <w:lang w:bidi="ar-SA"/>
        </w:rPr>
        <w:t xml:space="preserve">scolha da proposta mais vantajosa para </w:t>
      </w:r>
      <w:r>
        <w:rPr>
          <w:rFonts w:cs="Arial" w:ascii="Arial" w:hAnsi="Arial"/>
          <w:sz w:val="24"/>
        </w:rPr>
        <w:t xml:space="preserve">aquisição </w:t>
      </w:r>
      <w:r>
        <w:rPr>
          <w:rFonts w:eastAsia="Times New Roman" w:cs="Arial" w:ascii="Arial" w:hAnsi="Arial"/>
          <w:color w:val="auto"/>
          <w:kern w:val="0"/>
          <w:sz w:val="24"/>
          <w:szCs w:val="24"/>
          <w:lang w:val="pt-BR" w:eastAsia="pt-BR" w:bidi="ar-SA"/>
        </w:rPr>
        <w:t xml:space="preserve">de bens permanentes (notebooks, tablets e celular) para o </w:t>
      </w:r>
      <w:r>
        <w:rPr>
          <w:rFonts w:eastAsia="Cambria" w:cs="Arial" w:ascii="Arial" w:hAnsi="Arial"/>
          <w:bCs/>
          <w:color w:val="000000"/>
          <w:kern w:val="0"/>
          <w:sz w:val="24"/>
          <w:szCs w:val="24"/>
          <w:lang w:val="pt-BR" w:eastAsia="pt-BR" w:bidi="ar-SA"/>
        </w:rPr>
        <w:t>Cadastro Único</w:t>
      </w:r>
      <w:r>
        <w:rPr>
          <w:rFonts w:cs="Arial" w:ascii="Arial" w:hAnsi="Arial"/>
          <w:sz w:val="24"/>
        </w:rPr>
        <w:t>, conforme condições, quantidades e exigências estabelecidas neste Aviso de Contratação Direta e seus anexos.</w:t>
      </w:r>
    </w:p>
    <w:p>
      <w:pPr>
        <w:pStyle w:val="PADRO1"/>
        <w:widowControl/>
        <w:numPr>
          <w:ilvl w:val="1"/>
          <w:numId w:val="5"/>
        </w:numPr>
        <w:shd w:val="clear" w:color="auto" w:fill="auto"/>
        <w:spacing w:before="120" w:after="120"/>
        <w:ind w:hanging="720" w:left="993"/>
        <w:rPr>
          <w:sz w:val="24"/>
        </w:rPr>
      </w:pPr>
      <w:r>
        <w:rPr>
          <w:rFonts w:cs="Arial" w:ascii="Arial" w:hAnsi="Arial"/>
          <w:sz w:val="24"/>
        </w:rPr>
        <w:t>Havendo mais de um item, faculta-se ao fornecedor a participação em quantos forem de seu interesse.</w:t>
      </w:r>
    </w:p>
    <w:p>
      <w:pPr>
        <w:pStyle w:val="ListParagraph"/>
        <w:numPr>
          <w:ilvl w:val="1"/>
          <w:numId w:val="5"/>
        </w:numPr>
        <w:ind w:hanging="720" w:left="993"/>
        <w:rPr>
          <w:b/>
          <w:sz w:val="24"/>
          <w:szCs w:val="24"/>
        </w:rPr>
      </w:pPr>
      <w:r>
        <w:rPr>
          <w:rFonts w:cs="Arial"/>
          <w:sz w:val="24"/>
          <w:szCs w:val="24"/>
        </w:rPr>
        <w:t>O critério de julgamento adotado será o</w:t>
      </w:r>
      <w:r>
        <w:rPr>
          <w:rFonts w:cs="Arial"/>
          <w:i/>
          <w:iCs/>
          <w:sz w:val="24"/>
          <w:szCs w:val="24"/>
        </w:rPr>
        <w:t xml:space="preserve"> </w:t>
      </w:r>
      <w:r>
        <w:rPr>
          <w:rFonts w:cs="Arial"/>
          <w:iCs/>
          <w:sz w:val="24"/>
          <w:szCs w:val="24"/>
        </w:rPr>
        <w:t>menor preço por item,</w:t>
      </w:r>
      <w:r>
        <w:rPr>
          <w:rFonts w:cs="Arial"/>
          <w:sz w:val="24"/>
          <w:szCs w:val="24"/>
        </w:rPr>
        <w:t xml:space="preserve"> observadas as exigências contidas neste Aviso de Contratação Direta e seus Anexos quanto às especificações do objeto</w:t>
      </w:r>
      <w:r>
        <w:rPr>
          <w:sz w:val="24"/>
        </w:rPr>
        <w:t>.</w:t>
      </w:r>
      <w:bookmarkStart w:id="1" w:name="_Hlk30147690"/>
      <w:bookmarkEnd w:id="1"/>
    </w:p>
    <w:p>
      <w:pPr>
        <w:pStyle w:val="ListParagraph"/>
        <w:spacing w:lineRule="auto" w:line="276"/>
        <w:ind w:left="360"/>
        <w:rPr>
          <w:rFonts w:cs="Arial"/>
          <w:sz w:val="24"/>
          <w:szCs w:val="24"/>
        </w:rPr>
      </w:pPr>
      <w:r>
        <w:rPr>
          <w:rFonts w:cs="Arial"/>
          <w:sz w:val="24"/>
          <w:szCs w:val="24"/>
        </w:rPr>
      </w:r>
    </w:p>
    <w:p>
      <w:pPr>
        <w:pStyle w:val="BodyText"/>
        <w:numPr>
          <w:ilvl w:val="0"/>
          <w:numId w:val="1"/>
        </w:numPr>
        <w:spacing w:lineRule="atLeast" w:line="280" w:before="120" w:after="240"/>
        <w:ind w:hanging="0" w:left="0"/>
        <w:rPr>
          <w:b/>
          <w:sz w:val="24"/>
          <w:szCs w:val="24"/>
          <w:u w:val="single"/>
        </w:rPr>
      </w:pPr>
      <w:bookmarkStart w:id="2" w:name="EDITALPARTICIPAÇÃO"/>
      <w:bookmarkStart w:id="3" w:name="_Toc135469225"/>
      <w:bookmarkStart w:id="4" w:name="_Hlk30147690_Copia_1"/>
      <w:bookmarkEnd w:id="4"/>
      <w:r>
        <w:rPr>
          <w:b/>
          <w:sz w:val="24"/>
          <w:szCs w:val="24"/>
          <w:u w:val="single"/>
        </w:rPr>
        <w:t xml:space="preserve">DA PARTICIPAÇÃO NA </w:t>
      </w:r>
      <w:bookmarkEnd w:id="3"/>
      <w:r>
        <w:rPr>
          <w:b/>
          <w:sz w:val="24"/>
          <w:szCs w:val="24"/>
          <w:u w:val="single"/>
        </w:rPr>
        <w:t>DISPENSA ELETRÔNICA:</w:t>
      </w:r>
      <w:bookmarkEnd w:id="2"/>
    </w:p>
    <w:p>
      <w:pPr>
        <w:pStyle w:val="ListParagraph"/>
        <w:numPr>
          <w:ilvl w:val="1"/>
          <w:numId w:val="13"/>
        </w:numPr>
        <w:spacing w:lineRule="auto" w:line="276"/>
        <w:ind w:hanging="720" w:left="1134"/>
        <w:rPr>
          <w:rFonts w:cs="Arial"/>
          <w:sz w:val="24"/>
          <w:szCs w:val="24"/>
        </w:rPr>
      </w:pPr>
      <w:r>
        <w:rPr>
          <w:rFonts w:cs="Arial"/>
          <w:sz w:val="24"/>
          <w:szCs w:val="24"/>
        </w:rPr>
        <w:t xml:space="preserve">A </w:t>
      </w:r>
      <w:r>
        <w:rPr>
          <w:rFonts w:cs="Arial"/>
          <w:color w:themeColor="text1" w:val="000000"/>
          <w:sz w:val="24"/>
          <w:szCs w:val="24"/>
        </w:rPr>
        <w:t>participação</w:t>
      </w:r>
      <w:r>
        <w:rPr>
          <w:rFonts w:cs="Arial"/>
          <w:sz w:val="24"/>
          <w:szCs w:val="24"/>
        </w:rPr>
        <w:t xml:space="preserve"> na presente dispensa eletrônica ocorrerá por meio do </w:t>
      </w:r>
      <w:r>
        <w:rPr>
          <w:rFonts w:cs="Arial"/>
          <w:bCs/>
          <w:sz w:val="24"/>
          <w:szCs w:val="24"/>
        </w:rPr>
        <w:t>Sistema de Dispensa Eletrônica, ferramenta informatizada</w:t>
      </w:r>
      <w:r>
        <w:rPr>
          <w:rFonts w:cs="Arial"/>
          <w:sz w:val="24"/>
          <w:szCs w:val="24"/>
        </w:rPr>
        <w:t xml:space="preserve"> integrante do Sistema de Compras do Governo Federal – Compras.gov.br, disponível no </w:t>
      </w:r>
      <w:r>
        <w:rPr>
          <w:rFonts w:cs="Arial"/>
          <w:bCs/>
          <w:sz w:val="24"/>
          <w:szCs w:val="24"/>
        </w:rPr>
        <w:t xml:space="preserve">Portal de Compras do Governo Federal, no endereço eletrônico </w:t>
      </w:r>
      <w:hyperlink r:id="rId5" w:tooltip="http://www.gov.br/compras">
        <w:r>
          <w:rPr>
            <w:rStyle w:val="Hyperlink"/>
            <w:bCs/>
            <w:sz w:val="24"/>
            <w:szCs w:val="24"/>
          </w:rPr>
          <w:t>www.gov.br/compras</w:t>
        </w:r>
      </w:hyperlink>
      <w:r>
        <w:rPr>
          <w:rFonts w:cs="Arial"/>
          <w:bCs/>
          <w:sz w:val="24"/>
          <w:szCs w:val="24"/>
        </w:rPr>
        <w:t>.</w:t>
      </w:r>
    </w:p>
    <w:p>
      <w:pPr>
        <w:pStyle w:val="ListParagraph"/>
        <w:spacing w:lineRule="auto" w:line="276"/>
        <w:ind w:left="1134"/>
        <w:rPr>
          <w:rFonts w:cs="Arial"/>
          <w:sz w:val="24"/>
          <w:szCs w:val="24"/>
        </w:rPr>
      </w:pPr>
      <w:r>
        <w:rPr>
          <w:rFonts w:cs="Arial"/>
          <w:sz w:val="24"/>
          <w:szCs w:val="24"/>
        </w:rPr>
      </w:r>
    </w:p>
    <w:p>
      <w:pPr>
        <w:pStyle w:val="ListParagraph"/>
        <w:numPr>
          <w:ilvl w:val="2"/>
          <w:numId w:val="13"/>
        </w:numPr>
        <w:spacing w:lineRule="auto" w:line="276"/>
        <w:ind w:hanging="720" w:left="1701"/>
        <w:rPr>
          <w:rFonts w:cs="Arial"/>
          <w:sz w:val="24"/>
          <w:szCs w:val="24"/>
        </w:rPr>
      </w:pPr>
      <w:r>
        <w:rPr>
          <w:rFonts w:cs="Arial"/>
          <w:sz w:val="24"/>
          <w:szCs w:val="24"/>
        </w:rPr>
        <w:t xml:space="preserve">O procedimento será divulgado no Compras.gov.br e no </w:t>
      </w:r>
      <w:hyperlink r:id="rId6" w:tooltip="http://www.pncp.gov.br/">
        <w:r>
          <w:rPr>
            <w:rStyle w:val="Hyperlink"/>
            <w:sz w:val="24"/>
            <w:szCs w:val="24"/>
          </w:rPr>
          <w:t>Portal Nacional de Contratações Públicas - PNCP</w:t>
        </w:r>
      </w:hyperlink>
      <w:r>
        <w:rPr>
          <w:rFonts w:cs="Arial"/>
          <w:sz w:val="24"/>
          <w:szCs w:val="24"/>
        </w:rPr>
        <w:t>, e encaminhado automaticamente aos fornecedores registrados no Sistema de Registro Cadastral Unificado - Sicaf, por mensagem eletrônica, na correspondente linha de fornecimento que pretende atender.</w:t>
      </w:r>
    </w:p>
    <w:p>
      <w:pPr>
        <w:pStyle w:val="ListParagraph"/>
        <w:numPr>
          <w:ilvl w:val="2"/>
          <w:numId w:val="13"/>
        </w:numPr>
        <w:spacing w:lineRule="auto" w:line="276"/>
        <w:ind w:hanging="720" w:left="1701"/>
        <w:rPr>
          <w:rStyle w:val="Hyperlink"/>
          <w:rFonts w:cs="Arial"/>
          <w:color w:val="auto"/>
          <w:sz w:val="24"/>
          <w:szCs w:val="24"/>
          <w:u w:val="none"/>
        </w:rPr>
      </w:pPr>
      <w:r>
        <w:rPr>
          <w:rFonts w:cs="Arial"/>
          <w:sz w:val="24"/>
          <w:szCs w:val="24"/>
        </w:rPr>
        <w:t xml:space="preserve">O Compras.gov.br poderá ser acessado pela web ou pelo </w:t>
      </w:r>
      <w:hyperlink r:id="rId7" w:tooltip="https://www.gov.br/compras/pt-br/sistemas/conheca-o-compras/aplicativo-compras">
        <w:r>
          <w:rPr>
            <w:rStyle w:val="Hyperlink"/>
            <w:sz w:val="24"/>
            <w:szCs w:val="24"/>
          </w:rPr>
          <w:t>aplicativo Compras.gov.br.</w:t>
        </w:r>
      </w:hyperlink>
    </w:p>
    <w:p>
      <w:pPr>
        <w:pStyle w:val="ListParagraph"/>
        <w:numPr>
          <w:ilvl w:val="2"/>
          <w:numId w:val="13"/>
        </w:numPr>
        <w:spacing w:lineRule="auto" w:line="276"/>
        <w:ind w:hanging="720" w:left="1701"/>
        <w:rPr>
          <w:rFonts w:cs="Arial"/>
          <w:sz w:val="24"/>
          <w:szCs w:val="24"/>
        </w:rPr>
      </w:pPr>
      <w:r>
        <w:rPr>
          <w:rFonts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2"/>
          <w:numId w:val="13"/>
        </w:numPr>
        <w:spacing w:lineRule="auto" w:line="276"/>
        <w:ind w:hanging="720" w:left="1701"/>
        <w:rPr/>
      </w:pPr>
      <w:r>
        <w:rPr>
          <w:rFonts w:cs="Arial"/>
          <w:i/>
          <w:iCs/>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13"/>
        </w:numPr>
        <w:spacing w:lineRule="auto" w:line="276"/>
        <w:ind w:hanging="720" w:left="1701"/>
        <w:rPr/>
      </w:pPr>
      <w:r>
        <w:rPr>
          <w:rFonts w:cs="Arial"/>
          <w:i/>
          <w:iCs/>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numPr>
          <w:ilvl w:val="1"/>
          <w:numId w:val="13"/>
        </w:numPr>
        <w:spacing w:lineRule="auto" w:line="276"/>
        <w:ind w:hanging="0" w:left="567"/>
        <w:rPr>
          <w:rFonts w:cs="Arial"/>
          <w:sz w:val="24"/>
          <w:szCs w:val="24"/>
        </w:rPr>
      </w:pPr>
      <w:bookmarkStart w:id="5" w:name="_Ref144286315"/>
      <w:r>
        <w:rPr>
          <w:rFonts w:cs="Arial"/>
          <w:sz w:val="24"/>
          <w:szCs w:val="24"/>
        </w:rPr>
        <w:t>Não poderão participar desta dispensa de licitação os fornecedores:</w:t>
      </w:r>
      <w:bookmarkEnd w:id="5"/>
    </w:p>
    <w:p>
      <w:pPr>
        <w:pStyle w:val="Normal"/>
        <w:numPr>
          <w:ilvl w:val="2"/>
          <w:numId w:val="13"/>
        </w:numPr>
        <w:spacing w:lineRule="auto" w:line="276"/>
        <w:ind w:hanging="720" w:left="1843"/>
        <w:rPr>
          <w:rFonts w:cs="Arial"/>
          <w:sz w:val="24"/>
          <w:szCs w:val="24"/>
        </w:rPr>
      </w:pPr>
      <w:r>
        <w:rPr>
          <w:rFonts w:cs="Arial"/>
          <w:sz w:val="24"/>
          <w:szCs w:val="24"/>
        </w:rPr>
        <w:t>que não atendam às condições deste Aviso de Contratação Direta e seu(s) anexo(s);</w:t>
      </w:r>
    </w:p>
    <w:p>
      <w:pPr>
        <w:pStyle w:val="Normal"/>
        <w:numPr>
          <w:ilvl w:val="2"/>
          <w:numId w:val="13"/>
        </w:numPr>
        <w:spacing w:lineRule="auto" w:line="276"/>
        <w:ind w:hanging="720" w:left="1843"/>
        <w:rPr>
          <w:rFonts w:cs="Arial"/>
          <w:sz w:val="24"/>
          <w:szCs w:val="24"/>
        </w:rPr>
      </w:pPr>
      <w:r>
        <w:rPr>
          <w:rFonts w:cs="Arial"/>
          <w:sz w:val="24"/>
          <w:szCs w:val="24"/>
        </w:rPr>
        <w:t>estrangeiros que não tenham representação legal no Brasil com poderes expressos para receber citação e responder administrativa ou judicialmente;</w:t>
      </w:r>
    </w:p>
    <w:p>
      <w:pPr>
        <w:pStyle w:val="Normal"/>
        <w:numPr>
          <w:ilvl w:val="2"/>
          <w:numId w:val="13"/>
        </w:numPr>
        <w:spacing w:lineRule="auto" w:line="276"/>
        <w:ind w:hanging="720" w:left="1843"/>
        <w:rPr>
          <w:rFonts w:cs="Arial"/>
          <w:sz w:val="24"/>
          <w:szCs w:val="24"/>
        </w:rPr>
      </w:pPr>
      <w:r>
        <w:rPr>
          <w:rFonts w:cs="Arial"/>
          <w:sz w:val="24"/>
          <w:szCs w:val="24"/>
        </w:rPr>
        <w:t>que se enquadrem nas seguintes vedações:</w:t>
      </w:r>
    </w:p>
    <w:p>
      <w:pPr>
        <w:pStyle w:val="Normal"/>
        <w:numPr>
          <w:ilvl w:val="0"/>
          <w:numId w:val="0"/>
        </w:numPr>
        <w:spacing w:lineRule="auto" w:line="276"/>
        <w:ind w:hanging="0" w:left="1843"/>
        <w:rPr>
          <w:rFonts w:cs="Arial"/>
          <w:sz w:val="24"/>
          <w:szCs w:val="24"/>
        </w:rPr>
      </w:pPr>
      <w:r>
        <w:rPr>
          <w:rFonts w:cs="Arial"/>
          <w:b/>
          <w:bCs/>
          <w:sz w:val="24"/>
          <w:szCs w:val="24"/>
        </w:rPr>
        <w:t xml:space="preserve">2.2.3.1. </w:t>
      </w:r>
      <w:r>
        <w:rPr>
          <w:rFonts w:cs="Arial"/>
          <w:sz w:val="24"/>
          <w:szCs w:val="24"/>
        </w:rPr>
        <w:t>autor do anteprojeto, do projeto básico ou do projeto executivo, pessoa física ou jurídica, quando a contratação versar sobre obra, serviços ou fornecimento de bens a ele relacionados;</w:t>
      </w:r>
    </w:p>
    <w:p>
      <w:pPr>
        <w:pStyle w:val="Normal"/>
        <w:numPr>
          <w:ilvl w:val="0"/>
          <w:numId w:val="0"/>
        </w:numPr>
        <w:spacing w:lineRule="auto" w:line="276"/>
        <w:ind w:hanging="0" w:left="1800"/>
        <w:rPr>
          <w:rFonts w:cs="Arial"/>
          <w:sz w:val="24"/>
          <w:szCs w:val="24"/>
        </w:rPr>
      </w:pPr>
      <w:r>
        <w:rPr>
          <w:rFonts w:cs="Arial"/>
          <w:b/>
          <w:bCs/>
          <w:sz w:val="24"/>
          <w:szCs w:val="24"/>
        </w:rPr>
        <w:t>2.2.3.2.</w:t>
      </w:r>
      <w:r>
        <w:rPr>
          <w:rFonts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0"/>
        </w:numPr>
        <w:spacing w:lineRule="auto" w:line="276"/>
        <w:ind w:hanging="0" w:left="1800"/>
        <w:rPr>
          <w:rFonts w:cs="Arial"/>
          <w:sz w:val="24"/>
          <w:szCs w:val="24"/>
        </w:rPr>
      </w:pPr>
      <w:r>
        <w:rPr>
          <w:rFonts w:cs="Arial"/>
          <w:b/>
          <w:bCs/>
          <w:sz w:val="24"/>
          <w:szCs w:val="24"/>
        </w:rPr>
        <w:t xml:space="preserve">2.2.3.3. </w:t>
      </w:r>
      <w:r>
        <w:rPr>
          <w:rFonts w:cs="Arial"/>
          <w:sz w:val="24"/>
          <w:szCs w:val="24"/>
        </w:rPr>
        <w:t>pessoa física ou jurídica que se encontre, ao tempo da contratação, impossibilitada de contratar em decorrência de sanção que lhe foi imposta;</w:t>
      </w:r>
    </w:p>
    <w:p>
      <w:pPr>
        <w:pStyle w:val="Normal"/>
        <w:numPr>
          <w:ilvl w:val="0"/>
          <w:numId w:val="0"/>
        </w:numPr>
        <w:spacing w:lineRule="auto" w:line="276"/>
        <w:ind w:hanging="0" w:left="1800"/>
        <w:rPr>
          <w:rFonts w:cs="Arial"/>
          <w:sz w:val="24"/>
          <w:szCs w:val="24"/>
        </w:rPr>
      </w:pPr>
      <w:r>
        <w:rPr>
          <w:rFonts w:cs="Arial"/>
          <w:b/>
          <w:bCs/>
          <w:sz w:val="24"/>
          <w:szCs w:val="24"/>
        </w:rPr>
        <w:t xml:space="preserve">2.2.3.4. </w:t>
      </w:r>
      <w:r>
        <w:rPr>
          <w:rFonts w:cs="Arial"/>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0"/>
          <w:numId w:val="0"/>
        </w:numPr>
        <w:spacing w:lineRule="auto" w:line="276"/>
        <w:ind w:hanging="0" w:left="1800"/>
        <w:rPr>
          <w:rFonts w:cs="Arial"/>
          <w:sz w:val="24"/>
          <w:szCs w:val="24"/>
        </w:rPr>
      </w:pPr>
      <w:r>
        <w:rPr>
          <w:rFonts w:cs="Arial"/>
          <w:b/>
          <w:bCs/>
          <w:sz w:val="24"/>
          <w:szCs w:val="24"/>
        </w:rPr>
        <w:t xml:space="preserve">2.2.3.5. </w:t>
      </w:r>
      <w:r>
        <w:rPr>
          <w:rFonts w:cs="Arial"/>
          <w:sz w:val="24"/>
          <w:szCs w:val="24"/>
        </w:rPr>
        <w:t>empresas controladoras, controladas ou coligadas, nos termos da </w:t>
      </w:r>
      <w:hyperlink r:id="rId8" w:tooltip="http://www.planalto.gov.br/ccivil_03/LEIS/L6404consol.htm">
        <w:r>
          <w:rPr>
            <w:rStyle w:val="Style"/>
            <w:rFonts w:eastAsia="Calibri" w:cs="Arial"/>
            <w:color w:val="auto"/>
            <w:sz w:val="24"/>
            <w:szCs w:val="24"/>
            <w:u w:val="single"/>
          </w:rPr>
          <w:t>Lei nº 6.404, de 15 de dezembro de 1976</w:t>
        </w:r>
      </w:hyperlink>
      <w:r>
        <w:rPr>
          <w:rFonts w:cs="Arial"/>
          <w:sz w:val="24"/>
          <w:szCs w:val="24"/>
        </w:rPr>
        <w:t>, concorrendo entre si;</w:t>
      </w:r>
    </w:p>
    <w:p>
      <w:pPr>
        <w:pStyle w:val="Normal"/>
        <w:numPr>
          <w:ilvl w:val="0"/>
          <w:numId w:val="0"/>
        </w:numPr>
        <w:spacing w:lineRule="auto" w:line="276"/>
        <w:ind w:hanging="0" w:left="1800"/>
        <w:rPr>
          <w:rFonts w:cs="Arial"/>
          <w:sz w:val="24"/>
          <w:szCs w:val="24"/>
        </w:rPr>
      </w:pPr>
      <w:r>
        <w:rPr>
          <w:rFonts w:cs="Arial"/>
          <w:b/>
          <w:bCs/>
          <w:sz w:val="24"/>
          <w:szCs w:val="24"/>
        </w:rPr>
        <w:t>2.2.3.6.</w:t>
      </w:r>
      <w:r>
        <w:rPr>
          <w:rFonts w:cs="Arial"/>
          <w:sz w:val="24"/>
          <w:szCs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0"/>
        </w:numPr>
        <w:spacing w:lineRule="auto" w:line="276"/>
        <w:ind w:hanging="0" w:left="2977"/>
        <w:rPr>
          <w:rFonts w:cs="Arial"/>
          <w:sz w:val="24"/>
          <w:szCs w:val="24"/>
        </w:rPr>
      </w:pPr>
      <w:r>
        <w:rPr>
          <w:rFonts w:cs="Arial"/>
          <w:b/>
          <w:bCs/>
          <w:sz w:val="24"/>
          <w:szCs w:val="24"/>
        </w:rPr>
        <w:t xml:space="preserve">2.2.3.6.1 </w:t>
      </w:r>
      <w:r>
        <w:rPr>
          <w:rFonts w:cs="Arial"/>
          <w:sz w:val="24"/>
          <w:szCs w:val="24"/>
        </w:rPr>
        <w:t>Equiparam-se aos autores do projeto as empresas integrantes do mesmo grupo econômico;</w:t>
      </w:r>
    </w:p>
    <w:p>
      <w:pPr>
        <w:pStyle w:val="Normal"/>
        <w:numPr>
          <w:ilvl w:val="0"/>
          <w:numId w:val="0"/>
        </w:numPr>
        <w:spacing w:lineRule="auto" w:line="276"/>
        <w:ind w:hanging="0" w:left="2977"/>
        <w:rPr>
          <w:rFonts w:cs="Arial"/>
          <w:sz w:val="24"/>
          <w:szCs w:val="24"/>
        </w:rPr>
      </w:pPr>
      <w:r>
        <w:rPr>
          <w:rFonts w:cs="Arial"/>
          <w:b/>
          <w:bCs/>
          <w:sz w:val="24"/>
          <w:szCs w:val="24"/>
        </w:rPr>
        <w:t>2.2.3.6.2.</w:t>
      </w:r>
      <w:r>
        <w:rPr>
          <w:rFonts w:cs="Arial"/>
          <w:sz w:val="24"/>
          <w:szCs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3"/>
        </w:numPr>
        <w:spacing w:lineRule="auto" w:line="276"/>
        <w:ind w:hanging="720" w:left="1843"/>
        <w:rPr>
          <w:rFonts w:cs="Arial"/>
          <w:sz w:val="24"/>
          <w:szCs w:val="24"/>
        </w:rPr>
      </w:pPr>
      <w:r>
        <w:rPr>
          <w:rFonts w:cs="Arial"/>
          <w:sz w:val="24"/>
          <w:szCs w:val="24"/>
        </w:rPr>
        <w:t>Organizações da Sociedade Civil de Interesse Público - OSCIP, atuando nessa condição (Acórdão nº 746/2014-TCU-Plenário); e</w:t>
      </w:r>
    </w:p>
    <w:p>
      <w:pPr>
        <w:pStyle w:val="Normal"/>
        <w:numPr>
          <w:ilvl w:val="0"/>
          <w:numId w:val="0"/>
        </w:numPr>
        <w:spacing w:lineRule="auto" w:line="276"/>
        <w:ind w:hanging="0"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9" w:tooltip="http://www.planalto.gov.br/ccivil_03/_ato2019-2022/2021/lei/L14133.htm#art16&quot; l &quot;art16">
        <w:r>
          <w:rPr>
            <w:rStyle w:val="Style"/>
            <w:rFonts w:cs="Arial"/>
            <w:i/>
            <w:color w:val="auto"/>
            <w:sz w:val="24"/>
            <w:szCs w:val="24"/>
            <w:u w:val="single"/>
          </w:rPr>
          <w:t>art. 16 da Lei nº 14.133, de 2021</w:t>
        </w:r>
      </w:hyperlink>
      <w:r>
        <w:rPr>
          <w:rFonts w:cs="Arial"/>
          <w:i/>
          <w:sz w:val="24"/>
          <w:szCs w:val="24"/>
        </w:rPr>
        <w:t>.</w:t>
      </w:r>
    </w:p>
    <w:p>
      <w:pPr>
        <w:pStyle w:val="Normal"/>
        <w:numPr>
          <w:ilvl w:val="2"/>
          <w:numId w:val="13"/>
        </w:numPr>
        <w:spacing w:lineRule="auto" w:line="276"/>
        <w:ind w:hanging="720"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0" w:tooltip="https://www.planalto.gov.br/ccivil_03/_ato2007-2010/2007/lei/l11488.htm#art34&quot; l &quot;art34">
        <w:r>
          <w:rPr>
            <w:rStyle w:val="Style"/>
            <w:rFonts w:cs="Arial"/>
            <w:i/>
            <w:iCs/>
            <w:color w:val="auto"/>
            <w:sz w:val="24"/>
            <w:szCs w:val="24"/>
            <w:u w:val="single"/>
          </w:rPr>
          <w:t>no art. 34 da Lei n.º 11.488, de 15 de junho de 2007</w:t>
        </w:r>
      </w:hyperlink>
      <w:r>
        <w:rPr>
          <w:rFonts w:cs="Arial"/>
          <w:i/>
          <w:iCs/>
          <w:sz w:val="24"/>
          <w:szCs w:val="24"/>
        </w:rPr>
        <w:t>.</w:t>
      </w:r>
    </w:p>
    <w:p>
      <w:pPr>
        <w:pStyle w:val="Normal"/>
        <w:numPr>
          <w:ilvl w:val="2"/>
          <w:numId w:val="13"/>
        </w:numPr>
        <w:spacing w:lineRule="auto" w:line="276"/>
        <w:ind w:hanging="720" w:left="1843"/>
        <w:rPr>
          <w:rFonts w:cs="Arial"/>
          <w:i/>
          <w:iCs/>
          <w:sz w:val="24"/>
          <w:szCs w:val="24"/>
        </w:rPr>
      </w:pPr>
      <w:r>
        <w:rPr>
          <w:rFonts w:cs="Arial"/>
          <w:bCs/>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tooltip="http://www.planalto.gov.br/ccivil_03/_ato2019-2022/2021/lei/L14133.htm#art9§1&quot; l &quot;art9§1">
        <w:r>
          <w:rPr>
            <w:rStyle w:val="Style"/>
            <w:rFonts w:cs="Arial"/>
            <w:bCs/>
            <w:color w:val="auto"/>
            <w:sz w:val="24"/>
            <w:szCs w:val="24"/>
            <w:u w:val="single"/>
          </w:rPr>
          <w:t>§ 1º do art. 9º da Lei n.º 14.133, de 2021</w:t>
        </w:r>
      </w:hyperlink>
      <w:r>
        <w:rPr>
          <w:rFonts w:cs="Arial"/>
          <w:bCs/>
          <w:sz w:val="24"/>
          <w:szCs w:val="24"/>
        </w:rPr>
        <w:t>.</w:t>
      </w:r>
      <w:bookmarkStart w:id="6" w:name="_Ref117000692"/>
    </w:p>
    <w:p>
      <w:pPr>
        <w:pStyle w:val="BodyText"/>
        <w:numPr>
          <w:ilvl w:val="0"/>
          <w:numId w:val="13"/>
        </w:numPr>
        <w:spacing w:lineRule="atLeast" w:line="280" w:before="120" w:after="240"/>
        <w:rPr>
          <w:b/>
          <w:sz w:val="24"/>
          <w:szCs w:val="24"/>
          <w:u w:val="single"/>
        </w:rPr>
      </w:pPr>
      <w:bookmarkStart w:id="7" w:name="_Toc142925863"/>
      <w:r>
        <w:rPr>
          <w:b/>
          <w:sz w:val="24"/>
          <w:szCs w:val="24"/>
          <w:u w:val="single"/>
        </w:rPr>
        <w:t>INGRESSO NA DISPENSA ELETRÔNICA E CADASTRAMENTO DA PROPOSTA INICIAL</w:t>
      </w:r>
      <w:bookmarkEnd w:id="7"/>
      <w:r>
        <w:rPr>
          <w:b/>
          <w:sz w:val="24"/>
          <w:szCs w:val="24"/>
          <w:u w:val="single"/>
        </w:rPr>
        <w:t>:</w:t>
      </w:r>
      <w:bookmarkEnd w:id="6"/>
    </w:p>
    <w:p>
      <w:pPr>
        <w:pStyle w:val="BodyText"/>
        <w:numPr>
          <w:ilvl w:val="1"/>
          <w:numId w:val="13"/>
        </w:numPr>
        <w:spacing w:lineRule="atLeast" w:line="280" w:before="120" w:after="240"/>
        <w:ind w:hanging="720" w:left="1134"/>
        <w:rPr>
          <w:b/>
          <w:sz w:val="24"/>
          <w:szCs w:val="24"/>
          <w:u w:val="single"/>
        </w:rPr>
      </w:pPr>
      <w:r>
        <w:rPr>
          <w:sz w:val="24"/>
          <w:szCs w:val="24"/>
        </w:rPr>
        <w:t>O ingresso do fornecedor na disputa da dispensa eletrônica ocorrerá com o cadastramento de sua proposta inicial, na forma deste item.</w:t>
      </w:r>
    </w:p>
    <w:p>
      <w:pPr>
        <w:pStyle w:val="BodyText"/>
        <w:numPr>
          <w:ilvl w:val="1"/>
          <w:numId w:val="13"/>
        </w:numPr>
        <w:spacing w:lineRule="atLeast" w:line="280" w:before="120" w:after="240"/>
        <w:ind w:hanging="720" w:left="1134"/>
        <w:rPr>
          <w:b/>
          <w:sz w:val="24"/>
          <w:szCs w:val="24"/>
          <w:u w:val="single"/>
        </w:rPr>
      </w:pPr>
      <w:r>
        <w:rPr>
          <w:color w:themeColor="text1"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Pr>
          <w:sz w:val="24"/>
          <w:szCs w:val="24"/>
        </w:rPr>
        <w:t>.</w:t>
      </w:r>
    </w:p>
    <w:p>
      <w:pPr>
        <w:pStyle w:val="BodyText"/>
        <w:numPr>
          <w:ilvl w:val="2"/>
          <w:numId w:val="13"/>
        </w:numPr>
        <w:spacing w:lineRule="atLeast" w:line="280" w:before="120" w:after="240"/>
        <w:ind w:hanging="720" w:left="1843"/>
        <w:rPr/>
      </w:pPr>
      <w:r>
        <w:rPr>
          <w:iCs/>
          <w:sz w:val="24"/>
          <w:szCs w:val="24"/>
        </w:rPr>
        <w:t xml:space="preserve">O fornecedor </w:t>
      </w:r>
      <w:r>
        <w:rPr>
          <w:b/>
          <w:iCs/>
          <w:sz w:val="24"/>
          <w:szCs w:val="24"/>
        </w:rPr>
        <w:t>NÃO</w:t>
      </w:r>
      <w:r>
        <w:rPr>
          <w:iCs/>
          <w:sz w:val="24"/>
          <w:szCs w:val="24"/>
        </w:rPr>
        <w:t xml:space="preserve"> poderá oferecer proposta em quantitativo inferior ao máximo previsto para contratação.</w:t>
      </w:r>
    </w:p>
    <w:p>
      <w:pPr>
        <w:pStyle w:val="BodyText"/>
        <w:numPr>
          <w:ilvl w:val="2"/>
          <w:numId w:val="13"/>
        </w:numPr>
        <w:spacing w:lineRule="atLeast" w:line="280" w:before="120" w:after="240"/>
        <w:ind w:hanging="720" w:left="1843"/>
        <w:rPr>
          <w:b/>
        </w:rPr>
      </w:pPr>
      <w:r>
        <w:rPr>
          <w:b/>
          <w:iCs/>
          <w:sz w:val="24"/>
          <w:szCs w:val="24"/>
        </w:rPr>
        <w:t>Não será admitida a previsão de preços diferentes em razão de local de entrega ou de acondicionamento, tamanho de lote ou qualquer outro motivo.</w:t>
      </w:r>
    </w:p>
    <w:p>
      <w:pPr>
        <w:pStyle w:val="ListParagraph"/>
        <w:numPr>
          <w:ilvl w:val="1"/>
          <w:numId w:val="13"/>
        </w:numPr>
        <w:spacing w:lineRule="auto" w:line="276"/>
        <w:rPr>
          <w:rFonts w:cs="Arial"/>
          <w:sz w:val="24"/>
          <w:szCs w:val="24"/>
        </w:rPr>
      </w:pPr>
      <w:r>
        <w:rPr>
          <w:rFonts w:cs="Arial"/>
          <w:sz w:val="24"/>
          <w:szCs w:val="24"/>
        </w:rPr>
        <w:t>Todas as especificações do objeto contidas na proposta, em especial o preço ou o desconto ofertados, vinculam a Contratada.</w:t>
      </w:r>
    </w:p>
    <w:p>
      <w:pPr>
        <w:pStyle w:val="Normal"/>
        <w:numPr>
          <w:ilvl w:val="1"/>
          <w:numId w:val="13"/>
        </w:numPr>
        <w:tabs>
          <w:tab w:val="clear" w:pos="720"/>
          <w:tab w:val="left" w:pos="1985" w:leader="none"/>
        </w:tabs>
        <w:spacing w:lineRule="auto" w:line="276"/>
        <w:ind w:hanging="0" w:left="1134"/>
        <w:rPr>
          <w:rFonts w:cs="Arial"/>
          <w:sz w:val="24"/>
          <w:szCs w:val="24"/>
        </w:rPr>
      </w:pPr>
      <w:r>
        <w:rPr>
          <w:rFonts w:cs="Arial"/>
          <w:sz w:val="24"/>
          <w:szCs w:val="24"/>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3"/>
        </w:numPr>
        <w:spacing w:lineRule="auto" w:line="276"/>
        <w:ind w:hanging="720" w:left="2694"/>
        <w:rPr>
          <w:rFonts w:cs="Arial"/>
          <w:sz w:val="24"/>
          <w:szCs w:val="24"/>
        </w:rPr>
      </w:pPr>
      <w:r>
        <w:rPr>
          <w:rFonts w:cs="Arial"/>
          <w:sz w:val="24"/>
          <w:szCs w:val="24"/>
        </w:rPr>
        <w:t xml:space="preserve"> </w:t>
      </w:r>
      <w:r>
        <w:rPr>
          <w:rFonts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3"/>
        </w:numPr>
        <w:spacing w:lineRule="auto" w:line="276"/>
        <w:rPr>
          <w:rFonts w:cs="Arial"/>
          <w:sz w:val="24"/>
          <w:szCs w:val="24"/>
        </w:rPr>
      </w:pPr>
      <w:r>
        <w:rPr>
          <w:rFonts w:cs="Arial"/>
          <w:sz w:val="24"/>
          <w:szCs w:val="24"/>
        </w:rPr>
        <w:t>Os preços ofertados, na proposta, serão de exclusiva responsabilidade do fornecedor, não lhe assistindo o direito de pleitear qualquer alteração, sob alegação de erro, omissão ou qualquer outro pretexto.</w:t>
      </w:r>
    </w:p>
    <w:p>
      <w:pPr>
        <w:pStyle w:val="Normal"/>
        <w:numPr>
          <w:ilvl w:val="1"/>
          <w:numId w:val="13"/>
        </w:numPr>
        <w:spacing w:lineRule="auto" w:line="276"/>
        <w:ind w:hanging="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3"/>
        </w:numPr>
        <w:spacing w:lineRule="auto" w:line="276"/>
        <w:ind w:hanging="0" w:left="425"/>
        <w:rPr>
          <w:rFonts w:cs="Arial"/>
          <w:sz w:val="24"/>
          <w:szCs w:val="24"/>
        </w:rPr>
      </w:pPr>
      <w:r>
        <w:rPr>
          <w:rFonts w:cs="Arial"/>
          <w:sz w:val="24"/>
          <w:szCs w:val="24"/>
        </w:rPr>
        <w:t>Independentemente do percentual do tributo que constar da planilha, no pagamento serão retidos na fonte os percentuais estabelecidos pela legislação vigente.</w:t>
      </w:r>
    </w:p>
    <w:p>
      <w:pPr>
        <w:pStyle w:val="Normal"/>
        <w:numPr>
          <w:ilvl w:val="1"/>
          <w:numId w:val="13"/>
        </w:numPr>
        <w:spacing w:lineRule="auto" w:line="276"/>
        <w:ind w:hanging="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Termo de Referência</w:t>
      </w:r>
      <w:r>
        <w:rPr>
          <w:rFonts w:cs="Arial"/>
          <w:i/>
          <w:sz w:val="24"/>
          <w:szCs w:val="24"/>
        </w:rPr>
        <w:t>, Projeto Básico e Projeto Executivo</w:t>
      </w:r>
      <w:r>
        <w:rPr>
          <w:rFonts w:cs="Arial"/>
          <w:sz w:val="24"/>
          <w:szCs w:val="24"/>
        </w:rPr>
        <w:t>, assumindo o proponente o compromisso de executar os serviços/entregar o objeto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3"/>
        </w:numPr>
        <w:spacing w:lineRule="auto" w:line="276"/>
        <w:ind w:hanging="0" w:left="425"/>
        <w:rPr>
          <w:rFonts w:cs="Arial"/>
          <w:color w:themeColor="text1" w:val="000000"/>
          <w:sz w:val="24"/>
          <w:szCs w:val="24"/>
        </w:rPr>
      </w:pPr>
      <w:r>
        <w:rPr>
          <w:rFonts w:cs="Arial"/>
          <w:sz w:val="24"/>
          <w:szCs w:val="24"/>
        </w:rPr>
        <w:t>O prazo de validade da proposta não será inferior a 60 (sessenta) dias</w:t>
      </w:r>
      <w:r>
        <w:rPr>
          <w:rFonts w:cs="Arial"/>
          <w:b/>
          <w:bCs/>
          <w:sz w:val="24"/>
          <w:szCs w:val="24"/>
        </w:rPr>
        <w:t>,</w:t>
      </w:r>
      <w:r>
        <w:rPr>
          <w:rFonts w:cs="Arial"/>
          <w:sz w:val="24"/>
          <w:szCs w:val="24"/>
        </w:rPr>
        <w:t xml:space="preserve"> a contar da data de sua apresentação.</w:t>
      </w:r>
    </w:p>
    <w:p>
      <w:pPr>
        <w:pStyle w:val="ListParagraph"/>
        <w:numPr>
          <w:ilvl w:val="1"/>
          <w:numId w:val="13"/>
        </w:numPr>
        <w:tabs>
          <w:tab w:val="clear" w:pos="720"/>
          <w:tab w:val="left" w:pos="1440" w:leader="none"/>
        </w:tabs>
        <w:spacing w:lineRule="auto" w:line="276"/>
        <w:ind w:hanging="720" w:left="1134"/>
        <w:rPr>
          <w:rFonts w:cs="Arial"/>
          <w:bCs/>
          <w:vanish/>
          <w:color w:themeColor="text1" w:val="000000"/>
          <w:sz w:val="24"/>
          <w:szCs w:val="24"/>
        </w:rPr>
      </w:pPr>
      <w:r>
        <w:rPr>
          <w:rFonts w:cs="Arial"/>
          <w:color w:themeColor="text1" w:val="000000"/>
          <w:sz w:val="24"/>
          <w:szCs w:val="24"/>
        </w:rPr>
        <w:t>No cadastramento da proposta inicial, o fornecedor deverá, também, assinalar Termo de Aceitação, em campo próprio do sistema eletrônico, relativo às seguintes declarações:</w:t>
      </w:r>
      <w:r>
        <w:rPr>
          <w:rFonts w:eastAsia="Zurich BT" w:cs="Arial"/>
          <w:color w:themeColor="text1" w:val="000000"/>
          <w:sz w:val="24"/>
          <w:szCs w:val="24"/>
        </w:rPr>
        <w:t xml:space="preserve"> </w:t>
      </w:r>
    </w:p>
    <w:p>
      <w:pPr>
        <w:pStyle w:val="ListParagraph"/>
        <w:numPr>
          <w:ilvl w:val="2"/>
          <w:numId w:val="14"/>
        </w:numPr>
        <w:tabs>
          <w:tab w:val="clear" w:pos="720"/>
          <w:tab w:val="left" w:pos="1440" w:leader="none"/>
        </w:tabs>
        <w:spacing w:lineRule="auto" w:line="276"/>
        <w:ind w:hanging="720" w:left="1701"/>
        <w:rPr>
          <w:rFonts w:cs="Arial"/>
          <w:color w:themeColor="text1" w:val="000000"/>
          <w:sz w:val="24"/>
          <w:szCs w:val="24"/>
        </w:rPr>
      </w:pPr>
      <w:r>
        <w:rPr>
          <w:rFonts w:cs="Arial"/>
          <w:color w:themeColor="text1" w:val="000000"/>
          <w:sz w:val="24"/>
          <w:szCs w:val="24"/>
        </w:rPr>
        <w:t>que inexistem fatos impeditivos para sua habilitação no certame, ciente da obrigatoriedade de declarar ocorrências posteriores;</w:t>
      </w:r>
    </w:p>
    <w:p>
      <w:pPr>
        <w:pStyle w:val="ListParagraph"/>
        <w:widowControl/>
        <w:numPr>
          <w:ilvl w:val="0"/>
          <w:numId w:val="0"/>
        </w:numPr>
        <w:tabs>
          <w:tab w:val="clear" w:pos="720"/>
          <w:tab w:val="left" w:pos="1020" w:leader="none"/>
        </w:tabs>
        <w:bidi w:val="0"/>
        <w:spacing w:lineRule="auto" w:line="276" w:before="120" w:after="120"/>
        <w:ind w:hanging="0" w:left="964" w:right="0"/>
        <w:contextualSpacing/>
        <w:jc w:val="both"/>
        <w:rPr>
          <w:rFonts w:cs="Arial"/>
          <w:color w:themeColor="text1" w:val="000000"/>
          <w:sz w:val="24"/>
          <w:szCs w:val="24"/>
        </w:rPr>
      </w:pPr>
      <w:r>
        <w:rPr>
          <w:rFonts w:cs="Arial"/>
          <w:b/>
          <w:bCs/>
          <w:color w:themeColor="text1" w:val="000000"/>
          <w:sz w:val="24"/>
          <w:szCs w:val="24"/>
        </w:rPr>
        <w:t>3.9.1</w:t>
      </w:r>
      <w:r>
        <w:rPr>
          <w:rFonts w:cs="Arial"/>
          <w:color w:themeColor="text1" w:val="000000"/>
          <w:sz w:val="24"/>
          <w:szCs w:val="24"/>
        </w:rPr>
        <w:t>. que está ciente e concorda com as condições contidas no Aviso de Contratação Direta e seus anexos;</w:t>
      </w:r>
    </w:p>
    <w:p>
      <w:pPr>
        <w:pStyle w:val="ListParagraph"/>
        <w:numPr>
          <w:ilvl w:val="2"/>
          <w:numId w:val="14"/>
        </w:numPr>
        <w:tabs>
          <w:tab w:val="clear" w:pos="720"/>
          <w:tab w:val="left" w:pos="1440" w:leader="none"/>
        </w:tabs>
        <w:spacing w:lineRule="auto" w:line="276"/>
        <w:ind w:hanging="720" w:left="1701"/>
        <w:rPr>
          <w:rFonts w:cs="Arial"/>
          <w:color w:themeColor="text1" w:val="000000"/>
          <w:sz w:val="24"/>
          <w:szCs w:val="24"/>
        </w:rPr>
      </w:pPr>
      <w:r>
        <w:rPr>
          <w:rFonts w:cs="Arial"/>
          <w:color w:themeColor="text1" w:val="000000"/>
          <w:sz w:val="24"/>
          <w:szCs w:val="24"/>
        </w:rPr>
        <w:t>que se responsabiliza pelas transações que forem efetuadas no sistema, assumindo-as como firmes e verdadeiras;</w:t>
      </w:r>
    </w:p>
    <w:p>
      <w:pPr>
        <w:pStyle w:val="ListParagraph"/>
        <w:numPr>
          <w:ilvl w:val="2"/>
          <w:numId w:val="14"/>
        </w:numPr>
        <w:tabs>
          <w:tab w:val="clear" w:pos="720"/>
          <w:tab w:val="left" w:pos="1440" w:leader="none"/>
        </w:tabs>
        <w:spacing w:lineRule="auto" w:line="276"/>
        <w:ind w:hanging="720" w:left="1701"/>
        <w:rPr>
          <w:rFonts w:cs="Arial"/>
          <w:color w:themeColor="text1" w:val="000000"/>
          <w:sz w:val="24"/>
          <w:szCs w:val="24"/>
        </w:rPr>
      </w:pPr>
      <w:r>
        <w:rPr>
          <w:rFonts w:cs="Arial"/>
          <w:color w:themeColor="text1" w:val="000000"/>
          <w:sz w:val="24"/>
          <w:szCs w:val="24"/>
        </w:rPr>
        <w:t xml:space="preserve">que cumpre as exigências de reserva de cargos para pessoa com deficiência e para reabilitado da Previdência Social, de que trata </w:t>
      </w:r>
      <w:hyperlink r:id="rId12" w:tooltip="https://www.planalto.gov.br/ccivil_03/leis/l8213cons.htm#art93&quot; l &quot;art93">
        <w:r>
          <w:rPr>
            <w:rStyle w:val="Hyperlink"/>
            <w:rFonts w:cs="Arial"/>
            <w:sz w:val="24"/>
            <w:szCs w:val="24"/>
          </w:rPr>
          <w:t>o art. 93 da Lei nº 8.213/91</w:t>
        </w:r>
      </w:hyperlink>
      <w:r>
        <w:rPr>
          <w:rFonts w:cs="Arial"/>
          <w:color w:themeColor="text1" w:val="000000"/>
          <w:sz w:val="24"/>
          <w:szCs w:val="24"/>
        </w:rPr>
        <w:t>.</w:t>
      </w:r>
    </w:p>
    <w:p>
      <w:pPr>
        <w:pStyle w:val="ListParagraph"/>
        <w:numPr>
          <w:ilvl w:val="2"/>
          <w:numId w:val="14"/>
        </w:numPr>
        <w:tabs>
          <w:tab w:val="clear" w:pos="720"/>
          <w:tab w:val="left" w:pos="1440" w:leader="none"/>
        </w:tabs>
        <w:spacing w:lineRule="auto" w:line="276"/>
        <w:ind w:hanging="720" w:left="1701"/>
        <w:rPr>
          <w:rFonts w:cs="Arial"/>
          <w:color w:themeColor="text1" w:val="000000"/>
          <w:sz w:val="24"/>
          <w:szCs w:val="24"/>
        </w:rPr>
      </w:pPr>
      <w:r>
        <w:rPr>
          <w:rFonts w:cs="Arial"/>
          <w:color w:themeColor="text1" w:val="000000"/>
          <w:sz w:val="24"/>
          <w:szCs w:val="24"/>
        </w:rPr>
        <w:t xml:space="preserve">que não emprega menor de 18 anos em trabalho noturno, perigoso ou insalubre e não emprega menor de 16 anos, salvo menor, a partir de 14 anos, na condição de aprendiz, nos termos do </w:t>
      </w:r>
      <w:hyperlink r:id="rId13" w:tooltip="https://normas.leg.br/?urn=urn:lex:br:federal:constituicao:1988-10-05;1988#art7&quot; l &quot;art7">
        <w:r>
          <w:rPr>
            <w:rStyle w:val="Hyperlink"/>
            <w:rFonts w:cs="Arial"/>
            <w:sz w:val="24"/>
            <w:szCs w:val="24"/>
          </w:rPr>
          <w:t>artigo 7°, XXXIII, da Constituição</w:t>
        </w:r>
      </w:hyperlink>
      <w:r>
        <w:rPr>
          <w:rFonts w:cs="Arial"/>
          <w:color w:themeColor="text1" w:val="000000"/>
          <w:sz w:val="24"/>
          <w:szCs w:val="24"/>
        </w:rPr>
        <w:t>;</w:t>
      </w:r>
    </w:p>
    <w:p>
      <w:pPr>
        <w:pStyle w:val="ListParagraph"/>
        <w:numPr>
          <w:ilvl w:val="1"/>
          <w:numId w:val="14"/>
        </w:numPr>
        <w:tabs>
          <w:tab w:val="clear" w:pos="720"/>
          <w:tab w:val="left" w:pos="1440" w:leader="none"/>
        </w:tabs>
        <w:spacing w:lineRule="auto" w:line="276"/>
        <w:ind w:hanging="720" w:left="1134"/>
        <w:rPr>
          <w:rStyle w:val="Hyperlink"/>
          <w:rFonts w:cs="Arial"/>
          <w:color w:themeColor="text1" w:val="000000"/>
          <w:sz w:val="24"/>
          <w:szCs w:val="24"/>
          <w:u w:val="none"/>
        </w:rPr>
      </w:pPr>
      <w:r>
        <w:rPr>
          <w:rFonts w:cs="Arial"/>
          <w:color w:themeColor="text1" w:val="000000"/>
          <w:sz w:val="24"/>
          <w:szCs w:val="24"/>
        </w:rPr>
        <w:t xml:space="preserve">O fornecedor organizado em cooperativa deverá declarar, ainda, em campo próprio do sistema eletrônico, que cumpre os requisitos estabelecidos no </w:t>
      </w:r>
      <w:hyperlink r:id="rId14" w:tooltip="http://www.planalto.gov.br/ccivil_03/_ato2019-2022/2021/lei/L14133.htm#art16&quot; l &quot;art16">
        <w:r>
          <w:rPr>
            <w:rStyle w:val="Hyperlink"/>
            <w:rFonts w:cs="Arial"/>
            <w:sz w:val="24"/>
            <w:szCs w:val="24"/>
          </w:rPr>
          <w:t>artigo 16 da Lei nº 14.133, de 2021.</w:t>
        </w:r>
      </w:hyperlink>
    </w:p>
    <w:p>
      <w:pPr>
        <w:pStyle w:val="ListParagraph"/>
        <w:numPr>
          <w:ilvl w:val="1"/>
          <w:numId w:val="14"/>
        </w:numPr>
        <w:tabs>
          <w:tab w:val="clear" w:pos="720"/>
          <w:tab w:val="left" w:pos="1440" w:leader="none"/>
        </w:tabs>
        <w:spacing w:lineRule="auto" w:line="276"/>
        <w:ind w:hanging="720" w:left="1134"/>
        <w:rPr>
          <w:rStyle w:val="Hyperlink"/>
          <w:rFonts w:cs="Arial"/>
          <w:color w:themeColor="text1" w:val="000000"/>
          <w:sz w:val="24"/>
          <w:szCs w:val="24"/>
          <w:u w:val="none"/>
        </w:rPr>
      </w:pPr>
      <w:r>
        <w:rPr>
          <w:rFonts w:cs="Arial"/>
          <w:color w:themeColor="text1"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tooltip="https://www.planalto.gov.br/ccivil_03/leis/lcp/lcp123.htm#art3&quot; l &quot;art3">
        <w:r>
          <w:rPr>
            <w:rStyle w:val="Hyperlink"/>
            <w:rFonts w:cs="Arial"/>
            <w:sz w:val="24"/>
            <w:szCs w:val="24"/>
          </w:rPr>
          <w:t>artigo 3° da Lei Complementar nº 123, de 2006</w:t>
        </w:r>
      </w:hyperlink>
      <w:r>
        <w:rPr>
          <w:rFonts w:cs="Arial"/>
          <w:color w:themeColor="text1" w:val="000000"/>
          <w:sz w:val="24"/>
          <w:szCs w:val="24"/>
        </w:rPr>
        <w:t xml:space="preserve">, estando apto a usufruir do tratamento favorecido estabelecido em seus arts. 42 a 49, observado o disposto nos </w:t>
      </w:r>
      <w:hyperlink r:id="rId16" w:tooltip="http://www.planalto.gov.br/ccivil_03/_ato2019-2022/2021/lei/L14133.htm#art4§1&quot; l &quot;art4§1">
        <w:r>
          <w:rPr>
            <w:rStyle w:val="Hyperlink"/>
            <w:rFonts w:cs="Arial"/>
            <w:sz w:val="24"/>
            <w:szCs w:val="24"/>
          </w:rPr>
          <w:t>§§ 1º ao 3º do art. 4º, da Lei n.º 14.133, de 2021.</w:t>
        </w:r>
      </w:hyperlink>
    </w:p>
    <w:p>
      <w:pPr>
        <w:pStyle w:val="ListParagraph"/>
        <w:numPr>
          <w:ilvl w:val="1"/>
          <w:numId w:val="14"/>
        </w:numPr>
        <w:tabs>
          <w:tab w:val="clear" w:pos="720"/>
          <w:tab w:val="left" w:pos="1440" w:leader="none"/>
        </w:tabs>
        <w:spacing w:lineRule="auto" w:line="276"/>
        <w:ind w:hanging="720" w:left="1134"/>
        <w:rPr>
          <w:rFonts w:cs="Arial"/>
          <w:color w:themeColor="text1" w:val="000000"/>
          <w:sz w:val="24"/>
          <w:szCs w:val="24"/>
        </w:rPr>
      </w:pPr>
      <w:r>
        <w:rPr>
          <w:rFonts w:cs="Arial"/>
          <w:i/>
          <w:color w:themeColor="text1" w:val="000000"/>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ListParagraph"/>
        <w:numPr>
          <w:ilvl w:val="2"/>
          <w:numId w:val="14"/>
        </w:numPr>
        <w:tabs>
          <w:tab w:val="clear" w:pos="720"/>
          <w:tab w:val="left" w:pos="1440" w:leader="none"/>
        </w:tabs>
        <w:spacing w:lineRule="auto" w:line="276"/>
        <w:ind w:hanging="720" w:left="1843"/>
        <w:rPr>
          <w:rFonts w:cs="Arial"/>
          <w:color w:themeColor="text1" w:val="000000"/>
          <w:sz w:val="24"/>
          <w:szCs w:val="24"/>
        </w:rPr>
      </w:pPr>
      <w:r>
        <w:rPr>
          <w:rFonts w:cs="Arial"/>
          <w:i/>
          <w:color w:themeColor="text1" w:val="000000"/>
          <w:sz w:val="24"/>
          <w:szCs w:val="24"/>
        </w:rPr>
        <w:t xml:space="preserve">Feita essa opção os lances serão enviados automaticamente pelo sistema, respeitados os limites cadastrados pelo fornecedor e o intervalo mínimo entre lances previsto neste aviso. </w:t>
      </w:r>
    </w:p>
    <w:p>
      <w:pPr>
        <w:pStyle w:val="ListParagraph"/>
        <w:numPr>
          <w:ilvl w:val="3"/>
          <w:numId w:val="14"/>
        </w:numPr>
        <w:tabs>
          <w:tab w:val="clear" w:pos="720"/>
          <w:tab w:val="left" w:pos="1440" w:leader="none"/>
        </w:tabs>
        <w:spacing w:lineRule="auto" w:line="276"/>
        <w:ind w:hanging="1080" w:left="2977"/>
        <w:rPr>
          <w:rFonts w:cs="Arial"/>
          <w:color w:themeColor="text1" w:val="000000"/>
          <w:sz w:val="24"/>
          <w:szCs w:val="24"/>
        </w:rPr>
      </w:pPr>
      <w:r>
        <w:rPr>
          <w:rFonts w:cs="Arial"/>
          <w:i/>
          <w:color w:themeColor="text1" w:val="000000"/>
          <w:sz w:val="24"/>
          <w:szCs w:val="24"/>
        </w:rPr>
        <w:t>Sem prejuízo do disposto acima, os lances poderão ser enviados manualmente, na forma da seção respectiva deste Aviso de Contratação Direta;</w:t>
      </w:r>
    </w:p>
    <w:p>
      <w:pPr>
        <w:pStyle w:val="ListParagraph"/>
        <w:numPr>
          <w:ilvl w:val="2"/>
          <w:numId w:val="14"/>
        </w:numPr>
        <w:spacing w:lineRule="auto" w:line="276"/>
        <w:ind w:hanging="720" w:left="1843"/>
        <w:rPr>
          <w:rFonts w:cs="Arial"/>
          <w:i/>
          <w:color w:themeColor="text1" w:val="000000"/>
          <w:sz w:val="24"/>
          <w:szCs w:val="24"/>
        </w:rPr>
      </w:pPr>
      <w:r>
        <w:rPr>
          <w:rFonts w:cs="Arial"/>
          <w:i/>
          <w:color w:themeColor="text1" w:val="000000"/>
          <w:sz w:val="24"/>
          <w:szCs w:val="24"/>
        </w:rPr>
        <w:t>O valor final mínimo poderá ser alterado pelo fornecedor durante a fase de disputa, desde que não assuma valor superior a lance já registrado por ele no sistema.</w:t>
      </w:r>
    </w:p>
    <w:p>
      <w:pPr>
        <w:pStyle w:val="ListParagraph"/>
        <w:numPr>
          <w:ilvl w:val="2"/>
          <w:numId w:val="14"/>
        </w:numPr>
        <w:spacing w:lineRule="auto" w:line="276"/>
        <w:ind w:hanging="720" w:left="1843"/>
        <w:rPr>
          <w:rFonts w:cs="Arial"/>
          <w:i/>
          <w:color w:themeColor="text1" w:val="000000"/>
          <w:sz w:val="24"/>
          <w:szCs w:val="24"/>
        </w:rPr>
      </w:pPr>
      <w:r>
        <w:rPr>
          <w:rFonts w:cs="Arial"/>
          <w:i/>
          <w:color w:themeColor="text1"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ListParagraph"/>
        <w:numPr>
          <w:ilvl w:val="0"/>
          <w:numId w:val="0"/>
        </w:numPr>
        <w:spacing w:lineRule="auto" w:line="276"/>
        <w:ind w:hanging="0" w:left="0"/>
        <w:rPr>
          <w:rFonts w:cs="Arial"/>
          <w:i/>
          <w:color w:themeColor="text1" w:val="000000"/>
          <w:sz w:val="24"/>
          <w:szCs w:val="24"/>
        </w:rPr>
      </w:pPr>
      <w:r>
        <w:rPr>
          <w:rFonts w:cs="Arial"/>
          <w:b/>
          <w:bCs/>
          <w:i/>
          <w:color w:themeColor="text1" w:val="000000"/>
          <w:sz w:val="24"/>
          <w:szCs w:val="24"/>
        </w:rPr>
        <w:t>3.13.</w:t>
      </w:r>
      <w:r>
        <w:rPr>
          <w:rFonts w:cs="Arial"/>
          <w:i/>
          <w:color w:themeColor="text1" w:val="000000"/>
          <w:sz w:val="24"/>
          <w:szCs w:val="24"/>
        </w:rPr>
        <w:t xml:space="preserve"> </w:t>
      </w:r>
      <w:bookmarkStart w:id="8" w:name="_Toc142925864"/>
      <w:r>
        <w:rPr>
          <w:rFonts w:cs="Arial"/>
          <w:sz w:val="24"/>
          <w:szCs w:val="24"/>
        </w:rPr>
        <w:t>FASE DE LANCES</w:t>
      </w:r>
      <w:bookmarkEnd w:id="8"/>
      <w:r>
        <w:rPr>
          <w:rFonts w:cs="Arial"/>
          <w:sz w:val="24"/>
          <w:szCs w:val="24"/>
        </w:rPr>
        <w:t>:</w:t>
      </w:r>
    </w:p>
    <w:p>
      <w:pPr>
        <w:pStyle w:val="ListParagraph"/>
        <w:numPr>
          <w:ilvl w:val="0"/>
          <w:numId w:val="0"/>
        </w:numPr>
        <w:spacing w:lineRule="auto" w:line="276"/>
        <w:ind w:hanging="0" w:left="993"/>
        <w:rPr>
          <w:rFonts w:cs="Arial"/>
          <w:sz w:val="24"/>
          <w:szCs w:val="24"/>
          <w:lang w:eastAsia="en-US"/>
        </w:rPr>
      </w:pPr>
      <w:r>
        <w:rPr>
          <w:rFonts w:cs="Arial"/>
          <w:b/>
          <w:bCs/>
          <w:color w:themeColor="text1" w:val="000000"/>
          <w:sz w:val="24"/>
          <w:szCs w:val="24"/>
          <w:lang w:eastAsia="en-US"/>
        </w:rPr>
        <w:t>3.13.1.</w:t>
      </w:r>
      <w:r>
        <w:rPr>
          <w:rFonts w:cs="Arial"/>
          <w:color w:themeColor="text1" w:val="000000"/>
          <w:sz w:val="24"/>
          <w:szCs w:val="24"/>
          <w:lang w:eastAsia="en-US"/>
        </w:rPr>
        <w:t xml:space="preserve"> A partir da data e horário estabelecidos neste </w:t>
      </w:r>
      <w:r>
        <w:rPr>
          <w:rFonts w:cs="Arial"/>
          <w:b/>
          <w:color w:themeColor="text1" w:val="000000"/>
          <w:sz w:val="24"/>
          <w:szCs w:val="24"/>
          <w:lang w:eastAsia="en-US"/>
        </w:rPr>
        <w:t>Aviso de Contratação Direta</w:t>
      </w:r>
      <w:r>
        <w:rPr>
          <w:rFonts w:cs="Arial"/>
          <w:color w:themeColor="text1" w:val="000000"/>
          <w:sz w:val="24"/>
          <w:szCs w:val="24"/>
          <w:lang w:eastAsia="en-US"/>
        </w:rPr>
        <w:t xml:space="preserve">, a sessão pública será automaticamente aberta pelo sistema para o envio de lances públicos e sucessivos, </w:t>
      </w:r>
      <w:r>
        <w:rPr>
          <w:rFonts w:cs="Arial"/>
          <w:bCs/>
          <w:sz w:val="24"/>
          <w:szCs w:val="24"/>
          <w:lang w:eastAsia="en-US"/>
        </w:rPr>
        <w:t>exclusivamente por meio do sistema eletrônico</w:t>
      </w:r>
      <w:r>
        <w:rPr>
          <w:rFonts w:cs="Arial"/>
          <w:sz w:val="24"/>
          <w:szCs w:val="24"/>
          <w:lang w:eastAsia="en-US"/>
        </w:rPr>
        <w:t xml:space="preserve">, </w:t>
      </w:r>
      <w:r>
        <w:rPr>
          <w:rFonts w:cs="Arial"/>
          <w:color w:themeColor="text1" w:val="000000"/>
          <w:sz w:val="24"/>
          <w:szCs w:val="24"/>
          <w:lang w:eastAsia="en-US"/>
        </w:rPr>
        <w:t>sendo encerrado no horário de finalização de lances também já previsto neste aviso</w:t>
      </w:r>
      <w:r>
        <w:rPr>
          <w:rFonts w:cs="Arial"/>
          <w:sz w:val="24"/>
          <w:szCs w:val="24"/>
          <w:lang w:eastAsia="en-US"/>
        </w:rPr>
        <w:t>.</w:t>
      </w:r>
    </w:p>
    <w:p>
      <w:pPr>
        <w:pStyle w:val="ListParagraph"/>
        <w:numPr>
          <w:ilvl w:val="0"/>
          <w:numId w:val="0"/>
        </w:numPr>
        <w:spacing w:lineRule="auto" w:line="276"/>
        <w:ind w:hanging="0" w:left="993"/>
        <w:rPr>
          <w:rFonts w:cs="Arial"/>
          <w:sz w:val="24"/>
          <w:szCs w:val="24"/>
          <w:lang w:eastAsia="en-US"/>
        </w:rPr>
      </w:pPr>
      <w:r>
        <w:rPr>
          <w:rFonts w:cs="Arial"/>
          <w:b/>
          <w:bCs/>
          <w:color w:themeColor="text1" w:val="000000"/>
          <w:sz w:val="24"/>
          <w:szCs w:val="24"/>
        </w:rPr>
        <w:t xml:space="preserve">3.13.2. </w:t>
      </w:r>
      <w:r>
        <w:rPr>
          <w:rFonts w:cs="Arial"/>
          <w:b w:val="false"/>
          <w:bCs w:val="false"/>
          <w:color w:themeColor="text1" w:val="000000"/>
          <w:sz w:val="24"/>
          <w:szCs w:val="24"/>
        </w:rPr>
        <w:t>I</w:t>
      </w:r>
      <w:r>
        <w:rPr>
          <w:rFonts w:cs="Arial"/>
          <w:color w:themeColor="text1" w:val="000000"/>
          <w:sz w:val="24"/>
          <w:szCs w:val="24"/>
        </w:rPr>
        <w:t>niciada a etapa competitiva, os fornecedores deverão encaminhar lances exclusivamente por meio de sistema eletrônico, sendo imediatamente informados do seu recebimento e do valor consignado no registro</w:t>
      </w:r>
      <w:r>
        <w:rPr>
          <w:rFonts w:cs="Arial"/>
          <w:sz w:val="24"/>
          <w:szCs w:val="24"/>
        </w:rPr>
        <w:t xml:space="preserve">. </w:t>
      </w:r>
    </w:p>
    <w:p>
      <w:pPr>
        <w:pStyle w:val="ListParagraph"/>
        <w:numPr>
          <w:ilvl w:val="0"/>
          <w:numId w:val="0"/>
        </w:numPr>
        <w:spacing w:lineRule="auto" w:line="276"/>
        <w:ind w:hanging="0" w:left="1440"/>
        <w:rPr>
          <w:rFonts w:cs="Arial"/>
          <w:sz w:val="24"/>
          <w:szCs w:val="24"/>
          <w:lang w:eastAsia="en-US"/>
        </w:rPr>
      </w:pPr>
      <w:r>
        <w:rPr>
          <w:rFonts w:cs="Arial"/>
          <w:b/>
          <w:bCs/>
          <w:sz w:val="24"/>
          <w:szCs w:val="24"/>
        </w:rPr>
        <w:t>3.13.3.</w:t>
      </w:r>
      <w:r>
        <w:rPr>
          <w:rFonts w:cs="Arial"/>
          <w:sz w:val="24"/>
          <w:szCs w:val="24"/>
        </w:rPr>
        <w:t xml:space="preserve"> O lance </w:t>
      </w:r>
      <w:r>
        <w:rPr>
          <w:rFonts w:cs="Arial"/>
          <w:sz w:val="24"/>
          <w:szCs w:val="24"/>
          <w:lang w:eastAsia="en-US"/>
        </w:rPr>
        <w:t>deverá</w:t>
      </w:r>
      <w:r>
        <w:rPr>
          <w:rFonts w:cs="Arial"/>
          <w:sz w:val="24"/>
          <w:szCs w:val="24"/>
        </w:rPr>
        <w:t xml:space="preserve"> ser ofertado pelo </w:t>
      </w:r>
      <w:r>
        <w:rPr>
          <w:rFonts w:cs="Arial"/>
          <w:i/>
          <w:iCs/>
          <w:sz w:val="24"/>
          <w:szCs w:val="24"/>
        </w:rPr>
        <w:t xml:space="preserve">valor unitário </w:t>
      </w:r>
      <w:r>
        <w:rPr>
          <w:rFonts w:cs="Arial"/>
          <w:b/>
          <w:bCs/>
          <w:i/>
          <w:iCs/>
          <w:sz w:val="24"/>
          <w:szCs w:val="24"/>
          <w:u w:val="single"/>
        </w:rPr>
        <w:t>OU</w:t>
      </w:r>
      <w:r>
        <w:rPr>
          <w:rFonts w:cs="Arial"/>
          <w:i/>
          <w:iCs/>
          <w:sz w:val="24"/>
          <w:szCs w:val="24"/>
        </w:rPr>
        <w:t xml:space="preserve"> percentual de desconto</w:t>
      </w:r>
      <w:r>
        <w:rPr>
          <w:rFonts w:cs="Arial"/>
          <w:sz w:val="24"/>
          <w:szCs w:val="24"/>
        </w:rPr>
        <w:t xml:space="preserve"> do item.</w:t>
      </w:r>
    </w:p>
    <w:p>
      <w:pPr>
        <w:pStyle w:val="Quote"/>
        <w:numPr>
          <w:ilvl w:val="0"/>
          <w:numId w:val="0"/>
        </w:numPr>
        <w:pBdr>
          <w:top w:val="nil"/>
          <w:left w:val="nil"/>
          <w:bottom w:val="nil"/>
          <w:right w:val="nil"/>
        </w:pBdr>
        <w:shd w:val="clear" w:color="auto" w:fill="FFFFFF" w:themeFill="background1"/>
        <w:spacing w:lineRule="auto" w:line="276" w:before="120" w:after="120"/>
        <w:ind w:hanging="0" w:left="273"/>
        <w:contextualSpacing/>
        <w:rPr>
          <w:rFonts w:cs="Arial"/>
          <w:i w:val="false"/>
          <w:iCs w:val="false"/>
          <w:color w:val="auto"/>
          <w:sz w:val="24"/>
        </w:rPr>
      </w:pPr>
      <w:r>
        <w:rPr>
          <w:rFonts w:cs="Arial"/>
          <w:b/>
          <w:bCs/>
          <w:i w:val="false"/>
          <w:iCs w:val="false"/>
          <w:color w:themeColor="text1" w:val="000000"/>
          <w:sz w:val="24"/>
        </w:rPr>
        <w:t>3.14.</w:t>
      </w:r>
      <w:r>
        <w:rPr>
          <w:rFonts w:cs="Arial"/>
          <w:i w:val="false"/>
          <w:iCs w:val="false"/>
          <w:color w:themeColor="text1" w:val="000000"/>
          <w:sz w:val="24"/>
        </w:rPr>
        <w:t xml:space="preserve"> O fornecedor somente poderá oferecer valor inferior ou percentual de desconto superior ao último lance por ele ofertado e registrado pelo sistema</w:t>
      </w:r>
      <w:r>
        <w:rPr>
          <w:rFonts w:cs="Arial"/>
          <w:i w:val="false"/>
          <w:iCs w:val="false"/>
          <w:color w:val="auto"/>
          <w:sz w:val="24"/>
        </w:rPr>
        <w:t>.</w:t>
      </w:r>
    </w:p>
    <w:p>
      <w:pPr>
        <w:pStyle w:val="ListParagraph"/>
        <w:numPr>
          <w:ilvl w:val="0"/>
          <w:numId w:val="0"/>
        </w:numPr>
        <w:spacing w:lineRule="auto" w:line="276"/>
        <w:ind w:hanging="0" w:left="981"/>
        <w:rPr>
          <w:rFonts w:cs="Arial"/>
          <w:sz w:val="24"/>
          <w:szCs w:val="24"/>
          <w:lang w:eastAsia="en-US"/>
        </w:rPr>
      </w:pPr>
      <w:r>
        <w:rPr>
          <w:rFonts w:cs="Arial"/>
          <w:b/>
          <w:bCs/>
          <w:color w:themeColor="text1" w:val="000000"/>
          <w:sz w:val="24"/>
          <w:szCs w:val="24"/>
          <w:lang w:eastAsia="en-US"/>
        </w:rPr>
        <w:t xml:space="preserve">3.14.1. </w:t>
      </w:r>
      <w:r>
        <w:rPr>
          <w:rFonts w:cs="Arial"/>
          <w:color w:themeColor="text1"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rFonts w:cs="Arial"/>
          <w:sz w:val="24"/>
          <w:szCs w:val="24"/>
          <w:lang w:eastAsia="en-US"/>
        </w:rPr>
        <w:t>.</w:t>
      </w:r>
    </w:p>
    <w:p>
      <w:pPr>
        <w:pStyle w:val="ListParagraph"/>
        <w:numPr>
          <w:ilvl w:val="0"/>
          <w:numId w:val="0"/>
        </w:numPr>
        <w:spacing w:lineRule="auto" w:line="276"/>
        <w:ind w:hanging="0" w:left="1123"/>
        <w:rPr>
          <w:rFonts w:cs="Arial"/>
          <w:sz w:val="24"/>
          <w:szCs w:val="24"/>
          <w:lang w:eastAsia="en-US"/>
        </w:rPr>
      </w:pPr>
      <w:r>
        <w:rPr>
          <w:rFonts w:cs="Arial"/>
          <w:b/>
          <w:bCs/>
          <w:sz w:val="24"/>
          <w:szCs w:val="24"/>
        </w:rPr>
        <w:t xml:space="preserve">3.14.2. </w:t>
      </w:r>
      <w:r>
        <w:rPr>
          <w:rFonts w:cs="Arial"/>
          <w:sz w:val="24"/>
          <w:szCs w:val="24"/>
        </w:rPr>
        <w:t>O intervalo mínimo de diferença de valores ou percentuais entre os valores, que incidirá tanto em relação aos valores intermediários quanto em relação ao que cobrir a melhor oferta é de:</w:t>
      </w:r>
    </w:p>
    <w:tbl>
      <w:tblPr>
        <w:tblW w:w="6980" w:type="dxa"/>
        <w:jc w:val="left"/>
        <w:tblInd w:w="2237" w:type="dxa"/>
        <w:tblLayout w:type="fixed"/>
        <w:tblCellMar>
          <w:top w:w="0" w:type="dxa"/>
          <w:left w:w="70" w:type="dxa"/>
          <w:bottom w:w="0" w:type="dxa"/>
          <w:right w:w="70" w:type="dxa"/>
        </w:tblCellMar>
        <w:tblLook w:firstRow="0" w:noVBand="0" w:lastRow="0" w:firstColumn="0" w:lastColumn="0" w:noHBand="0" w:val="0000"/>
      </w:tblPr>
      <w:tblGrid>
        <w:gridCol w:w="4814"/>
        <w:gridCol w:w="2166"/>
      </w:tblGrid>
      <w:tr>
        <w:trPr>
          <w:trHeight w:val="240" w:hRule="atLeast"/>
          <w:cantSplit w:val="true"/>
        </w:trPr>
        <w:tc>
          <w:tcPr>
            <w:tcW w:w="481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bCs/>
                <w:sz w:val="24"/>
                <w:szCs w:val="24"/>
              </w:rPr>
              <w:t>Intervalo Mínimo dos valores (R$)</w:t>
            </w:r>
          </w:p>
        </w:tc>
        <w:tc>
          <w:tcPr>
            <w:tcW w:w="216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sz w:val="24"/>
                <w:szCs w:val="24"/>
              </w:rPr>
              <w:t>Tipo de Variação</w:t>
            </w:r>
          </w:p>
        </w:tc>
      </w:tr>
      <w:tr>
        <w:trPr>
          <w:trHeight w:val="240" w:hRule="atLeast"/>
          <w:cantSplit w:val="true"/>
        </w:trPr>
        <w:tc>
          <w:tcPr>
            <w:tcW w:w="4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0,01 com arredondamento de centavos</w:t>
            </w:r>
          </w:p>
        </w:tc>
        <w:tc>
          <w:tcPr>
            <w:tcW w:w="2166"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Monetário</w:t>
            </w:r>
          </w:p>
        </w:tc>
      </w:tr>
    </w:tbl>
    <w:p>
      <w:pPr>
        <w:pStyle w:val="ListParagraph"/>
        <w:spacing w:lineRule="auto" w:line="276"/>
        <w:ind w:left="1843"/>
        <w:rPr>
          <w:rFonts w:cs="Arial"/>
          <w:sz w:val="24"/>
          <w:szCs w:val="24"/>
          <w:lang w:eastAsia="en-US"/>
        </w:rPr>
      </w:pPr>
      <w:r>
        <w:rPr>
          <w:rFonts w:cs="Arial"/>
          <w:sz w:val="24"/>
          <w:szCs w:val="24"/>
          <w:lang w:eastAsia="en-US"/>
        </w:rPr>
      </w:r>
    </w:p>
    <w:p>
      <w:pPr>
        <w:pStyle w:val="ListParagraph"/>
        <w:numPr>
          <w:ilvl w:val="0"/>
          <w:numId w:val="0"/>
        </w:numPr>
        <w:spacing w:lineRule="auto" w:line="276"/>
        <w:ind w:hanging="0" w:left="414"/>
        <w:rPr/>
      </w:pPr>
      <w:r>
        <w:rPr>
          <w:rFonts w:cs="Arial"/>
          <w:b/>
          <w:bCs/>
          <w:color w:themeColor="text1" w:val="000000"/>
          <w:sz w:val="24"/>
          <w:szCs w:val="24"/>
          <w:lang w:eastAsia="en-US"/>
        </w:rPr>
        <w:t xml:space="preserve">3.15. </w:t>
      </w:r>
      <w:r>
        <w:rPr>
          <w:rFonts w:cs="Arial"/>
          <w:color w:themeColor="text1" w:val="000000"/>
          <w:sz w:val="24"/>
          <w:szCs w:val="24"/>
          <w:lang w:eastAsia="en-US"/>
        </w:rPr>
        <w:t>Havendo lances iguais ao menor já ofertado, prevalecerá aquele que for recebido e registrado primeiro no sistema</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text1" w:val="000000"/>
          <w:sz w:val="24"/>
          <w:szCs w:val="24"/>
          <w:lang w:eastAsia="en-US"/>
        </w:rPr>
        <w:t xml:space="preserve">3.16. </w:t>
      </w:r>
      <w:r>
        <w:rPr>
          <w:rFonts w:cs="Arial"/>
          <w:color w:themeColor="text1" w:val="000000"/>
          <w:sz w:val="24"/>
          <w:szCs w:val="24"/>
          <w:lang w:eastAsia="en-US"/>
        </w:rPr>
        <w:t>Caso o fornecedor não apresente lances, concorrerá com o valor de sua proposta</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text1" w:val="000000"/>
          <w:sz w:val="24"/>
          <w:szCs w:val="24"/>
          <w:lang w:eastAsia="en-US"/>
        </w:rPr>
        <w:t>3.17.</w:t>
      </w:r>
      <w:r>
        <w:rPr>
          <w:rFonts w:cs="Arial"/>
          <w:color w:themeColor="text1" w:val="000000"/>
          <w:sz w:val="24"/>
          <w:szCs w:val="24"/>
          <w:lang w:eastAsia="en-US"/>
        </w:rPr>
        <w:t xml:space="preserve"> Durante o procedimento, os fornecedores serão informados, em tempo real, do valor do menor lance ou do maior desconto registrado, vedada a identificação do fornecedor</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text1" w:val="000000"/>
          <w:sz w:val="24"/>
          <w:szCs w:val="24"/>
          <w:lang w:eastAsia="en-US"/>
        </w:rPr>
        <w:t xml:space="preserve">3.18. </w:t>
      </w:r>
      <w:r>
        <w:rPr>
          <w:rFonts w:cs="Arial"/>
          <w:color w:themeColor="text1" w:val="000000"/>
          <w:sz w:val="24"/>
          <w:szCs w:val="24"/>
          <w:lang w:eastAsia="en-US"/>
        </w:rPr>
        <w:t>Imediatamente após o término do prazo estabelecido para a fase de lances, haverá o seu encerramento, com o ordenamento e divulgação dos lances, pelo sistema, em ordem crescente de classificação</w:t>
      </w:r>
      <w:r>
        <w:rPr>
          <w:rFonts w:cs="Arial"/>
          <w:sz w:val="24"/>
          <w:szCs w:val="24"/>
          <w:lang w:eastAsia="en-US"/>
        </w:rPr>
        <w:t>.</w:t>
      </w:r>
    </w:p>
    <w:p>
      <w:pPr>
        <w:pStyle w:val="ListParagraph"/>
        <w:numPr>
          <w:ilvl w:val="0"/>
          <w:numId w:val="0"/>
        </w:numPr>
        <w:spacing w:lineRule="auto" w:line="276"/>
        <w:ind w:hanging="0" w:left="1123"/>
        <w:rPr>
          <w:rFonts w:cs="Arial"/>
          <w:sz w:val="24"/>
          <w:szCs w:val="24"/>
        </w:rPr>
      </w:pPr>
      <w:r>
        <w:rPr>
          <w:rFonts w:cs="Arial"/>
          <w:b/>
          <w:bCs/>
          <w:color w:themeColor="text1" w:val="000000"/>
          <w:sz w:val="24"/>
          <w:szCs w:val="24"/>
          <w:lang w:eastAsia="en-US"/>
        </w:rPr>
        <w:t xml:space="preserve">3.18.1. </w:t>
      </w:r>
      <w:r>
        <w:rPr>
          <w:rFonts w:cs="Arial"/>
          <w:color w:themeColor="text1" w:val="000000"/>
          <w:sz w:val="24"/>
          <w:szCs w:val="24"/>
          <w:lang w:eastAsia="en-US"/>
        </w:rPr>
        <w:t>O encerramento da fase de lances ocorrerá de forma automática pontualmente no horário indicado, sem qualquer possibilidade de prorrogação e não havendo tempo aleatório ou mecanismo similar</w:t>
      </w:r>
      <w:r>
        <w:rPr>
          <w:rFonts w:cs="Arial"/>
          <w:sz w:val="24"/>
          <w:szCs w:val="24"/>
          <w:lang w:eastAsia="en-US"/>
        </w:rPr>
        <w:t>.</w:t>
      </w:r>
    </w:p>
    <w:p>
      <w:pPr>
        <w:pStyle w:val="Heading1"/>
        <w:keepNext w:val="false"/>
        <w:numPr>
          <w:ilvl w:val="0"/>
          <w:numId w:val="15"/>
        </w:numPr>
        <w:spacing w:lineRule="auto" w:line="276"/>
        <w:jc w:val="both"/>
        <w:rPr>
          <w:rFonts w:ascii="Arial" w:hAnsi="Arial" w:cs="Arial"/>
          <w:sz w:val="24"/>
          <w:szCs w:val="24"/>
        </w:rPr>
      </w:pPr>
      <w:bookmarkStart w:id="9" w:name="_Toc142925865"/>
      <w:r>
        <w:rPr>
          <w:rFonts w:cs="Arial" w:ascii="Arial" w:hAnsi="Arial"/>
          <w:sz w:val="24"/>
          <w:szCs w:val="24"/>
        </w:rPr>
        <w:t xml:space="preserve">JULGAMENTO E ACEITAÇÃO DAS PROPOSTAS </w:t>
      </w:r>
      <w:bookmarkEnd w:id="9"/>
    </w:p>
    <w:p>
      <w:pPr>
        <w:pStyle w:val="ListParagraph"/>
        <w:widowControl/>
        <w:numPr>
          <w:ilvl w:val="0"/>
          <w:numId w:val="0"/>
        </w:numPr>
        <w:bidi w:val="0"/>
        <w:spacing w:lineRule="auto" w:line="276" w:before="120" w:after="120"/>
        <w:ind w:hanging="0" w:left="454" w:right="0"/>
        <w:contextualSpacing/>
        <w:jc w:val="both"/>
        <w:rPr>
          <w:rFonts w:cs="Arial"/>
          <w:sz w:val="24"/>
          <w:szCs w:val="24"/>
        </w:rPr>
      </w:pPr>
      <w:r>
        <w:rPr>
          <w:rFonts w:cs="Arial"/>
          <w:b/>
          <w:bCs/>
          <w:sz w:val="24"/>
          <w:szCs w:val="24"/>
        </w:rPr>
        <w:t>4.1.</w:t>
      </w:r>
      <w:r>
        <w:rPr>
          <w:rFonts w:cs="Arial"/>
          <w:sz w:val="24"/>
          <w:szCs w:val="24"/>
        </w:rPr>
        <w:t xml:space="preserve"> Encerrada a fase de oferta, quando a proposta do primeiro colocado permanecer acima do preço máximo ou abaixo do desconto definido para a contratação, o pregoeiro poderá negociar condições mais vantajosas. </w:t>
      </w:r>
    </w:p>
    <w:p>
      <w:pPr>
        <w:pStyle w:val="ListParagraph"/>
        <w:numPr>
          <w:ilvl w:val="0"/>
          <w:numId w:val="0"/>
        </w:numPr>
        <w:spacing w:lineRule="auto" w:line="276"/>
        <w:ind w:hanging="0" w:left="1123"/>
        <w:rPr>
          <w:rFonts w:cs="Arial"/>
          <w:sz w:val="24"/>
          <w:szCs w:val="24"/>
        </w:rPr>
      </w:pPr>
      <w:r>
        <w:rPr>
          <w:rFonts w:cs="Arial"/>
          <w:b/>
          <w:bCs/>
          <w:sz w:val="24"/>
          <w:szCs w:val="24"/>
        </w:rPr>
        <w:t>4.1.1.</w:t>
      </w:r>
      <w:r>
        <w:rPr>
          <w:rFonts w:cs="Arial"/>
          <w:sz w:val="24"/>
          <w:szCs w:val="24"/>
        </w:rPr>
        <w:t xml:space="preserve"> Neste caso, será encaminhada contraproposta ao fornecedor que tenha apresentado o menor preço ou o maior desconto, para que seja obtida a melhor proposta compatível em relação ao estipulado pela Administração.</w:t>
      </w:r>
    </w:p>
    <w:p>
      <w:pPr>
        <w:pStyle w:val="ListParagraph"/>
        <w:numPr>
          <w:ilvl w:val="0"/>
          <w:numId w:val="0"/>
        </w:numPr>
        <w:spacing w:lineRule="auto" w:line="276"/>
        <w:ind w:hanging="0" w:left="1123"/>
        <w:rPr>
          <w:rFonts w:cs="Arial"/>
          <w:sz w:val="24"/>
          <w:szCs w:val="24"/>
        </w:rPr>
      </w:pPr>
      <w:r>
        <w:rPr>
          <w:rFonts w:cs="Arial"/>
          <w:b/>
          <w:bCs/>
          <w:sz w:val="24"/>
          <w:szCs w:val="24"/>
        </w:rPr>
        <w:t xml:space="preserve">4.1.2. </w:t>
      </w:r>
      <w:r>
        <w:rPr>
          <w:rFonts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15"/>
        </w:numPr>
        <w:spacing w:lineRule="auto" w:line="276"/>
        <w:ind w:hanging="720"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dispensa eletrônica</w:t>
      </w:r>
      <w:r>
        <w:rPr>
          <w:rFonts w:cs="Arial"/>
          <w:sz w:val="24"/>
          <w:szCs w:val="24"/>
        </w:rPr>
        <w:t xml:space="preserve">, </w:t>
      </w:r>
      <w:r>
        <w:rPr>
          <w:rFonts w:cs="Arial"/>
          <w:sz w:val="24"/>
          <w:szCs w:val="24"/>
          <w:shd w:fill="FFFFFF" w:val="clear"/>
        </w:rPr>
        <w:t>devendo esta ser anexada aos autos do processo de contratação.</w:t>
      </w:r>
    </w:p>
    <w:p>
      <w:pPr>
        <w:pStyle w:val="ListParagraph"/>
        <w:numPr>
          <w:ilvl w:val="1"/>
          <w:numId w:val="15"/>
        </w:numPr>
        <w:spacing w:lineRule="auto" w:line="276"/>
        <w:ind w:hanging="720" w:left="1134"/>
        <w:rPr>
          <w:rFonts w:cs="Arial"/>
          <w:sz w:val="24"/>
          <w:szCs w:val="24"/>
        </w:rPr>
      </w:pPr>
      <w:r>
        <w:rPr>
          <w:rFonts w:cs="Arial"/>
          <w:sz w:val="24"/>
          <w:szCs w:val="24"/>
        </w:rPr>
        <w:t xml:space="preserve">Constatada a compatibilidade entre o valor da proposta e o estipulado para a contratação, será solicitado ao fornecedor o envio da proposta adequada ao valor ofertado ou ao valor negociado, se for o caso, acompanhada dos documentos complementares, quando necessários. </w:t>
      </w:r>
    </w:p>
    <w:p>
      <w:pPr>
        <w:pStyle w:val="ListParagraph"/>
        <w:numPr>
          <w:ilvl w:val="1"/>
          <w:numId w:val="15"/>
        </w:numPr>
        <w:spacing w:lineRule="auto" w:line="276"/>
        <w:ind w:hanging="720"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art. 14 da Lei nº 14.133/2021,</w:t>
      </w:r>
      <w:r>
        <w:rPr>
          <w:rFonts w:cs="Arial"/>
          <w:sz w:val="24"/>
          <w:szCs w:val="24"/>
        </w:rPr>
        <w:t xml:space="preserve"> legislação correlata e nos itens 2.3.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ou a futura contratação, mediante a consulta aos seguintes cadastros:</w:t>
      </w:r>
    </w:p>
    <w:p>
      <w:pPr>
        <w:pStyle w:val="ListParagraph"/>
        <w:numPr>
          <w:ilvl w:val="2"/>
          <w:numId w:val="15"/>
        </w:numPr>
        <w:spacing w:lineRule="auto" w:line="276"/>
        <w:ind w:hanging="720" w:left="1843"/>
        <w:rPr/>
      </w:pPr>
      <w:r>
        <w:rPr>
          <w:rFonts w:cs="Arial"/>
          <w:b/>
          <w:sz w:val="24"/>
          <w:szCs w:val="24"/>
        </w:rPr>
        <w:t>Cadastro Nacional de Empresas Inidôneas e Suspensas - CEIS</w:t>
      </w:r>
      <w:r>
        <w:rPr>
          <w:rFonts w:cs="Arial"/>
          <w:sz w:val="24"/>
          <w:szCs w:val="24"/>
        </w:rPr>
        <w:t xml:space="preserve">, mantido pela Controladoria-Geral da União (https://www.portaltransparencia.gov.br/sancoes/ceis); e </w:t>
      </w:r>
    </w:p>
    <w:p>
      <w:pPr>
        <w:pStyle w:val="ListParagraph"/>
        <w:numPr>
          <w:ilvl w:val="2"/>
          <w:numId w:val="15"/>
        </w:numPr>
        <w:spacing w:lineRule="auto" w:line="276"/>
        <w:ind w:hanging="720" w:left="1843"/>
        <w:rPr/>
      </w:pPr>
      <w:r>
        <w:rPr>
          <w:rFonts w:cs="Arial"/>
          <w:b/>
          <w:sz w:val="24"/>
          <w:szCs w:val="24"/>
        </w:rPr>
        <w:t>Cadastro Nacional de Empresas Punidas – CNEP</w:t>
      </w:r>
      <w:r>
        <w:rPr>
          <w:rFonts w:cs="Arial"/>
          <w:sz w:val="24"/>
          <w:szCs w:val="24"/>
        </w:rPr>
        <w:t xml:space="preserve">, mantido pela Controladoria-Geral da União (https://www.portaltransparencia.gov.br/sancoes/cnep). </w:t>
      </w:r>
    </w:p>
    <w:p>
      <w:pPr>
        <w:pStyle w:val="ListParagraph"/>
        <w:numPr>
          <w:ilvl w:val="2"/>
          <w:numId w:val="15"/>
        </w:numPr>
        <w:spacing w:lineRule="auto" w:line="276"/>
        <w:ind w:hanging="720" w:left="1843"/>
        <w:rPr/>
      </w:pPr>
      <w:r>
        <w:rPr>
          <w:rFonts w:cs="Arial"/>
          <w:sz w:val="24"/>
          <w:szCs w:val="24"/>
        </w:rPr>
        <w:t xml:space="preserve">O fornecedor será convocado para manifestação previamente a uma eventual desclassificação. </w:t>
      </w:r>
    </w:p>
    <w:p>
      <w:pPr>
        <w:pStyle w:val="ListParagraph"/>
        <w:numPr>
          <w:ilvl w:val="2"/>
          <w:numId w:val="15"/>
        </w:numPr>
        <w:spacing w:lineRule="auto" w:line="276"/>
        <w:ind w:hanging="720" w:left="1843"/>
        <w:rPr>
          <w:rFonts w:cs="Arial"/>
          <w:sz w:val="24"/>
          <w:szCs w:val="24"/>
        </w:rPr>
      </w:pPr>
      <w:r>
        <w:rPr>
          <w:rFonts w:cs="Arial"/>
          <w:sz w:val="24"/>
          <w:szCs w:val="24"/>
        </w:rPr>
        <w:t>Constatada a existência de sanção, o fornecedor será reputado inabilitado, por falta de condição de participação.</w:t>
      </w:r>
    </w:p>
    <w:p>
      <w:pPr>
        <w:pStyle w:val="ListParagraph"/>
        <w:numPr>
          <w:ilvl w:val="1"/>
          <w:numId w:val="15"/>
        </w:numPr>
        <w:spacing w:lineRule="auto" w:line="276"/>
        <w:ind w:hanging="720"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Aviso de Contratação Direta</w:t>
      </w:r>
      <w:r>
        <w:rPr>
          <w:rFonts w:cs="Arial"/>
          <w:sz w:val="24"/>
          <w:szCs w:val="24"/>
        </w:rPr>
        <w:t xml:space="preserve"> e em seus anexos.</w:t>
      </w:r>
    </w:p>
    <w:p>
      <w:pPr>
        <w:pStyle w:val="ListParagraph"/>
        <w:numPr>
          <w:ilvl w:val="1"/>
          <w:numId w:val="15"/>
        </w:numPr>
        <w:spacing w:lineRule="auto" w:line="276"/>
        <w:ind w:hanging="720" w:left="1276"/>
        <w:rPr>
          <w:rFonts w:cs="Arial"/>
          <w:b/>
          <w:i/>
          <w:sz w:val="24"/>
          <w:szCs w:val="24"/>
        </w:rPr>
      </w:pPr>
      <w:r>
        <w:rPr>
          <w:rFonts w:cs="Arial"/>
          <w:b/>
          <w:sz w:val="24"/>
          <w:szCs w:val="24"/>
          <w:lang w:eastAsia="en-US"/>
        </w:rPr>
        <w:t xml:space="preserve">Será desclassificada a proposta vencedora que: </w:t>
      </w:r>
    </w:p>
    <w:p>
      <w:pPr>
        <w:pStyle w:val="ListParagraph"/>
        <w:numPr>
          <w:ilvl w:val="2"/>
          <w:numId w:val="15"/>
        </w:numPr>
        <w:spacing w:lineRule="auto" w:line="276"/>
        <w:ind w:hanging="720" w:left="1985"/>
        <w:rPr>
          <w:rFonts w:cs="Arial"/>
          <w:i/>
          <w:sz w:val="24"/>
          <w:szCs w:val="24"/>
        </w:rPr>
      </w:pPr>
      <w:r>
        <w:rPr>
          <w:rFonts w:cs="Arial"/>
          <w:sz w:val="24"/>
          <w:szCs w:val="24"/>
        </w:rPr>
        <w:t>contiver vícios insanáveis</w:t>
      </w:r>
      <w:r>
        <w:rPr>
          <w:rFonts w:cs="Arial"/>
          <w:iCs/>
          <w:sz w:val="24"/>
          <w:szCs w:val="24"/>
        </w:rPr>
        <w:t>;</w:t>
      </w:r>
    </w:p>
    <w:p>
      <w:pPr>
        <w:pStyle w:val="ListParagraph"/>
        <w:numPr>
          <w:ilvl w:val="2"/>
          <w:numId w:val="15"/>
        </w:numPr>
        <w:spacing w:lineRule="auto" w:line="276"/>
        <w:ind w:hanging="720" w:left="1985"/>
        <w:rPr>
          <w:rFonts w:cs="Arial"/>
          <w:i/>
          <w:sz w:val="24"/>
          <w:szCs w:val="24"/>
        </w:rPr>
      </w:pPr>
      <w:r>
        <w:rPr>
          <w:rFonts w:cs="Arial"/>
          <w:sz w:val="24"/>
          <w:szCs w:val="24"/>
        </w:rPr>
        <w:t>não obedecer às especificações técnicas pormenorizadas neste aviso ou em seus anexos</w:t>
      </w:r>
      <w:r>
        <w:rPr>
          <w:rFonts w:cs="Arial"/>
          <w:iCs/>
          <w:sz w:val="24"/>
          <w:szCs w:val="24"/>
        </w:rPr>
        <w:t>;</w:t>
      </w:r>
    </w:p>
    <w:p>
      <w:pPr>
        <w:pStyle w:val="ListParagraph"/>
        <w:numPr>
          <w:ilvl w:val="2"/>
          <w:numId w:val="15"/>
        </w:numPr>
        <w:spacing w:lineRule="auto" w:line="276"/>
        <w:ind w:hanging="720" w:left="1985"/>
        <w:rPr/>
      </w:pPr>
      <w:r>
        <w:rPr>
          <w:rFonts w:cs="Arial"/>
          <w:sz w:val="24"/>
          <w:szCs w:val="24"/>
        </w:rPr>
        <w:t>apresentar preços inexequíveis ou que permanecerem acima do preço máximo definido para a contratação;</w:t>
      </w:r>
    </w:p>
    <w:p>
      <w:pPr>
        <w:pStyle w:val="ListParagraph"/>
        <w:numPr>
          <w:ilvl w:val="2"/>
          <w:numId w:val="15"/>
        </w:numPr>
        <w:spacing w:lineRule="auto" w:line="276"/>
        <w:ind w:hanging="720" w:left="1985"/>
        <w:rPr>
          <w:rFonts w:cs="Arial"/>
          <w:i/>
          <w:sz w:val="24"/>
          <w:szCs w:val="24"/>
        </w:rPr>
      </w:pPr>
      <w:r>
        <w:rPr>
          <w:rFonts w:cs="Arial"/>
          <w:sz w:val="24"/>
          <w:szCs w:val="24"/>
        </w:rPr>
        <w:t>não tiver sua exequibilidade demonstrada, quando exigido pela Administração</w:t>
      </w:r>
      <w:r>
        <w:rPr>
          <w:rFonts w:cs="Arial"/>
          <w:iCs/>
          <w:sz w:val="24"/>
          <w:szCs w:val="24"/>
        </w:rPr>
        <w:t>;</w:t>
      </w:r>
    </w:p>
    <w:p>
      <w:pPr>
        <w:pStyle w:val="ListParagraph"/>
        <w:numPr>
          <w:ilvl w:val="2"/>
          <w:numId w:val="15"/>
        </w:numPr>
        <w:spacing w:lineRule="auto" w:line="276"/>
        <w:ind w:hanging="720" w:left="1985"/>
        <w:rPr>
          <w:rFonts w:cs="Arial"/>
          <w:i/>
          <w:sz w:val="24"/>
          <w:szCs w:val="24"/>
        </w:rPr>
      </w:pPr>
      <w:r>
        <w:rPr>
          <w:rFonts w:cs="Arial"/>
          <w:sz w:val="24"/>
          <w:szCs w:val="24"/>
        </w:rPr>
        <w:t>apresentar desconformidade com quaisquer outras exigências deste aviso ou seus anexos, desde que insanável.</w:t>
      </w:r>
    </w:p>
    <w:p>
      <w:pPr>
        <w:pStyle w:val="ListParagraph"/>
        <w:numPr>
          <w:ilvl w:val="1"/>
          <w:numId w:val="15"/>
        </w:numPr>
        <w:spacing w:lineRule="auto" w:line="276"/>
        <w:ind w:hanging="720" w:left="1276"/>
        <w:rPr>
          <w:rFonts w:cs="Arial"/>
          <w:i/>
          <w:sz w:val="24"/>
          <w:szCs w:val="24"/>
        </w:rPr>
      </w:pPr>
      <w:r>
        <w:rPr>
          <w:rFonts w:cs="Arial"/>
          <w:sz w:val="24"/>
          <w:szCs w:val="24"/>
          <w:lang w:eastAsia="en-US"/>
        </w:rPr>
        <w:t>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p>
    <w:p>
      <w:pPr>
        <w:pStyle w:val="ListParagraph"/>
        <w:numPr>
          <w:ilvl w:val="2"/>
          <w:numId w:val="15"/>
        </w:numPr>
        <w:spacing w:lineRule="auto" w:line="276"/>
        <w:ind w:hanging="720" w:left="1985"/>
        <w:rPr>
          <w:rFonts w:cs="Arial"/>
          <w:i/>
          <w:sz w:val="24"/>
          <w:szCs w:val="24"/>
        </w:rPr>
      </w:pPr>
      <w:r>
        <w:rPr>
          <w:rFonts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5"/>
        </w:numPr>
        <w:spacing w:lineRule="auto" w:line="276"/>
        <w:ind w:hanging="720" w:left="1985"/>
        <w:rPr>
          <w:rFonts w:cs="Arial"/>
          <w:sz w:val="24"/>
          <w:szCs w:val="24"/>
        </w:rPr>
      </w:pPr>
      <w:r>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5"/>
        </w:numPr>
        <w:spacing w:lineRule="auto" w:line="276"/>
        <w:ind w:hanging="720" w:left="1276" w:right="-15"/>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sz w:val="24"/>
          <w:szCs w:val="24"/>
          <w:lang w:eastAsia="en-US"/>
        </w:rPr>
        <w:t xml:space="preserve">, poderão ser efetuadas diligências, para que o fornecedor comprove a exequibilidade da proposta.  </w:t>
      </w:r>
    </w:p>
    <w:p>
      <w:pPr>
        <w:pStyle w:val="ListParagraph"/>
        <w:numPr>
          <w:ilvl w:val="1"/>
          <w:numId w:val="15"/>
        </w:numPr>
        <w:spacing w:lineRule="auto" w:line="276"/>
        <w:ind w:hanging="720" w:left="1276"/>
        <w:rPr>
          <w:rFonts w:cs="Arial"/>
          <w:sz w:val="24"/>
          <w:szCs w:val="24"/>
          <w:lang w:eastAsia="en-US"/>
        </w:rPr>
      </w:pPr>
      <w:r>
        <w:rPr>
          <w:rFonts w:cs="Arial"/>
          <w:sz w:val="24"/>
          <w:szCs w:val="24"/>
          <w:lang w:eastAsia="en-US"/>
        </w:rPr>
        <w:t xml:space="preserve">Erros no preenchimento da planilha não constituem motivo para a desclassificação da proposta. A planilha </w:t>
      </w:r>
      <w:r>
        <w:rPr>
          <w:rFonts w:cs="Arial"/>
          <w:sz w:val="24"/>
          <w:szCs w:val="24"/>
        </w:rPr>
        <w:t>poderá</w:t>
      </w:r>
      <w:r>
        <w:rPr>
          <w:rFonts w:cs="Arial"/>
          <w:sz w:val="24"/>
          <w:szCs w:val="24"/>
          <w:lang w:eastAsia="en-US"/>
        </w:rPr>
        <w:t xml:space="preserve"> ser ajustada pelo fornecedor, no prazo indicado pelo sistema, desde que não haja majoração do preço.</w:t>
      </w:r>
    </w:p>
    <w:p>
      <w:pPr>
        <w:pStyle w:val="ListParagraph"/>
        <w:numPr>
          <w:ilvl w:val="2"/>
          <w:numId w:val="15"/>
        </w:numPr>
        <w:spacing w:lineRule="auto" w:line="276"/>
        <w:ind w:hanging="720" w:left="1985"/>
        <w:rPr>
          <w:rFonts w:cs="Arial"/>
          <w:sz w:val="24"/>
          <w:szCs w:val="24"/>
          <w:lang w:eastAsia="en-US"/>
        </w:rPr>
      </w:pPr>
      <w:r>
        <w:rPr>
          <w:rFonts w:cs="Arial"/>
          <w:sz w:val="24"/>
          <w:szCs w:val="24"/>
          <w:lang w:eastAsia="en-US"/>
        </w:rPr>
        <w:t>O ajuste de que trata este dispositivo se limita a sanar erros ou falhas que não alterem a substância das propostas;</w:t>
      </w:r>
    </w:p>
    <w:p>
      <w:pPr>
        <w:pStyle w:val="ListParagraph"/>
        <w:numPr>
          <w:ilvl w:val="2"/>
          <w:numId w:val="15"/>
        </w:numPr>
        <w:spacing w:lineRule="auto" w:line="276"/>
        <w:ind w:hanging="720" w:left="1985"/>
        <w:rPr>
          <w:rFonts w:cs="Arial"/>
          <w:sz w:val="24"/>
          <w:szCs w:val="24"/>
          <w:lang w:eastAsia="en-US"/>
        </w:rPr>
      </w:pPr>
      <w:r>
        <w:rPr>
          <w:rFonts w:cs="Arial"/>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5"/>
        </w:numPr>
        <w:spacing w:lineRule="auto" w:line="276"/>
        <w:ind w:hanging="720" w:left="1276"/>
        <w:rPr>
          <w:rFonts w:cs="Arial"/>
          <w:sz w:val="24"/>
          <w:szCs w:val="24"/>
          <w:lang w:eastAsia="en-US"/>
        </w:rPr>
      </w:pPr>
      <w:r>
        <w:rPr>
          <w:rFonts w:cs="Arial"/>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5"/>
        </w:numPr>
        <w:spacing w:lineRule="auto" w:line="276"/>
        <w:ind w:hanging="720" w:left="1276"/>
        <w:rPr>
          <w:rFonts w:cs="Arial"/>
          <w:sz w:val="24"/>
          <w:szCs w:val="24"/>
          <w:lang w:eastAsia="en-US"/>
        </w:rPr>
      </w:pPr>
      <w:r>
        <w:rPr>
          <w:rFonts w:cs="Arial"/>
          <w:sz w:val="24"/>
          <w:szCs w:val="24"/>
          <w:lang w:eastAsia="en-US"/>
        </w:rPr>
        <w:t>Se a proposta ou valor vencedor for desclassificado, será examinada a proposta ou valor subsequente, e, assim sucessivamente, na ordem de classificação.</w:t>
      </w:r>
    </w:p>
    <w:p>
      <w:pPr>
        <w:pStyle w:val="ListParagraph"/>
        <w:numPr>
          <w:ilvl w:val="1"/>
          <w:numId w:val="15"/>
        </w:numPr>
        <w:spacing w:lineRule="auto" w:line="276"/>
        <w:ind w:hanging="720" w:left="1276"/>
        <w:rPr>
          <w:rFonts w:cs="Arial"/>
          <w:sz w:val="24"/>
          <w:szCs w:val="24"/>
          <w:lang w:eastAsia="en-US"/>
        </w:rPr>
      </w:pPr>
      <w:r>
        <w:rPr>
          <w:rFonts w:cs="Arial"/>
          <w:sz w:val="24"/>
          <w:szCs w:val="24"/>
          <w:lang w:eastAsia="en-US"/>
        </w:rPr>
        <w:t>Havendo necessidade, a sessão será suspensa, informando-se a nova data e horário para a sua continuidade.</w:t>
      </w:r>
    </w:p>
    <w:p>
      <w:pPr>
        <w:pStyle w:val="BodyText"/>
        <w:numPr>
          <w:ilvl w:val="1"/>
          <w:numId w:val="15"/>
        </w:numPr>
        <w:tabs>
          <w:tab w:val="clear" w:pos="720"/>
          <w:tab w:val="left" w:pos="1134" w:leader="none"/>
        </w:tabs>
        <w:spacing w:lineRule="atLeast" w:line="280" w:before="120" w:after="240"/>
        <w:ind w:hanging="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Aviso de Contratação Direta</w:t>
      </w:r>
      <w:r>
        <w:rPr>
          <w:sz w:val="24"/>
          <w:szCs w:val="24"/>
        </w:rPr>
        <w:t>.</w:t>
      </w:r>
    </w:p>
    <w:p>
      <w:pPr>
        <w:pStyle w:val="BodyText"/>
        <w:numPr>
          <w:ilvl w:val="0"/>
          <w:numId w:val="15"/>
        </w:numPr>
        <w:spacing w:lineRule="atLeast" w:line="280" w:before="120" w:after="240"/>
        <w:rPr/>
      </w:pPr>
      <w:bookmarkStart w:id="10" w:name="EDITALHABILITAÇÃO"/>
      <w:r>
        <w:rPr>
          <w:b/>
          <w:sz w:val="24"/>
          <w:szCs w:val="24"/>
          <w:u w:val="single"/>
        </w:rPr>
        <w:t>DA</w:t>
      </w:r>
      <w:r>
        <w:rPr>
          <w:b/>
          <w:spacing w:val="-2"/>
          <w:sz w:val="24"/>
          <w:szCs w:val="24"/>
          <w:u w:val="single"/>
        </w:rPr>
        <w:t xml:space="preserve"> </w:t>
      </w:r>
      <w:r>
        <w:rPr>
          <w:b/>
          <w:sz w:val="24"/>
          <w:szCs w:val="24"/>
          <w:u w:val="single"/>
        </w:rPr>
        <w:t>HABILITAÇÃO:</w:t>
      </w:r>
      <w:bookmarkEnd w:id="10"/>
    </w:p>
    <w:p>
      <w:pPr>
        <w:pStyle w:val="BodyText"/>
        <w:spacing w:lineRule="atLeast" w:line="280" w:before="120" w:after="240"/>
        <w:ind w:hanging="283" w:left="709" w:right="0"/>
        <w:rPr>
          <w:rFonts w:cs="Arial"/>
          <w:sz w:val="24"/>
          <w:szCs w:val="24"/>
          <w:lang w:eastAsia="ar-SA"/>
        </w:rPr>
      </w:pPr>
      <w:r>
        <w:rPr>
          <w:b/>
          <w:bCs/>
          <w:sz w:val="24"/>
          <w:szCs w:val="24"/>
        </w:rPr>
        <w:t xml:space="preserve">5.1. </w:t>
      </w:r>
      <w:r>
        <w:rPr>
          <w:rFonts w:cs="Arial"/>
          <w:sz w:val="24"/>
          <w:szCs w:val="24"/>
          <w:lang w:eastAsia="ar-SA"/>
        </w:rPr>
        <w:t xml:space="preserve">Os </w:t>
      </w:r>
      <w:r>
        <w:rPr>
          <w:rFonts w:cs="Arial"/>
          <w:sz w:val="24"/>
          <w:szCs w:val="24"/>
        </w:rPr>
        <w:t>documentos</w:t>
      </w:r>
      <w:r>
        <w:rPr>
          <w:rFonts w:cs="Arial"/>
          <w:sz w:val="24"/>
          <w:szCs w:val="24"/>
          <w:lang w:eastAsia="ar-SA"/>
        </w:rPr>
        <w:t xml:space="preserve"> a serem exigidos para fins de habilitação, </w:t>
      </w:r>
      <w:r>
        <w:rPr>
          <w:rFonts w:cs="Arial"/>
          <w:b/>
          <w:sz w:val="24"/>
          <w:szCs w:val="24"/>
          <w:lang w:eastAsia="ar-SA"/>
        </w:rPr>
        <w:t>nos termos dos arts. 62 a 70 da Lei nº 14.133, de 2021,</w:t>
      </w:r>
      <w:r>
        <w:rPr>
          <w:rFonts w:cs="Arial"/>
          <w:sz w:val="24"/>
          <w:szCs w:val="24"/>
          <w:lang w:eastAsia="ar-SA"/>
        </w:rPr>
        <w:t xml:space="preserve"> serão solicitados do fornecedor mais bem classificado.</w:t>
      </w:r>
    </w:p>
    <w:p>
      <w:pPr>
        <w:pStyle w:val="BodyText"/>
        <w:numPr>
          <w:ilvl w:val="1"/>
          <w:numId w:val="15"/>
        </w:numPr>
        <w:spacing w:lineRule="atLeast" w:line="280" w:before="120" w:after="240"/>
        <w:rPr>
          <w:rFonts w:cs="Arial"/>
          <w:sz w:val="24"/>
          <w:szCs w:val="24"/>
        </w:rPr>
      </w:pPr>
      <w:r>
        <w:rPr>
          <w:rFonts w:cs="Arial"/>
          <w:sz w:val="24"/>
          <w:szCs w:val="24"/>
        </w:rPr>
        <w:t>Não serão aceitos documentos de habilitação com indicação de CNPJ/CPF diferentes, salvo aqueles legalmente permitidos.</w:t>
      </w:r>
    </w:p>
    <w:p>
      <w:pPr>
        <w:pStyle w:val="BodyText"/>
        <w:numPr>
          <w:ilvl w:val="1"/>
          <w:numId w:val="15"/>
        </w:numPr>
        <w:spacing w:lineRule="atLeast" w:line="280" w:before="120" w:after="240"/>
        <w:rPr>
          <w:rFonts w:cs="Arial"/>
          <w:sz w:val="24"/>
          <w:szCs w:val="24"/>
        </w:rPr>
      </w:pPr>
      <w:r>
        <w:rPr>
          <w:rFonts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BodyText"/>
        <w:numPr>
          <w:ilvl w:val="1"/>
          <w:numId w:val="15"/>
        </w:numPr>
        <w:spacing w:lineRule="atLeast" w:line="280" w:before="120" w:after="240"/>
        <w:rPr>
          <w:rFonts w:cs="Arial"/>
          <w:sz w:val="24"/>
          <w:szCs w:val="24"/>
        </w:rPr>
      </w:pPr>
      <w:r>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pPr>
        <w:pStyle w:val="BodyText"/>
        <w:numPr>
          <w:ilvl w:val="1"/>
          <w:numId w:val="15"/>
        </w:numPr>
        <w:spacing w:lineRule="atLeast" w:line="280" w:before="120" w:after="240"/>
        <w:rPr>
          <w:rFonts w:cs="Arial"/>
          <w:sz w:val="24"/>
          <w:szCs w:val="24"/>
        </w:rPr>
      </w:pPr>
      <w:r>
        <w:rPr>
          <w:rFonts w:cs="Arial"/>
          <w:bCs/>
          <w:sz w:val="24"/>
          <w:szCs w:val="24"/>
        </w:rPr>
        <w:t xml:space="preserve">Havendo </w:t>
      </w:r>
      <w:r>
        <w:rPr>
          <w:rFonts w:cs="Arial"/>
          <w:iCs/>
          <w:sz w:val="24"/>
          <w:szCs w:val="24"/>
        </w:rPr>
        <w:t>necessidade</w:t>
      </w:r>
      <w:r>
        <w:rPr>
          <w:rFonts w:cs="Arial"/>
          <w:bCs/>
          <w:sz w:val="24"/>
          <w:szCs w:val="24"/>
        </w:rPr>
        <w:t xml:space="preserve"> de analisar minuciosamente os documentos exigidos, a sessão será suspensa, sendo informada a nova data e horário para a sua continuidade.</w:t>
      </w:r>
    </w:p>
    <w:p>
      <w:pPr>
        <w:pStyle w:val="BodyText"/>
        <w:numPr>
          <w:ilvl w:val="1"/>
          <w:numId w:val="15"/>
        </w:numPr>
        <w:spacing w:lineRule="atLeast" w:line="280" w:before="120" w:after="240"/>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quaisquer</w:t>
      </w:r>
      <w:r>
        <w:rPr>
          <w:rFonts w:cs="Arial"/>
          <w:sz w:val="24"/>
          <w:szCs w:val="24"/>
        </w:rPr>
        <w:t xml:space="preserve"> dos </w:t>
      </w:r>
      <w:r>
        <w:rPr>
          <w:rFonts w:cs="Arial"/>
          <w:bCs/>
          <w:sz w:val="24"/>
          <w:szCs w:val="24"/>
        </w:rPr>
        <w:t>documentos</w:t>
      </w:r>
      <w:r>
        <w:rPr>
          <w:rFonts w:cs="Arial"/>
          <w:sz w:val="24"/>
          <w:szCs w:val="24"/>
        </w:rPr>
        <w:t xml:space="preserve"> exigidos, ou apresentá-los em desacordo com o estabelecido neste Aviso de Contratação Direta.</w:t>
      </w:r>
    </w:p>
    <w:p>
      <w:pPr>
        <w:pStyle w:val="BodyText"/>
        <w:numPr>
          <w:ilvl w:val="2"/>
          <w:numId w:val="15"/>
        </w:numPr>
        <w:spacing w:lineRule="atLeast" w:line="280" w:before="120" w:after="240"/>
        <w:rPr>
          <w:rFonts w:cs="Arial"/>
          <w:sz w:val="24"/>
          <w:szCs w:val="24"/>
        </w:rPr>
      </w:pPr>
      <w:r>
        <w:rPr>
          <w:rFonts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BodyText"/>
        <w:numPr>
          <w:ilvl w:val="1"/>
          <w:numId w:val="15"/>
        </w:numPr>
        <w:spacing w:lineRule="atLeast" w:line="280" w:before="120" w:after="240"/>
        <w:rPr>
          <w:sz w:val="24"/>
          <w:szCs w:val="24"/>
        </w:rPr>
      </w:pPr>
      <w:r>
        <w:rPr>
          <w:rFonts w:cs="Arial"/>
          <w:iCs/>
          <w:sz w:val="24"/>
          <w:szCs w:val="24"/>
        </w:rPr>
        <w:t>Constatado o atendimento às exigências de habilitação, o fornecedor será habilitado</w:t>
      </w:r>
      <w:r>
        <w:rPr>
          <w:sz w:val="24"/>
          <w:szCs w:val="24"/>
        </w:rPr>
        <w:t>.</w:t>
      </w:r>
    </w:p>
    <w:p>
      <w:pPr>
        <w:pStyle w:val="BodyText"/>
        <w:numPr>
          <w:ilvl w:val="1"/>
          <w:numId w:val="15"/>
        </w:numPr>
        <w:spacing w:lineRule="atLeast" w:line="280" w:before="120" w:after="240"/>
        <w:rPr>
          <w:b/>
          <w:bCs/>
          <w:color w:val="auto"/>
          <w:sz w:val="24"/>
          <w:szCs w:val="24"/>
        </w:rPr>
      </w:pPr>
      <w:r>
        <w:rPr>
          <w:b/>
          <w:color w:val="auto"/>
          <w:sz w:val="24"/>
          <w:szCs w:val="24"/>
        </w:rPr>
        <w:t>Sob pena de inabilitação e consequente eliminação automática desta Contratação Direta, a proponente deverá apresentar os seguintes documentos:</w:t>
      </w:r>
    </w:p>
    <w:p>
      <w:pPr>
        <w:pStyle w:val="BodyText"/>
        <w:numPr>
          <w:ilvl w:val="2"/>
          <w:numId w:val="15"/>
        </w:numPr>
        <w:spacing w:lineRule="atLeast" w:line="280" w:before="120" w:after="240"/>
        <w:rPr>
          <w:b/>
          <w:bCs/>
          <w:sz w:val="24"/>
          <w:szCs w:val="24"/>
        </w:rPr>
      </w:pPr>
      <w:r>
        <w:rPr>
          <w:b/>
          <w:sz w:val="24"/>
          <w:szCs w:val="24"/>
          <w:u w:val="single"/>
        </w:rPr>
        <w:t>HABILITAÇÃO</w:t>
      </w:r>
      <w:r>
        <w:rPr>
          <w:b/>
          <w:spacing w:val="-2"/>
          <w:sz w:val="24"/>
          <w:szCs w:val="24"/>
          <w:u w:val="single"/>
        </w:rPr>
        <w:t xml:space="preserve"> </w:t>
      </w:r>
      <w:r>
        <w:rPr>
          <w:b/>
          <w:sz w:val="24"/>
          <w:szCs w:val="24"/>
          <w:u w:val="single"/>
        </w:rPr>
        <w:t>JURÍDICA</w:t>
      </w:r>
      <w:r>
        <w:rPr>
          <w:b/>
          <w:sz w:val="24"/>
          <w:szCs w:val="24"/>
        </w:rPr>
        <w:t>:</w:t>
      </w:r>
    </w:p>
    <w:p>
      <w:pPr>
        <w:pStyle w:val="BodyText"/>
        <w:numPr>
          <w:ilvl w:val="3"/>
          <w:numId w:val="15"/>
        </w:numPr>
        <w:spacing w:lineRule="atLeast" w:line="280" w:before="120" w:after="240"/>
        <w:rPr>
          <w:sz w:val="24"/>
          <w:szCs w:val="24"/>
        </w:rPr>
      </w:pPr>
      <w:r>
        <w:rPr>
          <w:sz w:val="24"/>
          <w:szCs w:val="24"/>
        </w:rPr>
        <w:t>Registro</w:t>
      </w:r>
      <w:r>
        <w:rPr>
          <w:spacing w:val="1"/>
          <w:sz w:val="24"/>
          <w:szCs w:val="24"/>
        </w:rPr>
        <w:t xml:space="preserve"> </w:t>
      </w:r>
      <w:r>
        <w:rPr>
          <w:sz w:val="24"/>
          <w:szCs w:val="24"/>
        </w:rPr>
        <w:t>no</w:t>
      </w:r>
      <w:r>
        <w:rPr>
          <w:spacing w:val="1"/>
          <w:sz w:val="24"/>
          <w:szCs w:val="24"/>
        </w:rPr>
        <w:t xml:space="preserve"> </w:t>
      </w:r>
      <w:r>
        <w:rPr>
          <w:sz w:val="24"/>
          <w:szCs w:val="24"/>
        </w:rPr>
        <w:t>Registro</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Empresas</w:t>
      </w:r>
      <w:r>
        <w:rPr>
          <w:spacing w:val="1"/>
          <w:sz w:val="24"/>
          <w:szCs w:val="24"/>
        </w:rPr>
        <w:t xml:space="preserve"> </w:t>
      </w:r>
      <w:r>
        <w:rPr>
          <w:sz w:val="24"/>
          <w:szCs w:val="24"/>
        </w:rPr>
        <w:t>Mercantis,</w:t>
      </w:r>
      <w:r>
        <w:rPr>
          <w:spacing w:val="1"/>
          <w:sz w:val="24"/>
          <w:szCs w:val="24"/>
        </w:rPr>
        <w:t xml:space="preserve"> </w:t>
      </w:r>
      <w:r>
        <w:rPr>
          <w:sz w:val="24"/>
          <w:szCs w:val="24"/>
        </w:rPr>
        <w:t>em</w:t>
      </w:r>
      <w:r>
        <w:rPr>
          <w:spacing w:val="1"/>
          <w:sz w:val="24"/>
          <w:szCs w:val="24"/>
        </w:rPr>
        <w:t xml:space="preserve"> </w:t>
      </w:r>
      <w:r>
        <w:rPr>
          <w:sz w:val="24"/>
          <w:szCs w:val="24"/>
        </w:rPr>
        <w:t>se</w:t>
      </w:r>
      <w:r>
        <w:rPr>
          <w:spacing w:val="1"/>
          <w:sz w:val="24"/>
          <w:szCs w:val="24"/>
        </w:rPr>
        <w:t xml:space="preserve"> </w:t>
      </w:r>
      <w:r>
        <w:rPr>
          <w:sz w:val="24"/>
          <w:szCs w:val="24"/>
        </w:rPr>
        <w:t>tratando</w:t>
      </w:r>
      <w:r>
        <w:rPr>
          <w:spacing w:val="1"/>
          <w:sz w:val="24"/>
          <w:szCs w:val="24"/>
        </w:rPr>
        <w:t xml:space="preserve"> </w:t>
      </w:r>
      <w:r>
        <w:rPr>
          <w:sz w:val="24"/>
          <w:szCs w:val="24"/>
        </w:rPr>
        <w:t>de</w:t>
      </w:r>
      <w:r>
        <w:rPr>
          <w:spacing w:val="1"/>
          <w:sz w:val="24"/>
          <w:szCs w:val="24"/>
        </w:rPr>
        <w:t xml:space="preserve"> </w:t>
      </w:r>
      <w:r>
        <w:rPr>
          <w:sz w:val="24"/>
          <w:szCs w:val="24"/>
        </w:rPr>
        <w:t>empresário</w:t>
      </w:r>
      <w:r>
        <w:rPr>
          <w:spacing w:val="-3"/>
          <w:sz w:val="24"/>
          <w:szCs w:val="24"/>
        </w:rPr>
        <w:t xml:space="preserve"> </w:t>
      </w:r>
      <w:r>
        <w:rPr>
          <w:sz w:val="24"/>
          <w:szCs w:val="24"/>
        </w:rPr>
        <w:t>individual</w:t>
      </w:r>
      <w:r>
        <w:rPr>
          <w:spacing w:val="-2"/>
          <w:sz w:val="24"/>
          <w:szCs w:val="24"/>
        </w:rPr>
        <w:t xml:space="preserve"> </w:t>
      </w:r>
      <w:r>
        <w:rPr>
          <w:sz w:val="24"/>
          <w:szCs w:val="24"/>
        </w:rPr>
        <w:t>ou</w:t>
      </w:r>
      <w:r>
        <w:rPr>
          <w:spacing w:val="-2"/>
          <w:sz w:val="24"/>
          <w:szCs w:val="24"/>
        </w:rPr>
        <w:t xml:space="preserve"> </w:t>
      </w:r>
      <w:r>
        <w:rPr>
          <w:sz w:val="24"/>
          <w:szCs w:val="24"/>
        </w:rPr>
        <w:t>sociedade</w:t>
      </w:r>
      <w:r>
        <w:rPr>
          <w:spacing w:val="-1"/>
          <w:sz w:val="24"/>
          <w:szCs w:val="24"/>
        </w:rPr>
        <w:t xml:space="preserve"> </w:t>
      </w:r>
      <w:r>
        <w:rPr>
          <w:sz w:val="24"/>
          <w:szCs w:val="24"/>
        </w:rPr>
        <w:t>empresária.</w:t>
      </w:r>
    </w:p>
    <w:p>
      <w:pPr>
        <w:pStyle w:val="BodyText"/>
        <w:numPr>
          <w:ilvl w:val="3"/>
          <w:numId w:val="15"/>
        </w:numPr>
        <w:spacing w:lineRule="atLeast" w:line="280" w:before="120" w:after="240"/>
        <w:rPr>
          <w:sz w:val="24"/>
          <w:szCs w:val="24"/>
        </w:rPr>
      </w:pPr>
      <w:r>
        <w:rPr>
          <w:sz w:val="24"/>
          <w:szCs w:val="24"/>
        </w:rPr>
        <w:t>Registro no Registro Civil das Pessoas Jurídicas, em se tratando de sociedade</w:t>
      </w:r>
      <w:r>
        <w:rPr>
          <w:spacing w:val="1"/>
          <w:sz w:val="24"/>
          <w:szCs w:val="24"/>
        </w:rPr>
        <w:t xml:space="preserve"> </w:t>
      </w:r>
      <w:r>
        <w:rPr>
          <w:sz w:val="24"/>
          <w:szCs w:val="24"/>
        </w:rPr>
        <w:t>simples.</w:t>
      </w:r>
    </w:p>
    <w:p>
      <w:pPr>
        <w:pStyle w:val="BodyText"/>
        <w:numPr>
          <w:ilvl w:val="3"/>
          <w:numId w:val="15"/>
        </w:numPr>
        <w:spacing w:lineRule="atLeast" w:line="280" w:before="120" w:after="240"/>
        <w:rPr>
          <w:sz w:val="24"/>
          <w:szCs w:val="24"/>
        </w:rPr>
      </w:pPr>
      <w:r>
        <w:rPr>
          <w:sz w:val="24"/>
          <w:szCs w:val="24"/>
        </w:rPr>
        <w:t>Ato</w:t>
      </w:r>
      <w:r>
        <w:rPr>
          <w:spacing w:val="1"/>
          <w:sz w:val="24"/>
          <w:szCs w:val="24"/>
        </w:rPr>
        <w:t xml:space="preserve"> </w:t>
      </w:r>
      <w:r>
        <w:rPr>
          <w:sz w:val="24"/>
          <w:szCs w:val="24"/>
        </w:rPr>
        <w:t>Constitutivo,</w:t>
      </w:r>
      <w:r>
        <w:rPr>
          <w:spacing w:val="1"/>
          <w:sz w:val="24"/>
          <w:szCs w:val="24"/>
        </w:rPr>
        <w:t xml:space="preserve"> </w:t>
      </w:r>
      <w:r>
        <w:rPr>
          <w:sz w:val="24"/>
          <w:szCs w:val="24"/>
        </w:rPr>
        <w:t>Estatuto</w:t>
      </w:r>
      <w:r>
        <w:rPr>
          <w:spacing w:val="1"/>
          <w:sz w:val="24"/>
          <w:szCs w:val="24"/>
        </w:rPr>
        <w:t xml:space="preserve"> </w:t>
      </w:r>
      <w:r>
        <w:rPr>
          <w:sz w:val="24"/>
          <w:szCs w:val="24"/>
        </w:rPr>
        <w:t>ou</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1"/>
          <w:sz w:val="24"/>
          <w:szCs w:val="24"/>
        </w:rPr>
        <w:t xml:space="preserve"> </w:t>
      </w:r>
      <w:r>
        <w:rPr>
          <w:sz w:val="24"/>
          <w:szCs w:val="24"/>
        </w:rPr>
        <w:t>em</w:t>
      </w:r>
      <w:r>
        <w:rPr>
          <w:spacing w:val="1"/>
          <w:sz w:val="24"/>
          <w:szCs w:val="24"/>
        </w:rPr>
        <w:t xml:space="preserve"> </w:t>
      </w:r>
      <w:r>
        <w:rPr>
          <w:sz w:val="24"/>
          <w:szCs w:val="24"/>
        </w:rPr>
        <w:t>vigor,</w:t>
      </w:r>
      <w:r>
        <w:rPr>
          <w:spacing w:val="1"/>
          <w:sz w:val="24"/>
          <w:szCs w:val="24"/>
        </w:rPr>
        <w:t xml:space="preserve"> </w:t>
      </w:r>
      <w:r>
        <w:rPr>
          <w:sz w:val="24"/>
          <w:szCs w:val="24"/>
        </w:rPr>
        <w:t>devidamente</w:t>
      </w:r>
      <w:r>
        <w:rPr>
          <w:spacing w:val="1"/>
          <w:sz w:val="24"/>
          <w:szCs w:val="24"/>
        </w:rPr>
        <w:t xml:space="preserve"> </w:t>
      </w:r>
      <w:r>
        <w:rPr>
          <w:sz w:val="24"/>
          <w:szCs w:val="24"/>
        </w:rPr>
        <w:t>registrado no órgão correspondente, indicando os atuais responsáveis pela</w:t>
      </w:r>
      <w:r>
        <w:rPr>
          <w:spacing w:val="1"/>
          <w:sz w:val="24"/>
          <w:szCs w:val="24"/>
        </w:rPr>
        <w:t xml:space="preserve"> </w:t>
      </w:r>
      <w:r>
        <w:rPr>
          <w:sz w:val="24"/>
          <w:szCs w:val="24"/>
        </w:rPr>
        <w:t>administração, caso</w:t>
      </w:r>
      <w:r>
        <w:rPr>
          <w:spacing w:val="23"/>
          <w:sz w:val="24"/>
          <w:szCs w:val="24"/>
        </w:rPr>
        <w:t xml:space="preserve"> </w:t>
      </w:r>
      <w:r>
        <w:rPr>
          <w:sz w:val="24"/>
          <w:szCs w:val="24"/>
        </w:rPr>
        <w:t>os</w:t>
      </w:r>
      <w:r>
        <w:rPr>
          <w:spacing w:val="22"/>
          <w:sz w:val="24"/>
          <w:szCs w:val="24"/>
        </w:rPr>
        <w:t xml:space="preserve"> </w:t>
      </w:r>
      <w:r>
        <w:rPr>
          <w:sz w:val="24"/>
          <w:szCs w:val="24"/>
        </w:rPr>
        <w:t>responsáveis</w:t>
      </w:r>
      <w:r>
        <w:rPr>
          <w:spacing w:val="24"/>
          <w:sz w:val="24"/>
          <w:szCs w:val="24"/>
        </w:rPr>
        <w:t xml:space="preserve"> </w:t>
      </w:r>
      <w:r>
        <w:rPr>
          <w:sz w:val="24"/>
          <w:szCs w:val="24"/>
        </w:rPr>
        <w:t>não</w:t>
      </w:r>
      <w:r>
        <w:rPr>
          <w:spacing w:val="21"/>
          <w:sz w:val="24"/>
          <w:szCs w:val="24"/>
        </w:rPr>
        <w:t xml:space="preserve"> </w:t>
      </w:r>
      <w:r>
        <w:rPr>
          <w:sz w:val="24"/>
          <w:szCs w:val="24"/>
        </w:rPr>
        <w:t>constem</w:t>
      </w:r>
      <w:r>
        <w:rPr>
          <w:spacing w:val="21"/>
          <w:sz w:val="24"/>
          <w:szCs w:val="24"/>
        </w:rPr>
        <w:t xml:space="preserve"> </w:t>
      </w:r>
      <w:r>
        <w:rPr>
          <w:sz w:val="24"/>
          <w:szCs w:val="24"/>
        </w:rPr>
        <w:t>no Contrato</w:t>
      </w:r>
      <w:r>
        <w:rPr>
          <w:spacing w:val="21"/>
          <w:sz w:val="24"/>
          <w:szCs w:val="24"/>
        </w:rPr>
        <w:t xml:space="preserve"> </w:t>
      </w:r>
      <w:r>
        <w:rPr>
          <w:sz w:val="24"/>
          <w:szCs w:val="24"/>
        </w:rPr>
        <w:t>Social,</w:t>
      </w:r>
      <w:r>
        <w:rPr>
          <w:spacing w:val="20"/>
          <w:sz w:val="24"/>
          <w:szCs w:val="24"/>
        </w:rPr>
        <w:t xml:space="preserve"> </w:t>
      </w:r>
      <w:r>
        <w:rPr>
          <w:sz w:val="24"/>
          <w:szCs w:val="24"/>
        </w:rPr>
        <w:t>documento</w:t>
      </w:r>
      <w:r>
        <w:rPr>
          <w:spacing w:val="23"/>
          <w:sz w:val="24"/>
          <w:szCs w:val="24"/>
        </w:rPr>
        <w:t xml:space="preserve"> </w:t>
      </w:r>
      <w:r>
        <w:rPr>
          <w:sz w:val="24"/>
          <w:szCs w:val="24"/>
        </w:rPr>
        <w:t>que</w:t>
      </w:r>
      <w:r>
        <w:rPr>
          <w:spacing w:val="-58"/>
          <w:sz w:val="24"/>
          <w:szCs w:val="24"/>
        </w:rPr>
        <w:t xml:space="preserve"> </w:t>
      </w:r>
      <w:r>
        <w:rPr>
          <w:sz w:val="24"/>
          <w:szCs w:val="24"/>
        </w:rPr>
        <w:t>indique</w:t>
      </w:r>
      <w:r>
        <w:rPr>
          <w:spacing w:val="-2"/>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3"/>
          <w:sz w:val="24"/>
          <w:szCs w:val="24"/>
        </w:rPr>
        <w:t xml:space="preserve"> </w:t>
      </w:r>
      <w:r>
        <w:rPr>
          <w:sz w:val="24"/>
          <w:szCs w:val="24"/>
        </w:rPr>
        <w:t>administração.</w:t>
      </w:r>
    </w:p>
    <w:p>
      <w:pPr>
        <w:pStyle w:val="BodyText"/>
        <w:numPr>
          <w:ilvl w:val="3"/>
          <w:numId w:val="15"/>
        </w:numPr>
        <w:spacing w:lineRule="atLeast" w:line="280" w:before="120" w:after="240"/>
        <w:rPr>
          <w:sz w:val="24"/>
          <w:szCs w:val="24"/>
        </w:rPr>
      </w:pPr>
      <w:r>
        <w:rPr>
          <w:sz w:val="24"/>
          <w:szCs w:val="24"/>
        </w:rPr>
        <w:t>Cópia</w:t>
      </w:r>
      <w:r>
        <w:rPr>
          <w:spacing w:val="1"/>
          <w:sz w:val="24"/>
          <w:szCs w:val="24"/>
        </w:rPr>
        <w:t xml:space="preserve"> </w:t>
      </w:r>
      <w:r>
        <w:rPr>
          <w:sz w:val="24"/>
          <w:szCs w:val="24"/>
        </w:rPr>
        <w:t>da</w:t>
      </w:r>
      <w:r>
        <w:rPr>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assembleia</w:t>
      </w:r>
      <w:r>
        <w:rPr>
          <w:spacing w:val="1"/>
          <w:sz w:val="24"/>
          <w:szCs w:val="24"/>
        </w:rPr>
        <w:t xml:space="preserve"> </w:t>
      </w:r>
      <w:r>
        <w:rPr>
          <w:sz w:val="24"/>
          <w:szCs w:val="24"/>
        </w:rPr>
        <w:t>geral</w:t>
      </w:r>
      <w:r>
        <w:rPr>
          <w:spacing w:val="1"/>
          <w:sz w:val="24"/>
          <w:szCs w:val="24"/>
        </w:rPr>
        <w:t xml:space="preserve"> </w:t>
      </w:r>
      <w:r>
        <w:rPr>
          <w:sz w:val="24"/>
          <w:szCs w:val="24"/>
        </w:rPr>
        <w:t>ou</w:t>
      </w:r>
      <w:r>
        <w:rPr>
          <w:spacing w:val="1"/>
          <w:sz w:val="24"/>
          <w:szCs w:val="24"/>
        </w:rPr>
        <w:t xml:space="preserve"> </w:t>
      </w:r>
      <w:r>
        <w:rPr>
          <w:sz w:val="24"/>
          <w:szCs w:val="24"/>
        </w:rPr>
        <w:t>da</w:t>
      </w:r>
      <w:r>
        <w:rPr>
          <w:spacing w:val="1"/>
          <w:sz w:val="24"/>
          <w:szCs w:val="24"/>
        </w:rPr>
        <w:t xml:space="preserve"> </w:t>
      </w:r>
      <w:r>
        <w:rPr>
          <w:sz w:val="24"/>
          <w:szCs w:val="24"/>
        </w:rPr>
        <w:t>reunião</w:t>
      </w:r>
      <w:r>
        <w:rPr>
          <w:spacing w:val="1"/>
          <w:sz w:val="24"/>
          <w:szCs w:val="24"/>
        </w:rPr>
        <w:t xml:space="preserve"> </w:t>
      </w:r>
      <w:r>
        <w:rPr>
          <w:sz w:val="24"/>
          <w:szCs w:val="24"/>
        </w:rPr>
        <w:t>do</w:t>
      </w:r>
      <w:r>
        <w:rPr>
          <w:spacing w:val="1"/>
          <w:sz w:val="24"/>
          <w:szCs w:val="24"/>
        </w:rPr>
        <w:t xml:space="preserve"> </w:t>
      </w:r>
      <w:r>
        <w:rPr>
          <w:sz w:val="24"/>
          <w:szCs w:val="24"/>
        </w:rPr>
        <w:t>conselho</w:t>
      </w:r>
      <w:r>
        <w:rPr>
          <w:spacing w:val="1"/>
          <w:sz w:val="24"/>
          <w:szCs w:val="24"/>
        </w:rPr>
        <w:t xml:space="preserve"> </w:t>
      </w:r>
      <w:r>
        <w:rPr>
          <w:sz w:val="24"/>
          <w:szCs w:val="24"/>
        </w:rPr>
        <w:t>de</w:t>
      </w:r>
      <w:r>
        <w:rPr>
          <w:spacing w:val="1"/>
          <w:sz w:val="24"/>
          <w:szCs w:val="24"/>
        </w:rPr>
        <w:t xml:space="preserve"> </w:t>
      </w:r>
      <w:r>
        <w:rPr>
          <w:sz w:val="24"/>
          <w:szCs w:val="24"/>
        </w:rPr>
        <w:t>administração</w:t>
      </w:r>
      <w:r>
        <w:rPr>
          <w:spacing w:val="13"/>
          <w:sz w:val="24"/>
          <w:szCs w:val="24"/>
        </w:rPr>
        <w:t xml:space="preserve"> </w:t>
      </w:r>
      <w:r>
        <w:rPr>
          <w:sz w:val="24"/>
          <w:szCs w:val="24"/>
        </w:rPr>
        <w:t>atinente</w:t>
      </w:r>
      <w:r>
        <w:rPr>
          <w:spacing w:val="18"/>
          <w:sz w:val="24"/>
          <w:szCs w:val="24"/>
        </w:rPr>
        <w:t xml:space="preserve"> </w:t>
      </w:r>
      <w:r>
        <w:rPr>
          <w:sz w:val="24"/>
          <w:szCs w:val="24"/>
        </w:rPr>
        <w:t>à</w:t>
      </w:r>
      <w:r>
        <w:rPr>
          <w:spacing w:val="14"/>
          <w:sz w:val="24"/>
          <w:szCs w:val="24"/>
        </w:rPr>
        <w:t xml:space="preserve"> </w:t>
      </w:r>
      <w:r>
        <w:rPr>
          <w:sz w:val="24"/>
          <w:szCs w:val="24"/>
        </w:rPr>
        <w:t>eleição</w:t>
      </w:r>
      <w:r>
        <w:rPr>
          <w:spacing w:val="17"/>
          <w:sz w:val="24"/>
          <w:szCs w:val="24"/>
        </w:rPr>
        <w:t xml:space="preserve"> </w:t>
      </w:r>
      <w:r>
        <w:rPr>
          <w:sz w:val="24"/>
          <w:szCs w:val="24"/>
        </w:rPr>
        <w:t>e</w:t>
      </w:r>
      <w:r>
        <w:rPr>
          <w:spacing w:val="15"/>
          <w:sz w:val="24"/>
          <w:szCs w:val="24"/>
        </w:rPr>
        <w:t xml:space="preserve"> </w:t>
      </w:r>
      <w:r>
        <w:rPr>
          <w:sz w:val="24"/>
          <w:szCs w:val="24"/>
        </w:rPr>
        <w:t>ao</w:t>
      </w:r>
      <w:r>
        <w:rPr>
          <w:spacing w:val="16"/>
          <w:sz w:val="24"/>
          <w:szCs w:val="24"/>
        </w:rPr>
        <w:t xml:space="preserve"> </w:t>
      </w:r>
      <w:r>
        <w:rPr>
          <w:sz w:val="24"/>
          <w:szCs w:val="24"/>
        </w:rPr>
        <w:t>mandato</w:t>
      </w:r>
      <w:r>
        <w:rPr>
          <w:spacing w:val="16"/>
          <w:sz w:val="24"/>
          <w:szCs w:val="24"/>
        </w:rPr>
        <w:t xml:space="preserve"> </w:t>
      </w:r>
      <w:r>
        <w:rPr>
          <w:sz w:val="24"/>
          <w:szCs w:val="24"/>
        </w:rPr>
        <w:t>dos</w:t>
      </w:r>
      <w:r>
        <w:rPr>
          <w:spacing w:val="15"/>
          <w:sz w:val="24"/>
          <w:szCs w:val="24"/>
        </w:rPr>
        <w:t xml:space="preserve"> </w:t>
      </w:r>
      <w:r>
        <w:rPr>
          <w:sz w:val="24"/>
          <w:szCs w:val="24"/>
        </w:rPr>
        <w:t>atuais</w:t>
      </w:r>
      <w:r>
        <w:rPr>
          <w:spacing w:val="16"/>
          <w:sz w:val="24"/>
          <w:szCs w:val="24"/>
        </w:rPr>
        <w:t xml:space="preserve"> </w:t>
      </w:r>
      <w:r>
        <w:rPr>
          <w:sz w:val="24"/>
          <w:szCs w:val="24"/>
        </w:rPr>
        <w:t>administradores, evidenciando</w:t>
      </w:r>
      <w:r>
        <w:rPr>
          <w:spacing w:val="1"/>
          <w:sz w:val="24"/>
          <w:szCs w:val="24"/>
        </w:rPr>
        <w:t xml:space="preserve"> </w:t>
      </w:r>
      <w:r>
        <w:rPr>
          <w:sz w:val="24"/>
          <w:szCs w:val="24"/>
        </w:rPr>
        <w:t>o</w:t>
      </w:r>
      <w:r>
        <w:rPr>
          <w:spacing w:val="1"/>
          <w:sz w:val="24"/>
          <w:szCs w:val="24"/>
        </w:rPr>
        <w:t xml:space="preserve"> </w:t>
      </w:r>
      <w:r>
        <w:rPr>
          <w:sz w:val="24"/>
          <w:szCs w:val="24"/>
        </w:rPr>
        <w:t>devido</w:t>
      </w:r>
      <w:r>
        <w:rPr>
          <w:spacing w:val="1"/>
          <w:sz w:val="24"/>
          <w:szCs w:val="24"/>
        </w:rPr>
        <w:t xml:space="preserve"> </w:t>
      </w:r>
      <w:r>
        <w:rPr>
          <w:sz w:val="24"/>
          <w:szCs w:val="24"/>
        </w:rPr>
        <w:t>registro</w:t>
      </w:r>
      <w:r>
        <w:rPr>
          <w:spacing w:val="1"/>
          <w:sz w:val="24"/>
          <w:szCs w:val="24"/>
        </w:rPr>
        <w:t xml:space="preserve"> </w:t>
      </w:r>
      <w:r>
        <w:rPr>
          <w:sz w:val="24"/>
          <w:szCs w:val="24"/>
        </w:rPr>
        <w:t>na</w:t>
      </w:r>
      <w:r>
        <w:rPr>
          <w:spacing w:val="1"/>
          <w:sz w:val="24"/>
          <w:szCs w:val="24"/>
        </w:rPr>
        <w:t xml:space="preserve"> </w:t>
      </w:r>
      <w:r>
        <w:rPr>
          <w:sz w:val="24"/>
          <w:szCs w:val="24"/>
        </w:rPr>
        <w:t>junta</w:t>
      </w:r>
      <w:r>
        <w:rPr>
          <w:spacing w:val="1"/>
          <w:sz w:val="24"/>
          <w:szCs w:val="24"/>
        </w:rPr>
        <w:t xml:space="preserve"> </w:t>
      </w:r>
      <w:r>
        <w:rPr>
          <w:sz w:val="24"/>
          <w:szCs w:val="24"/>
        </w:rPr>
        <w:t>comercial</w:t>
      </w:r>
      <w:r>
        <w:rPr>
          <w:spacing w:val="1"/>
          <w:sz w:val="24"/>
          <w:szCs w:val="24"/>
        </w:rPr>
        <w:t xml:space="preserve"> </w:t>
      </w:r>
      <w:r>
        <w:rPr>
          <w:sz w:val="24"/>
          <w:szCs w:val="24"/>
        </w:rPr>
        <w:t>pertinente</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publicação</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6.404/76</w:t>
      </w:r>
      <w:r>
        <w:rPr>
          <w:spacing w:val="1"/>
          <w:sz w:val="24"/>
          <w:szCs w:val="24"/>
        </w:rPr>
        <w:t xml:space="preserve"> </w:t>
      </w:r>
      <w:r>
        <w:rPr>
          <w:sz w:val="24"/>
          <w:szCs w:val="24"/>
        </w:rPr>
        <w:t>e</w:t>
      </w:r>
      <w:r>
        <w:rPr>
          <w:spacing w:val="1"/>
          <w:sz w:val="24"/>
          <w:szCs w:val="24"/>
        </w:rPr>
        <w:t xml:space="preserve"> </w:t>
      </w:r>
      <w:r>
        <w:rPr>
          <w:sz w:val="24"/>
          <w:szCs w:val="24"/>
        </w:rPr>
        <w:t>suas</w:t>
      </w:r>
      <w:r>
        <w:rPr>
          <w:spacing w:val="1"/>
          <w:sz w:val="24"/>
          <w:szCs w:val="24"/>
        </w:rPr>
        <w:t xml:space="preserve"> </w:t>
      </w:r>
      <w:r>
        <w:rPr>
          <w:sz w:val="24"/>
          <w:szCs w:val="24"/>
        </w:rPr>
        <w:t>alterações,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sociedades</w:t>
      </w:r>
      <w:r>
        <w:rPr>
          <w:spacing w:val="-2"/>
          <w:sz w:val="24"/>
          <w:szCs w:val="24"/>
        </w:rPr>
        <w:t xml:space="preserve"> </w:t>
      </w:r>
      <w:r>
        <w:rPr>
          <w:sz w:val="24"/>
          <w:szCs w:val="24"/>
        </w:rPr>
        <w:t>anônimas.</w:t>
      </w:r>
    </w:p>
    <w:p>
      <w:pPr>
        <w:pStyle w:val="BodyText"/>
        <w:numPr>
          <w:ilvl w:val="3"/>
          <w:numId w:val="15"/>
        </w:numPr>
        <w:spacing w:lineRule="atLeast" w:line="280" w:before="120" w:after="240"/>
        <w:rPr>
          <w:sz w:val="24"/>
          <w:szCs w:val="24"/>
        </w:rPr>
      </w:pPr>
      <w:r>
        <w:rPr>
          <w:sz w:val="24"/>
          <w:szCs w:val="24"/>
        </w:rPr>
        <w:t>Cópia do decreto de autorização para que se estabeleçam no país e ato de registro</w:t>
      </w:r>
      <w:r>
        <w:rPr>
          <w:spacing w:val="1"/>
          <w:sz w:val="24"/>
          <w:szCs w:val="24"/>
        </w:rPr>
        <w:t xml:space="preserve"> </w:t>
      </w:r>
      <w:r>
        <w:rPr>
          <w:sz w:val="24"/>
          <w:szCs w:val="24"/>
        </w:rPr>
        <w:t>ou</w:t>
      </w:r>
      <w:r>
        <w:rPr>
          <w:spacing w:val="1"/>
          <w:sz w:val="24"/>
          <w:szCs w:val="24"/>
        </w:rPr>
        <w:t xml:space="preserve"> </w:t>
      </w:r>
      <w:r>
        <w:rPr>
          <w:sz w:val="24"/>
          <w:szCs w:val="24"/>
        </w:rPr>
        <w:t>autorização</w:t>
      </w:r>
      <w:r>
        <w:rPr>
          <w:spacing w:val="1"/>
          <w:sz w:val="24"/>
          <w:szCs w:val="24"/>
        </w:rPr>
        <w:t xml:space="preserve"> </w:t>
      </w:r>
      <w:r>
        <w:rPr>
          <w:sz w:val="24"/>
          <w:szCs w:val="24"/>
        </w:rPr>
        <w:t>para</w:t>
      </w:r>
      <w:r>
        <w:rPr>
          <w:spacing w:val="1"/>
          <w:sz w:val="24"/>
          <w:szCs w:val="24"/>
        </w:rPr>
        <w:t xml:space="preserve"> </w:t>
      </w:r>
      <w:r>
        <w:rPr>
          <w:sz w:val="24"/>
          <w:szCs w:val="24"/>
        </w:rPr>
        <w:t>funcionamento</w:t>
      </w:r>
      <w:r>
        <w:rPr>
          <w:spacing w:val="1"/>
          <w:sz w:val="24"/>
          <w:szCs w:val="24"/>
        </w:rPr>
        <w:t xml:space="preserve"> </w:t>
      </w:r>
      <w:r>
        <w:rPr>
          <w:sz w:val="24"/>
          <w:szCs w:val="24"/>
        </w:rPr>
        <w:t>expedido</w:t>
      </w:r>
      <w:r>
        <w:rPr>
          <w:spacing w:val="1"/>
          <w:sz w:val="24"/>
          <w:szCs w:val="24"/>
        </w:rPr>
        <w:t xml:space="preserve"> </w:t>
      </w:r>
      <w:r>
        <w:rPr>
          <w:sz w:val="24"/>
          <w:szCs w:val="24"/>
        </w:rPr>
        <w:t>pelo</w:t>
      </w:r>
      <w:r>
        <w:rPr>
          <w:spacing w:val="1"/>
          <w:sz w:val="24"/>
          <w:szCs w:val="24"/>
        </w:rPr>
        <w:t xml:space="preserve"> </w:t>
      </w:r>
      <w:r>
        <w:rPr>
          <w:sz w:val="24"/>
          <w:szCs w:val="24"/>
        </w:rPr>
        <w:t>órgão</w:t>
      </w:r>
      <w:r>
        <w:rPr>
          <w:spacing w:val="1"/>
          <w:sz w:val="24"/>
          <w:szCs w:val="24"/>
        </w:rPr>
        <w:t xml:space="preserve"> </w:t>
      </w:r>
      <w:r>
        <w:rPr>
          <w:sz w:val="24"/>
          <w:szCs w:val="24"/>
        </w:rPr>
        <w:t>competente,</w:t>
      </w:r>
      <w:r>
        <w:rPr>
          <w:spacing w:val="-3"/>
          <w:sz w:val="24"/>
          <w:szCs w:val="24"/>
        </w:rPr>
        <w:t xml:space="preserve"> </w:t>
      </w:r>
      <w:r>
        <w:rPr>
          <w:sz w:val="24"/>
          <w:szCs w:val="24"/>
        </w:rPr>
        <w:t>no</w:t>
      </w:r>
      <w:r>
        <w:rPr>
          <w:spacing w:val="-2"/>
          <w:sz w:val="24"/>
          <w:szCs w:val="24"/>
        </w:rPr>
        <w:t xml:space="preserve"> </w:t>
      </w:r>
      <w:r>
        <w:rPr>
          <w:sz w:val="24"/>
          <w:szCs w:val="24"/>
        </w:rPr>
        <w:t>caso</w:t>
      </w:r>
      <w:r>
        <w:rPr>
          <w:spacing w:val="-2"/>
          <w:sz w:val="24"/>
          <w:szCs w:val="24"/>
        </w:rPr>
        <w:t xml:space="preserve"> </w:t>
      </w:r>
      <w:r>
        <w:rPr>
          <w:sz w:val="24"/>
          <w:szCs w:val="24"/>
        </w:rPr>
        <w:t>de</w:t>
      </w:r>
      <w:r>
        <w:rPr>
          <w:spacing w:val="-2"/>
          <w:sz w:val="24"/>
          <w:szCs w:val="24"/>
        </w:rPr>
        <w:t xml:space="preserve"> </w:t>
      </w:r>
      <w:r>
        <w:rPr>
          <w:sz w:val="24"/>
          <w:szCs w:val="24"/>
        </w:rPr>
        <w:t>empresas ou</w:t>
      </w:r>
      <w:r>
        <w:rPr>
          <w:spacing w:val="-2"/>
          <w:sz w:val="24"/>
          <w:szCs w:val="24"/>
        </w:rPr>
        <w:t xml:space="preserve"> </w:t>
      </w:r>
      <w:r>
        <w:rPr>
          <w:sz w:val="24"/>
          <w:szCs w:val="24"/>
        </w:rPr>
        <w:t>sociedades</w:t>
      </w:r>
      <w:r>
        <w:rPr>
          <w:spacing w:val="-1"/>
          <w:sz w:val="24"/>
          <w:szCs w:val="24"/>
        </w:rPr>
        <w:t xml:space="preserve"> </w:t>
      </w:r>
      <w:r>
        <w:rPr>
          <w:sz w:val="24"/>
          <w:szCs w:val="24"/>
        </w:rPr>
        <w:t>estrangeiras.</w:t>
      </w:r>
    </w:p>
    <w:p>
      <w:pPr>
        <w:pStyle w:val="BodyText"/>
        <w:numPr>
          <w:ilvl w:val="2"/>
          <w:numId w:val="15"/>
        </w:numPr>
        <w:spacing w:lineRule="atLeast" w:line="280" w:before="120" w:after="240"/>
        <w:rPr>
          <w:b/>
          <w:bCs/>
          <w:sz w:val="24"/>
          <w:szCs w:val="24"/>
        </w:rPr>
      </w:pPr>
      <w:r>
        <w:rPr>
          <w:b/>
          <w:bCs/>
          <w:sz w:val="24"/>
          <w:szCs w:val="24"/>
          <w:u w:val="single"/>
        </w:rPr>
        <w:t>REGULARIDADE FISCAL</w:t>
      </w:r>
      <w:r>
        <w:rPr>
          <w:b/>
          <w:bCs/>
          <w:sz w:val="24"/>
          <w:szCs w:val="24"/>
        </w:rPr>
        <w:t>:</w:t>
      </w:r>
    </w:p>
    <w:p>
      <w:pPr>
        <w:pStyle w:val="BodyText"/>
        <w:numPr>
          <w:ilvl w:val="3"/>
          <w:numId w:val="15"/>
        </w:numPr>
        <w:spacing w:lineRule="atLeast" w:line="280" w:before="120" w:after="240"/>
        <w:rPr>
          <w:sz w:val="24"/>
          <w:szCs w:val="24"/>
        </w:rPr>
      </w:pPr>
      <w:r>
        <w:rPr>
          <w:sz w:val="24"/>
          <w:szCs w:val="24"/>
        </w:rPr>
        <w:t>Prova de inscrição no Cadastro Nacional de Pessoa Jurídica/</w:t>
      </w:r>
      <w:r>
        <w:rPr>
          <w:b/>
          <w:sz w:val="24"/>
          <w:szCs w:val="24"/>
        </w:rPr>
        <w:t>CNPJ</w:t>
      </w:r>
      <w:r>
        <w:rPr>
          <w:sz w:val="24"/>
          <w:szCs w:val="24"/>
        </w:rPr>
        <w:t>;</w:t>
      </w:r>
    </w:p>
    <w:p>
      <w:pPr>
        <w:pStyle w:val="BodyText"/>
        <w:numPr>
          <w:ilvl w:val="3"/>
          <w:numId w:val="15"/>
        </w:numPr>
        <w:spacing w:lineRule="atLeast" w:line="280" w:before="120" w:after="240"/>
        <w:rPr>
          <w:sz w:val="24"/>
          <w:szCs w:val="24"/>
        </w:rPr>
      </w:pPr>
      <w:r>
        <w:rPr>
          <w:sz w:val="24"/>
          <w:szCs w:val="24"/>
        </w:rPr>
        <w:t xml:space="preserve">Prova de </w:t>
      </w:r>
      <w:r>
        <w:rPr>
          <w:b/>
          <w:sz w:val="24"/>
          <w:szCs w:val="24"/>
        </w:rPr>
        <w:t>regularidade com a Fazenda Municipal</w:t>
      </w:r>
      <w:r>
        <w:rPr>
          <w:sz w:val="24"/>
          <w:szCs w:val="24"/>
        </w:rPr>
        <w:t>, em validade para o período desta licitação, do domicílio ou sede do licitante;</w:t>
      </w:r>
    </w:p>
    <w:p>
      <w:pPr>
        <w:pStyle w:val="BodyText"/>
        <w:numPr>
          <w:ilvl w:val="3"/>
          <w:numId w:val="15"/>
        </w:numPr>
        <w:spacing w:lineRule="atLeast" w:line="280" w:before="120" w:after="240"/>
        <w:rPr>
          <w:sz w:val="24"/>
          <w:szCs w:val="24"/>
        </w:rPr>
      </w:pPr>
      <w:r>
        <w:rPr>
          <w:sz w:val="24"/>
          <w:szCs w:val="24"/>
        </w:rPr>
        <w:t xml:space="preserve">Prova de regularidade com a </w:t>
      </w:r>
      <w:r>
        <w:rPr>
          <w:b/>
          <w:bCs/>
          <w:sz w:val="24"/>
          <w:szCs w:val="24"/>
        </w:rPr>
        <w:t>Fazenda Estadual</w:t>
      </w:r>
      <w:r>
        <w:rPr>
          <w:sz w:val="24"/>
          <w:szCs w:val="24"/>
        </w:rPr>
        <w:t xml:space="preserve"> (Certidão Negativa de tributo estadual – </w:t>
      </w:r>
      <w:r>
        <w:rPr>
          <w:sz w:val="24"/>
          <w:szCs w:val="24"/>
          <w:u w:val="single"/>
        </w:rPr>
        <w:t>apenas</w:t>
      </w:r>
      <w:r>
        <w:rPr>
          <w:sz w:val="24"/>
          <w:szCs w:val="24"/>
        </w:rPr>
        <w:t xml:space="preserve"> ICM/ICMS do domicílio da licitante);</w:t>
      </w:r>
    </w:p>
    <w:p>
      <w:pPr>
        <w:pStyle w:val="BodyText"/>
        <w:numPr>
          <w:ilvl w:val="3"/>
          <w:numId w:val="15"/>
        </w:numPr>
        <w:spacing w:lineRule="atLeast" w:line="280" w:before="120" w:after="240"/>
        <w:rPr>
          <w:b/>
          <w:bCs/>
          <w:sz w:val="24"/>
          <w:szCs w:val="24"/>
        </w:rPr>
      </w:pPr>
      <w:r>
        <w:rPr>
          <w:sz w:val="24"/>
          <w:szCs w:val="24"/>
        </w:rPr>
        <w:t xml:space="preserve">As </w:t>
      </w:r>
      <w:r>
        <w:rPr>
          <w:b/>
          <w:sz w:val="24"/>
          <w:szCs w:val="24"/>
        </w:rPr>
        <w:t>Certidões da Dívida Ativa</w:t>
      </w:r>
      <w:r>
        <w:rPr>
          <w:sz w:val="24"/>
          <w:szCs w:val="24"/>
        </w:rPr>
        <w:t>, no caso de empresas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pPr>
        <w:pStyle w:val="BodyText"/>
        <w:numPr>
          <w:ilvl w:val="3"/>
          <w:numId w:val="15"/>
        </w:numPr>
        <w:spacing w:lineRule="atLeast" w:line="280" w:before="120" w:after="240"/>
        <w:rPr>
          <w:sz w:val="24"/>
          <w:szCs w:val="24"/>
        </w:rPr>
      </w:pPr>
      <w:r>
        <w:rPr>
          <w:sz w:val="24"/>
          <w:szCs w:val="24"/>
        </w:rPr>
        <w:t>Para</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não</w:t>
      </w:r>
      <w:r>
        <w:rPr>
          <w:spacing w:val="1"/>
          <w:sz w:val="24"/>
          <w:szCs w:val="24"/>
        </w:rPr>
        <w:t xml:space="preserve"> </w:t>
      </w:r>
      <w:r>
        <w:rPr>
          <w:sz w:val="24"/>
          <w:szCs w:val="24"/>
        </w:rPr>
        <w:t>sediadas</w:t>
      </w:r>
      <w:r>
        <w:rPr>
          <w:spacing w:val="1"/>
          <w:sz w:val="24"/>
          <w:szCs w:val="24"/>
        </w:rPr>
        <w:t xml:space="preserve"> </w:t>
      </w:r>
      <w:r>
        <w:rPr>
          <w:sz w:val="24"/>
          <w:szCs w:val="24"/>
        </w:rPr>
        <w:t>no</w:t>
      </w:r>
      <w:r>
        <w:rPr>
          <w:spacing w:val="1"/>
          <w:sz w:val="24"/>
          <w:szCs w:val="24"/>
        </w:rPr>
        <w:t xml:space="preserve"> </w:t>
      </w:r>
      <w:r>
        <w:rPr>
          <w:sz w:val="24"/>
          <w:szCs w:val="24"/>
        </w:rPr>
        <w:t>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de</w:t>
      </w:r>
      <w:r>
        <w:rPr>
          <w:spacing w:val="1"/>
          <w:sz w:val="24"/>
          <w:szCs w:val="24"/>
        </w:rPr>
        <w:t xml:space="preserve"> </w:t>
      </w:r>
      <w:r>
        <w:rPr>
          <w:sz w:val="24"/>
          <w:szCs w:val="24"/>
        </w:rPr>
        <w:t>Janeiro,</w:t>
      </w:r>
      <w:r>
        <w:rPr>
          <w:spacing w:val="1"/>
          <w:sz w:val="24"/>
          <w:szCs w:val="24"/>
        </w:rPr>
        <w:t xml:space="preserve"> </w:t>
      </w:r>
      <w:r>
        <w:rPr>
          <w:sz w:val="24"/>
          <w:szCs w:val="24"/>
        </w:rPr>
        <w:t>o</w:t>
      </w:r>
      <w:r>
        <w:rPr>
          <w:spacing w:val="1"/>
          <w:sz w:val="24"/>
          <w:szCs w:val="24"/>
        </w:rPr>
        <w:t xml:space="preserve"> </w:t>
      </w:r>
      <w:r>
        <w:rPr>
          <w:sz w:val="24"/>
          <w:szCs w:val="24"/>
        </w:rPr>
        <w:t>documento</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Fazenda</w:t>
      </w:r>
      <w:r>
        <w:rPr>
          <w:spacing w:val="1"/>
          <w:sz w:val="24"/>
          <w:szCs w:val="24"/>
        </w:rPr>
        <w:t xml:space="preserve"> </w:t>
      </w:r>
      <w:r>
        <w:rPr>
          <w:sz w:val="24"/>
          <w:szCs w:val="24"/>
        </w:rPr>
        <w:t>Estadual</w:t>
      </w:r>
      <w:r>
        <w:rPr>
          <w:spacing w:val="1"/>
          <w:sz w:val="24"/>
          <w:szCs w:val="24"/>
        </w:rPr>
        <w:t xml:space="preserve"> </w:t>
      </w:r>
      <w:r>
        <w:rPr>
          <w:sz w:val="24"/>
          <w:szCs w:val="24"/>
        </w:rPr>
        <w:t>ou</w:t>
      </w:r>
      <w:r>
        <w:rPr>
          <w:spacing w:val="1"/>
          <w:sz w:val="24"/>
          <w:szCs w:val="24"/>
        </w:rPr>
        <w:t xml:space="preserve"> </w:t>
      </w:r>
      <w:r>
        <w:rPr>
          <w:sz w:val="24"/>
          <w:szCs w:val="24"/>
        </w:rPr>
        <w:t>do</w:t>
      </w:r>
      <w:r>
        <w:rPr>
          <w:spacing w:val="1"/>
          <w:sz w:val="24"/>
          <w:szCs w:val="24"/>
        </w:rPr>
        <w:t xml:space="preserve"> </w:t>
      </w:r>
      <w:r>
        <w:rPr>
          <w:sz w:val="24"/>
          <w:szCs w:val="24"/>
        </w:rPr>
        <w:t>Distrito</w:t>
      </w:r>
      <w:r>
        <w:rPr>
          <w:spacing w:val="60"/>
          <w:sz w:val="24"/>
          <w:szCs w:val="24"/>
        </w:rPr>
        <w:t xml:space="preserve"> </w:t>
      </w:r>
      <w:r>
        <w:rPr>
          <w:sz w:val="24"/>
          <w:szCs w:val="24"/>
        </w:rPr>
        <w:t>Federal,</w:t>
      </w:r>
      <w:r>
        <w:rPr>
          <w:spacing w:val="61"/>
          <w:sz w:val="24"/>
          <w:szCs w:val="24"/>
        </w:rPr>
        <w:t xml:space="preserve"> </w:t>
      </w:r>
      <w:r>
        <w:rPr>
          <w:sz w:val="24"/>
          <w:szCs w:val="24"/>
        </w:rPr>
        <w:t>do</w:t>
      </w:r>
      <w:r>
        <w:rPr>
          <w:spacing w:val="1"/>
          <w:sz w:val="24"/>
          <w:szCs w:val="24"/>
        </w:rPr>
        <w:t xml:space="preserve"> </w:t>
      </w:r>
      <w:r>
        <w:rPr>
          <w:sz w:val="24"/>
          <w:szCs w:val="24"/>
        </w:rPr>
        <w:t>domicílio</w:t>
      </w:r>
      <w:r>
        <w:rPr>
          <w:spacing w:val="1"/>
          <w:sz w:val="24"/>
          <w:szCs w:val="24"/>
        </w:rPr>
        <w:t xml:space="preserve"> </w:t>
      </w:r>
      <w:r>
        <w:rPr>
          <w:sz w:val="24"/>
          <w:szCs w:val="24"/>
        </w:rPr>
        <w:t>ou</w:t>
      </w:r>
      <w:r>
        <w:rPr>
          <w:spacing w:val="1"/>
          <w:sz w:val="24"/>
          <w:szCs w:val="24"/>
        </w:rPr>
        <w:t xml:space="preserve"> </w:t>
      </w:r>
      <w:r>
        <w:rPr>
          <w:sz w:val="24"/>
          <w:szCs w:val="24"/>
        </w:rPr>
        <w:t>sede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deverá</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inexistência</w:t>
      </w:r>
      <w:r>
        <w:rPr>
          <w:spacing w:val="1"/>
          <w:sz w:val="24"/>
          <w:szCs w:val="24"/>
        </w:rPr>
        <w:t xml:space="preserve"> </w:t>
      </w:r>
      <w:r>
        <w:rPr>
          <w:sz w:val="24"/>
          <w:szCs w:val="24"/>
        </w:rPr>
        <w:t>tanto</w:t>
      </w:r>
      <w:r>
        <w:rPr>
          <w:spacing w:val="1"/>
          <w:sz w:val="24"/>
          <w:szCs w:val="24"/>
        </w:rPr>
        <w:t xml:space="preserve"> </w:t>
      </w:r>
      <w:r>
        <w:rPr>
          <w:sz w:val="24"/>
          <w:szCs w:val="24"/>
        </w:rPr>
        <w:t>de</w:t>
      </w:r>
      <w:r>
        <w:rPr>
          <w:spacing w:val="-58"/>
          <w:sz w:val="24"/>
          <w:szCs w:val="24"/>
        </w:rPr>
        <w:t xml:space="preserve"> </w:t>
      </w:r>
      <w:r>
        <w:rPr>
          <w:sz w:val="24"/>
          <w:szCs w:val="24"/>
        </w:rPr>
        <w:t>débitos inscritos quanto de não inscritos na Dívida Ativa ou demonstrar de</w:t>
      </w:r>
      <w:r>
        <w:rPr>
          <w:spacing w:val="1"/>
          <w:sz w:val="24"/>
          <w:szCs w:val="24"/>
        </w:rPr>
        <w:t xml:space="preserve"> </w:t>
      </w:r>
      <w:r>
        <w:rPr>
          <w:sz w:val="24"/>
          <w:szCs w:val="24"/>
        </w:rPr>
        <w:t>outra</w:t>
      </w:r>
      <w:r>
        <w:rPr>
          <w:spacing w:val="1"/>
          <w:sz w:val="24"/>
          <w:szCs w:val="24"/>
        </w:rPr>
        <w:t xml:space="preserve"> </w:t>
      </w:r>
      <w:r>
        <w:rPr>
          <w:sz w:val="24"/>
          <w:szCs w:val="24"/>
        </w:rPr>
        <w:t>forma</w:t>
      </w:r>
      <w:r>
        <w:rPr>
          <w:spacing w:val="1"/>
          <w:sz w:val="24"/>
          <w:szCs w:val="24"/>
        </w:rPr>
        <w:t xml:space="preserve"> </w:t>
      </w:r>
      <w:r>
        <w:rPr>
          <w:sz w:val="24"/>
          <w:szCs w:val="24"/>
        </w:rPr>
        <w:t>documental</w:t>
      </w:r>
      <w:r>
        <w:rPr>
          <w:spacing w:val="1"/>
          <w:sz w:val="24"/>
          <w:szCs w:val="24"/>
        </w:rPr>
        <w:t xml:space="preserve"> </w:t>
      </w:r>
      <w:r>
        <w:rPr>
          <w:sz w:val="24"/>
          <w:szCs w:val="24"/>
        </w:rPr>
        <w:t>tal</w:t>
      </w:r>
      <w:r>
        <w:rPr>
          <w:spacing w:val="1"/>
          <w:sz w:val="24"/>
          <w:szCs w:val="24"/>
        </w:rPr>
        <w:t xml:space="preserve"> </w:t>
      </w:r>
      <w:r>
        <w:rPr>
          <w:sz w:val="24"/>
          <w:szCs w:val="24"/>
        </w:rPr>
        <w:t>situação</w:t>
      </w:r>
      <w:r>
        <w:rPr>
          <w:spacing w:val="1"/>
          <w:sz w:val="24"/>
          <w:szCs w:val="24"/>
        </w:rPr>
        <w:t xml:space="preserve"> </w:t>
      </w:r>
      <w:r>
        <w:rPr>
          <w:sz w:val="24"/>
          <w:szCs w:val="24"/>
        </w:rPr>
        <w:t>fiscal,</w:t>
      </w:r>
      <w:r>
        <w:rPr>
          <w:spacing w:val="1"/>
          <w:sz w:val="24"/>
          <w:szCs w:val="24"/>
        </w:rPr>
        <w:t xml:space="preserve"> </w:t>
      </w:r>
      <w:r>
        <w:rPr>
          <w:sz w:val="24"/>
          <w:szCs w:val="24"/>
        </w:rPr>
        <w:t>podendo,</w:t>
      </w:r>
      <w:r>
        <w:rPr>
          <w:spacing w:val="1"/>
          <w:sz w:val="24"/>
          <w:szCs w:val="24"/>
        </w:rPr>
        <w:t xml:space="preserve"> </w:t>
      </w:r>
      <w:r>
        <w:rPr>
          <w:sz w:val="24"/>
          <w:szCs w:val="24"/>
        </w:rPr>
        <w:t>para</w:t>
      </w:r>
      <w:r>
        <w:rPr>
          <w:spacing w:val="1"/>
          <w:sz w:val="24"/>
          <w:szCs w:val="24"/>
        </w:rPr>
        <w:t xml:space="preserve"> </w:t>
      </w:r>
      <w:r>
        <w:rPr>
          <w:sz w:val="24"/>
          <w:szCs w:val="24"/>
        </w:rPr>
        <w:t>tanto,</w:t>
      </w:r>
      <w:r>
        <w:rPr>
          <w:spacing w:val="1"/>
          <w:sz w:val="24"/>
          <w:szCs w:val="24"/>
        </w:rPr>
        <w:t xml:space="preserve"> </w:t>
      </w:r>
      <w:r>
        <w:rPr>
          <w:sz w:val="24"/>
          <w:szCs w:val="24"/>
        </w:rPr>
        <w:t>estar</w:t>
      </w:r>
      <w:r>
        <w:rPr>
          <w:spacing w:val="1"/>
          <w:sz w:val="24"/>
          <w:szCs w:val="24"/>
        </w:rPr>
        <w:t xml:space="preserve"> </w:t>
      </w:r>
      <w:r>
        <w:rPr>
          <w:sz w:val="24"/>
          <w:szCs w:val="24"/>
        </w:rPr>
        <w:t>acompanhado</w:t>
      </w:r>
      <w:r>
        <w:rPr>
          <w:spacing w:val="1"/>
          <w:sz w:val="24"/>
          <w:szCs w:val="24"/>
        </w:rPr>
        <w:t xml:space="preserve"> </w:t>
      </w:r>
      <w:r>
        <w:rPr>
          <w:sz w:val="24"/>
          <w:szCs w:val="24"/>
        </w:rPr>
        <w:t>de</w:t>
      </w:r>
      <w:r>
        <w:rPr>
          <w:spacing w:val="1"/>
          <w:sz w:val="24"/>
          <w:szCs w:val="24"/>
        </w:rPr>
        <w:t xml:space="preserve"> </w:t>
      </w:r>
      <w:r>
        <w:rPr>
          <w:sz w:val="24"/>
          <w:szCs w:val="24"/>
        </w:rPr>
        <w:t>legislação</w:t>
      </w:r>
      <w:r>
        <w:rPr>
          <w:spacing w:val="1"/>
          <w:sz w:val="24"/>
          <w:szCs w:val="24"/>
        </w:rPr>
        <w:t xml:space="preserve"> </w:t>
      </w:r>
      <w:r>
        <w:rPr>
          <w:sz w:val="24"/>
          <w:szCs w:val="24"/>
        </w:rPr>
        <w:t>específica</w:t>
      </w:r>
      <w:r>
        <w:rPr>
          <w:spacing w:val="1"/>
          <w:sz w:val="24"/>
          <w:szCs w:val="24"/>
        </w:rPr>
        <w:t xml:space="preserve"> </w:t>
      </w:r>
      <w:r>
        <w:rPr>
          <w:sz w:val="24"/>
          <w:szCs w:val="24"/>
        </w:rPr>
        <w:t>ou</w:t>
      </w:r>
      <w:r>
        <w:rPr>
          <w:spacing w:val="1"/>
          <w:sz w:val="24"/>
          <w:szCs w:val="24"/>
        </w:rPr>
        <w:t xml:space="preserve"> </w:t>
      </w:r>
      <w:r>
        <w:rPr>
          <w:sz w:val="24"/>
          <w:szCs w:val="24"/>
        </w:rPr>
        <w:t>informação</w:t>
      </w:r>
      <w:r>
        <w:rPr>
          <w:spacing w:val="1"/>
          <w:sz w:val="24"/>
          <w:szCs w:val="24"/>
        </w:rPr>
        <w:t xml:space="preserve"> </w:t>
      </w:r>
      <w:r>
        <w:rPr>
          <w:sz w:val="24"/>
          <w:szCs w:val="24"/>
        </w:rPr>
        <w:t>oficial</w:t>
      </w:r>
      <w:r>
        <w:rPr>
          <w:spacing w:val="1"/>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fazendário.</w:t>
      </w:r>
    </w:p>
    <w:p>
      <w:pPr>
        <w:pStyle w:val="BodyText"/>
        <w:numPr>
          <w:ilvl w:val="3"/>
          <w:numId w:val="15"/>
        </w:numPr>
        <w:spacing w:lineRule="atLeast" w:line="280" w:before="120" w:after="240"/>
        <w:rPr>
          <w:b/>
          <w:bCs/>
          <w:sz w:val="24"/>
          <w:szCs w:val="24"/>
        </w:rPr>
      </w:pPr>
      <w:r>
        <w:rPr>
          <w:b/>
          <w:sz w:val="24"/>
          <w:szCs w:val="24"/>
        </w:rPr>
        <w:t>Certidão Negativa de Débitos relativos a Créditos Tributários Federais e à Dívida Ativa da União (CND);</w:t>
      </w:r>
    </w:p>
    <w:p>
      <w:pPr>
        <w:pStyle w:val="BodyText"/>
        <w:numPr>
          <w:ilvl w:val="3"/>
          <w:numId w:val="15"/>
        </w:numPr>
        <w:spacing w:lineRule="atLeast" w:line="280" w:before="120" w:after="240"/>
        <w:rPr/>
      </w:pPr>
      <w:r>
        <w:rPr>
          <w:sz w:val="24"/>
          <w:szCs w:val="24"/>
        </w:rPr>
        <w:t xml:space="preserve">Certificado de Regularidade de Situação perante a Secretaria de Garantia por Tempo de Serviço – </w:t>
      </w:r>
      <w:r>
        <w:rPr>
          <w:b/>
          <w:sz w:val="24"/>
          <w:szCs w:val="24"/>
        </w:rPr>
        <w:t>FGTS</w:t>
      </w:r>
      <w:r>
        <w:rPr>
          <w:sz w:val="24"/>
          <w:szCs w:val="24"/>
        </w:rPr>
        <w:t>, expedida pela Caixa Econômica Federal – CEF;</w:t>
      </w:r>
    </w:p>
    <w:p>
      <w:pPr>
        <w:pStyle w:val="Normal"/>
        <w:tabs>
          <w:tab w:val="clear" w:pos="720"/>
          <w:tab w:val="left" w:pos="851" w:leader="none"/>
        </w:tabs>
        <w:spacing w:before="0" w:after="0"/>
        <w:rPr>
          <w:b/>
          <w:sz w:val="24"/>
          <w:szCs w:val="24"/>
        </w:rPr>
      </w:pPr>
      <w:r>
        <w:rPr>
          <w:b/>
          <w:sz w:val="24"/>
          <w:szCs w:val="24"/>
        </w:rPr>
      </w:r>
    </w:p>
    <w:p>
      <w:pPr>
        <w:pStyle w:val="Normal"/>
        <w:tabs>
          <w:tab w:val="clear" w:pos="720"/>
          <w:tab w:val="left" w:pos="709" w:leader="none"/>
          <w:tab w:val="left" w:pos="851" w:leader="none"/>
        </w:tabs>
        <w:spacing w:before="0" w:after="0"/>
        <w:rPr>
          <w:sz w:val="24"/>
          <w:szCs w:val="24"/>
        </w:rPr>
      </w:pPr>
      <w:r>
        <w:rPr>
          <w:b/>
          <w:sz w:val="24"/>
          <w:szCs w:val="24"/>
        </w:rPr>
        <w:t xml:space="preserve">OBS¹: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da licitante comprovar prazo de validade superior, mediante norma pertinente que será juntada ao documento;</w:t>
      </w:r>
    </w:p>
    <w:p>
      <w:pPr>
        <w:pStyle w:val="Normal"/>
        <w:tabs>
          <w:tab w:val="clear" w:pos="720"/>
          <w:tab w:val="left" w:pos="851" w:leader="none"/>
        </w:tabs>
        <w:spacing w:before="0" w:after="0"/>
        <w:rPr>
          <w:sz w:val="24"/>
          <w:szCs w:val="24"/>
        </w:rPr>
      </w:pPr>
      <w:r>
        <w:rPr>
          <w:b/>
          <w:sz w:val="24"/>
          <w:szCs w:val="24"/>
        </w:rPr>
        <w:t>OBS</w:t>
      </w:r>
      <w:r>
        <w:rPr>
          <w:b/>
          <w:sz w:val="24"/>
          <w:szCs w:val="24"/>
          <w:vertAlign w:val="superscript"/>
        </w:rPr>
        <w:t>2</w:t>
      </w:r>
      <w:r>
        <w:rPr>
          <w:b/>
          <w:sz w:val="24"/>
          <w:szCs w:val="24"/>
        </w:rPr>
        <w:t>:</w:t>
      </w:r>
      <w:r>
        <w:rPr>
          <w:sz w:val="24"/>
          <w:szCs w:val="24"/>
        </w:rPr>
        <w:tab/>
        <w:t xml:space="preserve">As microempresas e empresas de pequeno porte que desejarem utilizar-se da prerrogativa de que tratam as </w:t>
      </w:r>
      <w:r>
        <w:rPr>
          <w:b/>
          <w:sz w:val="24"/>
          <w:szCs w:val="24"/>
        </w:rPr>
        <w:t>Obs</w:t>
      </w:r>
      <w:r>
        <w:rPr>
          <w:b/>
          <w:sz w:val="24"/>
          <w:szCs w:val="24"/>
          <w:vertAlign w:val="superscript"/>
        </w:rPr>
        <w:t>4</w:t>
      </w:r>
      <w:r>
        <w:rPr>
          <w:sz w:val="24"/>
          <w:szCs w:val="24"/>
        </w:rPr>
        <w:t xml:space="preserve">, </w:t>
      </w:r>
      <w:r>
        <w:rPr>
          <w:b/>
          <w:sz w:val="24"/>
          <w:szCs w:val="24"/>
        </w:rPr>
        <w:t>Obs</w:t>
      </w:r>
      <w:r>
        <w:rPr>
          <w:b/>
          <w:sz w:val="24"/>
          <w:szCs w:val="24"/>
          <w:vertAlign w:val="superscript"/>
        </w:rPr>
        <w:t>5</w:t>
      </w:r>
      <w:r>
        <w:rPr>
          <w:sz w:val="24"/>
          <w:szCs w:val="24"/>
        </w:rPr>
        <w:t xml:space="preserve"> e </w:t>
      </w:r>
      <w:r>
        <w:rPr>
          <w:b/>
          <w:sz w:val="24"/>
          <w:szCs w:val="24"/>
        </w:rPr>
        <w:t>Obs</w:t>
      </w:r>
      <w:r>
        <w:rPr>
          <w:b/>
          <w:sz w:val="24"/>
          <w:szCs w:val="24"/>
          <w:vertAlign w:val="superscript"/>
        </w:rPr>
        <w:t>6</w:t>
      </w:r>
      <w:r>
        <w:rPr>
          <w:sz w:val="24"/>
          <w:szCs w:val="24"/>
        </w:rPr>
        <w:t xml:space="preserve"> deverão entregar declaração do Contador, ou do representante legal da empresa, ou da Junta Comercial que comprove esta situação;</w:t>
      </w:r>
    </w:p>
    <w:p>
      <w:pPr>
        <w:pStyle w:val="Normal"/>
        <w:tabs>
          <w:tab w:val="clear" w:pos="720"/>
          <w:tab w:val="left" w:pos="709" w:leader="none"/>
          <w:tab w:val="left" w:pos="851" w:leader="none"/>
        </w:tabs>
        <w:spacing w:lineRule="atLeast" w:line="280" w:before="0" w:after="0"/>
        <w:rPr>
          <w:sz w:val="24"/>
          <w:szCs w:val="24"/>
        </w:rPr>
      </w:pPr>
      <w:r>
        <w:rPr>
          <w:b/>
          <w:sz w:val="24"/>
          <w:szCs w:val="24"/>
        </w:rPr>
        <w:t>OBS</w:t>
      </w:r>
      <w:r>
        <w:rPr>
          <w:b/>
          <w:sz w:val="24"/>
          <w:szCs w:val="24"/>
          <w:vertAlign w:val="superscript"/>
        </w:rPr>
        <w:t>3</w:t>
      </w:r>
      <w:r>
        <w:rPr>
          <w:b/>
          <w:sz w:val="24"/>
          <w:szCs w:val="24"/>
        </w:rPr>
        <w:t>: As microempresas e empresas de pequeno porte deverão apresentar os documentos elencados no item e subitens desta seção</w:t>
      </w:r>
      <w:r>
        <w:rPr>
          <w:sz w:val="24"/>
          <w:szCs w:val="24"/>
        </w:rPr>
        <w:t xml:space="preserve">, </w:t>
      </w:r>
      <w:r>
        <w:rPr>
          <w:b/>
          <w:sz w:val="24"/>
          <w:szCs w:val="24"/>
        </w:rPr>
        <w:t>mesmo que apresentem alguma restrição</w:t>
      </w:r>
      <w:r>
        <w:rPr>
          <w:sz w:val="24"/>
          <w:szCs w:val="24"/>
        </w:rPr>
        <w:t>;</w:t>
      </w:r>
    </w:p>
    <w:p>
      <w:pPr>
        <w:pStyle w:val="Normal"/>
        <w:tabs>
          <w:tab w:val="clear" w:pos="720"/>
          <w:tab w:val="left" w:pos="851" w:leader="none"/>
        </w:tabs>
        <w:spacing w:before="0" w:after="0"/>
        <w:rPr>
          <w:sz w:val="24"/>
          <w:szCs w:val="24"/>
        </w:rPr>
      </w:pPr>
      <w:r>
        <w:rPr>
          <w:b/>
          <w:sz w:val="24"/>
          <w:szCs w:val="24"/>
        </w:rPr>
        <w:t>OBS</w:t>
      </w:r>
      <w:r>
        <w:rPr>
          <w:b/>
          <w:sz w:val="24"/>
          <w:szCs w:val="24"/>
          <w:vertAlign w:val="superscript"/>
        </w:rPr>
        <w:t>4</w:t>
      </w:r>
      <w:r>
        <w:rPr>
          <w:b/>
          <w:sz w:val="24"/>
          <w:szCs w:val="24"/>
        </w:rPr>
        <w:t xml:space="preserve">: </w:t>
      </w:r>
      <w:r>
        <w:rPr>
          <w:sz w:val="24"/>
          <w:szCs w:val="24"/>
        </w:rPr>
        <w:t xml:space="preserve">Havendo alguma restrição na comprovação da regularidade fiscal exigida neste AVISO DE CONTRATAÇÃO DIRETA, será(ão) assegurado(s) à(s) microempresa(s) e empresa(s) de pequeno porte adjudicatária(s) deste certame o </w:t>
      </w:r>
      <w:r>
        <w:rPr>
          <w:b/>
          <w:sz w:val="24"/>
          <w:szCs w:val="24"/>
        </w:rPr>
        <w:t>prazo de 05 (cinco) dias úteis, contados a partir do momento em que for(em) declarada(s) a(s) vencedora(s), prorrogável por igual período, a critério da Administração Municipal</w:t>
      </w:r>
      <w:r>
        <w:rPr>
          <w:sz w:val="24"/>
          <w:szCs w:val="24"/>
        </w:rPr>
        <w:t>, para a regularização da documentação, pagamento ou parcelamento do débito, e emissão de eventuais certidões negativas ou positivas com efeito de certidão negativa;</w:t>
      </w:r>
    </w:p>
    <w:p>
      <w:pPr>
        <w:pStyle w:val="Normal"/>
        <w:tabs>
          <w:tab w:val="clear" w:pos="720"/>
          <w:tab w:val="left" w:pos="851" w:leader="none"/>
        </w:tabs>
        <w:spacing w:lineRule="auto" w:line="276"/>
        <w:rPr>
          <w:sz w:val="24"/>
          <w:szCs w:val="24"/>
        </w:rPr>
      </w:pPr>
      <w:r>
        <w:rPr>
          <w:b/>
          <w:sz w:val="24"/>
          <w:szCs w:val="24"/>
        </w:rPr>
        <w:t>OBS</w:t>
      </w:r>
      <w:r>
        <w:rPr>
          <w:b/>
          <w:sz w:val="24"/>
          <w:szCs w:val="24"/>
          <w:vertAlign w:val="superscript"/>
        </w:rPr>
        <w:t>5</w:t>
      </w:r>
      <w:r>
        <w:rPr>
          <w:b/>
          <w:sz w:val="24"/>
          <w:szCs w:val="24"/>
        </w:rPr>
        <w:t>:</w:t>
      </w:r>
      <w:r>
        <w:rPr>
          <w:sz w:val="24"/>
          <w:szCs w:val="24"/>
        </w:rPr>
        <w:t xml:space="preserve"> A não-regularização da documentação, no prazo previsto na </w:t>
      </w:r>
      <w:r>
        <w:rPr>
          <w:b/>
          <w:sz w:val="24"/>
          <w:szCs w:val="24"/>
        </w:rPr>
        <w:t>Obs</w:t>
      </w:r>
      <w:r>
        <w:rPr>
          <w:b/>
          <w:sz w:val="24"/>
          <w:szCs w:val="24"/>
          <w:vertAlign w:val="superscript"/>
        </w:rPr>
        <w:t>5</w:t>
      </w:r>
      <w:r>
        <w:rPr>
          <w:sz w:val="24"/>
          <w:szCs w:val="24"/>
        </w:rPr>
        <w:t>, implicará decadência do direito à(s) contratação (ões), sem prejuízo das sanções previstas na legislação vigente, sendo facultado à Administração convocar as licitantes remanescentes, na ordem de classificação, para celebrá-la (em) a(s) contratação (ões), ou revogar a licitação.</w:t>
      </w:r>
    </w:p>
    <w:p>
      <w:pPr>
        <w:pStyle w:val="Normal"/>
        <w:tabs>
          <w:tab w:val="clear" w:pos="720"/>
          <w:tab w:val="left" w:pos="851" w:leader="none"/>
        </w:tabs>
        <w:spacing w:lineRule="auto" w:line="276"/>
        <w:ind w:hanging="0" w:left="390"/>
        <w:rPr>
          <w:rFonts w:cs="Arial"/>
          <w:b/>
          <w:sz w:val="24"/>
          <w:szCs w:val="24"/>
        </w:rPr>
      </w:pPr>
      <w:r>
        <w:rPr>
          <w:b/>
          <w:bCs/>
          <w:sz w:val="24"/>
          <w:szCs w:val="24"/>
          <w:u w:val="single"/>
        </w:rPr>
        <w:t>5.8.3. REGULARIDADE TRABALHISTA</w:t>
      </w:r>
      <w:r>
        <w:rPr>
          <w:b/>
          <w:sz w:val="24"/>
          <w:szCs w:val="24"/>
        </w:rPr>
        <w:t>:</w:t>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sz w:val="24"/>
          <w:szCs w:val="24"/>
          <w:u w:val="none"/>
        </w:rPr>
      </w:pPr>
      <w:r>
        <w:rPr>
          <w:rFonts w:ascii="Arial" w:hAnsi="Arial"/>
          <w:b w:val="false"/>
          <w:sz w:val="24"/>
          <w:szCs w:val="24"/>
          <w:u w:val="none"/>
        </w:rPr>
        <w:t xml:space="preserve">5.8.3.1. Certidão Negativa de Débitos Trabalhistas – </w:t>
      </w:r>
      <w:r>
        <w:rPr>
          <w:rFonts w:ascii="Arial" w:hAnsi="Arial"/>
          <w:sz w:val="24"/>
          <w:szCs w:val="24"/>
          <w:u w:val="none"/>
        </w:rPr>
        <w:t>CNDT</w:t>
      </w:r>
      <w:r>
        <w:rPr>
          <w:rFonts w:ascii="Arial" w:hAnsi="Arial"/>
          <w:b w:val="false"/>
          <w:sz w:val="24"/>
          <w:szCs w:val="24"/>
          <w:u w:val="none"/>
        </w:rPr>
        <w:t>, expedida pelo Tribunal Superior do Trabalho, Lei nº 12.440/2011.</w:t>
      </w:r>
    </w:p>
    <w:p>
      <w:pPr>
        <w:pStyle w:val="BodyText2"/>
        <w:tabs>
          <w:tab w:val="left" w:pos="426" w:leader="none"/>
          <w:tab w:val="left" w:pos="1701" w:leader="none"/>
          <w:tab w:val="left" w:pos="9712" w:leader="none"/>
        </w:tabs>
        <w:spacing w:lineRule="atLeast" w:line="280" w:before="0" w:after="0"/>
        <w:ind w:left="1080"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color w:val="FF0000"/>
          <w:sz w:val="24"/>
          <w:szCs w:val="24"/>
          <w:u w:val="none"/>
        </w:rPr>
      </w:pPr>
      <w:r>
        <w:rPr>
          <w:rFonts w:ascii="Arial" w:hAnsi="Arial"/>
          <w:color w:val="FF0000"/>
          <w:sz w:val="24"/>
          <w:szCs w:val="24"/>
        </w:rPr>
        <w:t>5.8.4. vQUALIFICAÇÃO</w:t>
      </w:r>
      <w:r>
        <w:rPr>
          <w:rFonts w:ascii="Arial" w:hAnsi="Arial"/>
          <w:color w:val="FF0000"/>
          <w:spacing w:val="36"/>
          <w:sz w:val="24"/>
          <w:szCs w:val="24"/>
        </w:rPr>
        <w:t xml:space="preserve"> </w:t>
      </w:r>
      <w:r>
        <w:rPr>
          <w:rFonts w:ascii="Arial" w:hAnsi="Arial"/>
          <w:color w:val="FF0000"/>
          <w:sz w:val="24"/>
          <w:szCs w:val="24"/>
        </w:rPr>
        <w:t>TÉCNICA:</w:t>
      </w:r>
    </w:p>
    <w:p>
      <w:pPr>
        <w:pStyle w:val="BodyText2"/>
        <w:tabs>
          <w:tab w:val="left" w:pos="426" w:leader="none"/>
          <w:tab w:val="left" w:pos="1701" w:leader="none"/>
          <w:tab w:val="left" w:pos="9712" w:leader="none"/>
        </w:tabs>
        <w:spacing w:lineRule="atLeast" w:line="280" w:before="0" w:after="0"/>
        <w:ind w:left="720" w:right="0"/>
        <w:jc w:val="both"/>
        <w:rPr>
          <w:rFonts w:ascii="Arial" w:hAnsi="Arial"/>
          <w:color w:val="FF0000"/>
          <w:sz w:val="24"/>
          <w:szCs w:val="24"/>
          <w:u w:val="none"/>
        </w:rPr>
      </w:pPr>
      <w:r>
        <w:rPr>
          <w:rFonts w:ascii="Arial" w:hAnsi="Arial"/>
          <w:color w:val="FF0000"/>
          <w:sz w:val="24"/>
          <w:szCs w:val="24"/>
          <w:u w:val="none"/>
        </w:rPr>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color w:val="FF0000"/>
          <w:sz w:val="24"/>
          <w:szCs w:val="24"/>
          <w:u w:val="none"/>
        </w:rPr>
      </w:pPr>
      <w:r>
        <w:rPr>
          <w:rFonts w:eastAsia="Arial" w:ascii="Arial" w:hAnsi="Arial"/>
          <w:color w:val="FF0000"/>
          <w:sz w:val="24"/>
          <w:szCs w:val="24"/>
        </w:rPr>
        <w:t>5.8.4.1. Prova de capacidade técnica, mediante apresentação de certidão(ões) ou atestado(s) fornecido(s) por pessoas jurídicas de direito público ou privado, demonstrando fornecimento de produto pertinente e compatível com o objeto deste Edital</w:t>
      </w:r>
    </w:p>
    <w:p>
      <w:pPr>
        <w:pStyle w:val="BodyText2"/>
        <w:tabs>
          <w:tab w:val="left" w:pos="426" w:leader="none"/>
          <w:tab w:val="left" w:pos="1701" w:leader="none"/>
          <w:tab w:val="left" w:pos="9712" w:leader="none"/>
        </w:tabs>
        <w:spacing w:lineRule="atLeast" w:line="280" w:before="0" w:after="0"/>
        <w:ind w:left="1080" w:right="0"/>
        <w:jc w:val="both"/>
        <w:rPr>
          <w:rFonts w:ascii="Arial" w:hAnsi="Arial"/>
          <w:color w:val="FF0000"/>
          <w:sz w:val="24"/>
          <w:szCs w:val="24"/>
          <w:u w:val="none"/>
        </w:rPr>
      </w:pPr>
      <w:r>
        <w:rPr>
          <w:rFonts w:ascii="Arial" w:hAnsi="Arial"/>
          <w:color w:val="FF0000"/>
          <w:sz w:val="24"/>
          <w:szCs w:val="24"/>
          <w:u w:val="none"/>
        </w:rPr>
      </w:r>
    </w:p>
    <w:p>
      <w:pPr>
        <w:pStyle w:val="Normal"/>
        <w:tabs>
          <w:tab w:val="clear" w:pos="720"/>
          <w:tab w:val="left" w:pos="8080" w:leader="none"/>
          <w:tab w:val="left" w:pos="8222" w:leader="none"/>
        </w:tabs>
        <w:rPr>
          <w:rFonts w:eastAsia="Arial" w:cs="Arial"/>
          <w:color w:val="FF0000"/>
          <w:sz w:val="24"/>
          <w:szCs w:val="24"/>
        </w:rPr>
      </w:pPr>
      <w:r>
        <w:rPr>
          <w:rFonts w:eastAsia="Arial" w:cs="Arial"/>
          <w:b/>
          <w:color w:val="FF0000"/>
          <w:sz w:val="24"/>
          <w:szCs w:val="24"/>
        </w:rPr>
        <w:t xml:space="preserve">Obs¹: </w:t>
      </w:r>
      <w:r>
        <w:rPr>
          <w:rFonts w:eastAsia="Arial" w:cs="Arial"/>
          <w:color w:val="FF0000"/>
          <w:sz w:val="24"/>
          <w:szCs w:val="24"/>
        </w:rPr>
        <w:t>A(s) certidão(ões) ou atestado(s) deverá(ão) ser datado(s) e assinado(s) por pessoa física identificada pelo seu nome e cargo em exercício na entidade/empresa, bem como dados para eventual contato. As certidões poderão ser emitidas online, desde que com meios para conferência de autenticidade por meio eletrônico tais como Qr Code.</w:t>
      </w:r>
    </w:p>
    <w:p>
      <w:pPr>
        <w:pStyle w:val="Normal"/>
        <w:tabs>
          <w:tab w:val="clear" w:pos="720"/>
          <w:tab w:val="left" w:pos="8080" w:leader="none"/>
          <w:tab w:val="left" w:pos="8222" w:leader="none"/>
        </w:tabs>
        <w:ind w:left="-142"/>
        <w:rPr>
          <w:rFonts w:eastAsia="Arial" w:cs="Arial"/>
          <w:color w:val="FF0000"/>
          <w:sz w:val="24"/>
          <w:szCs w:val="24"/>
        </w:rPr>
      </w:pPr>
      <w:r>
        <w:rPr>
          <w:rFonts w:eastAsia="Arial" w:cs="Arial"/>
          <w:color w:val="FF0000"/>
          <w:sz w:val="24"/>
          <w:szCs w:val="24"/>
        </w:rPr>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Obs²: </w:t>
      </w:r>
      <w:r>
        <w:rPr>
          <w:rFonts w:eastAsia="Arial" w:cs="Arial"/>
          <w:color w:val="FF0000"/>
          <w:sz w:val="24"/>
          <w:szCs w:val="24"/>
        </w:rPr>
        <w:t xml:space="preserve">As certidões valerão nos prazos que lhes são próprios. Inexistindo esses prazos, reputar-se-ão válidas por </w:t>
      </w:r>
      <w:r>
        <w:rPr>
          <w:rFonts w:eastAsia="Arial" w:cs="Arial"/>
          <w:b/>
          <w:color w:val="FF0000"/>
          <w:sz w:val="24"/>
          <w:szCs w:val="24"/>
        </w:rPr>
        <w:t>90 (noventa) dias</w:t>
      </w:r>
      <w:r>
        <w:rPr>
          <w:rFonts w:eastAsia="Arial" w:cs="Arial"/>
          <w:color w:val="FF0000"/>
          <w:sz w:val="24"/>
          <w:szCs w:val="24"/>
        </w:rPr>
        <w:t>, contados de sua expedição.</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Obs³: </w:t>
      </w:r>
      <w:r>
        <w:rPr>
          <w:rFonts w:eastAsia="Arial" w:cs="Arial"/>
          <w:color w:val="FF0000"/>
          <w:sz w:val="24"/>
          <w:szCs w:val="24"/>
        </w:rPr>
        <w:t>Não serão aceitos protocolos de recebimentos ou solicitação de documentos em substituição aos documentos requeridos no presente Edital e seus Anexos.</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4</w:t>
      </w:r>
      <w:r>
        <w:rPr>
          <w:rFonts w:eastAsia="Arial" w:cs="Arial"/>
          <w:b/>
          <w:color w:val="FF0000"/>
          <w:sz w:val="24"/>
          <w:szCs w:val="24"/>
        </w:rPr>
        <w:t xml:space="preserve">: </w:t>
      </w:r>
      <w:r>
        <w:rPr>
          <w:rFonts w:eastAsia="Arial" w:cs="Arial"/>
          <w:color w:val="FF0000"/>
          <w:sz w:val="24"/>
          <w:szCs w:val="24"/>
        </w:rPr>
        <w:t>A habilitação dos Licitantes será comprovada por meio de prévia e regular inscrição cadastral no SICAF, desde que os documentos comprobatórios estejam validados e atualizados.</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5</w:t>
      </w:r>
      <w:r>
        <w:rPr>
          <w:rFonts w:eastAsia="Arial" w:cs="Arial"/>
          <w:b/>
          <w:color w:val="FF0000"/>
          <w:sz w:val="24"/>
          <w:szCs w:val="24"/>
        </w:rPr>
        <w:t xml:space="preserve">: </w:t>
      </w:r>
      <w:r>
        <w:rPr>
          <w:rFonts w:eastAsia="Arial" w:cs="Arial"/>
          <w:color w:val="FF0000"/>
          <w:sz w:val="24"/>
          <w:szCs w:val="24"/>
        </w:rPr>
        <w:t xml:space="preserve">O cadastro no SICAF, abrangente dos níveis indicados no art. 6º da Instrução Normativa SLTI/MPOG nº 3, de 26 abril de 2018, </w:t>
      </w:r>
      <w:r>
        <w:rPr>
          <w:rFonts w:eastAsia="Arial" w:cs="Arial"/>
          <w:b/>
          <w:color w:val="FF0000"/>
          <w:sz w:val="24"/>
          <w:szCs w:val="24"/>
          <w:u w:val="single"/>
        </w:rPr>
        <w:t>PODERÁ SUBSTITUIR APENAS</w:t>
      </w:r>
      <w:r>
        <w:rPr>
          <w:rFonts w:eastAsia="Arial" w:cs="Arial"/>
          <w:b/>
          <w:color w:val="FF0000"/>
          <w:sz w:val="24"/>
          <w:szCs w:val="24"/>
        </w:rPr>
        <w:t xml:space="preserve"> </w:t>
      </w:r>
      <w:r>
        <w:rPr>
          <w:rFonts w:eastAsia="Arial" w:cs="Arial"/>
          <w:color w:val="FF0000"/>
          <w:sz w:val="24"/>
          <w:szCs w:val="24"/>
        </w:rPr>
        <w:t>os documentos indicados nos subitens acima.</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6</w:t>
      </w:r>
      <w:r>
        <w:rPr>
          <w:rFonts w:eastAsia="Arial" w:cs="Arial"/>
          <w:b/>
          <w:color w:val="FF0000"/>
          <w:sz w:val="24"/>
          <w:szCs w:val="24"/>
        </w:rPr>
        <w:t xml:space="preserve">: Habilitação Jurídica, Habilitação Fiscal, Habilitação Trabalhista e Qualificação Econômico-Financeira, </w:t>
      </w:r>
      <w:r>
        <w:rPr>
          <w:rFonts w:eastAsia="Arial" w:cs="Arial"/>
          <w:color w:val="FF0000"/>
          <w:sz w:val="24"/>
          <w:szCs w:val="24"/>
          <w:u w:val="single"/>
        </w:rPr>
        <w:t>sendo que os demais são obrigatórios apresentação.</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7</w:t>
      </w:r>
      <w:r>
        <w:rPr>
          <w:rFonts w:eastAsia="Arial" w:cs="Arial"/>
          <w:b/>
          <w:color w:val="FF0000"/>
          <w:sz w:val="24"/>
          <w:szCs w:val="24"/>
        </w:rPr>
        <w:t xml:space="preserve">: </w:t>
      </w:r>
      <w:r>
        <w:rPr>
          <w:rFonts w:eastAsia="Arial" w:cs="Arial"/>
          <w:color w:val="FF0000"/>
          <w:sz w:val="24"/>
          <w:szCs w:val="24"/>
        </w:rPr>
        <w:t>Na hipótese dos documentos se encontrarem vencidos no referido sistema (SICAF),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alterada pela Lei Complementar nº 147/2014.</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8</w:t>
      </w:r>
      <w:r>
        <w:rPr>
          <w:rFonts w:eastAsia="Arial" w:cs="Arial"/>
          <w:b/>
          <w:color w:val="FF0000"/>
          <w:sz w:val="24"/>
          <w:szCs w:val="24"/>
        </w:rPr>
        <w:t xml:space="preserve">: </w:t>
      </w:r>
      <w:r>
        <w:rPr>
          <w:rFonts w:eastAsia="Arial" w:cs="Arial"/>
          <w:color w:val="FF0000"/>
          <w:sz w:val="24"/>
          <w:szCs w:val="24"/>
        </w:rPr>
        <w:t>Também poderão ser consultados os sítios oficiais emissores de certidões de regularidade fiscal e trabalhista, especialmente quando o licitante esteja com alguma documentação vencida junto ao SICAF.</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9</w:t>
      </w:r>
      <w:r>
        <w:rPr>
          <w:rFonts w:eastAsia="Arial" w:cs="Arial"/>
          <w:b/>
          <w:color w:val="FF0000"/>
          <w:sz w:val="24"/>
          <w:szCs w:val="24"/>
        </w:rPr>
        <w:t xml:space="preserve">: </w:t>
      </w:r>
      <w:r>
        <w:rPr>
          <w:rFonts w:eastAsia="Arial" w:cs="Arial"/>
          <w:color w:val="FF0000"/>
          <w:sz w:val="24"/>
          <w:szCs w:val="24"/>
        </w:rPr>
        <w:t>Os documentos de que tratam os subitens anteriores serão analisados pelo Pregoeiro e sua Equipe de Apoio quanto a sua conformidade com o solicitado neste Edital.</w:t>
      </w:r>
    </w:p>
    <w:p>
      <w:pPr>
        <w:pStyle w:val="Normal"/>
        <w:tabs>
          <w:tab w:val="clear" w:pos="720"/>
          <w:tab w:val="left" w:pos="1276"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10</w:t>
      </w:r>
      <w:r>
        <w:rPr>
          <w:rFonts w:eastAsia="Arial" w:cs="Arial"/>
          <w:b/>
          <w:color w:val="FF0000"/>
          <w:sz w:val="24"/>
          <w:szCs w:val="24"/>
        </w:rPr>
        <w:t xml:space="preserve">: </w:t>
      </w:r>
      <w:r>
        <w:rPr>
          <w:rFonts w:eastAsia="Arial" w:cs="Arial"/>
          <w:color w:val="FF0000"/>
          <w:sz w:val="24"/>
          <w:szCs w:val="24"/>
        </w:rPr>
        <w:t>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tabs>
          <w:tab w:val="clear" w:pos="720"/>
          <w:tab w:val="left" w:pos="1418" w:leader="none"/>
          <w:tab w:val="left" w:pos="2410"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11</w:t>
      </w:r>
      <w:r>
        <w:rPr>
          <w:rFonts w:eastAsia="Arial" w:cs="Arial"/>
          <w:b/>
          <w:color w:val="FF0000"/>
          <w:sz w:val="24"/>
          <w:szCs w:val="24"/>
        </w:rPr>
        <w:t>: O não atendimento das exigências constantes no Edital</w:t>
      </w:r>
      <w:r>
        <w:rPr>
          <w:rFonts w:eastAsia="Arial" w:cs="Arial"/>
          <w:color w:val="FF0000"/>
          <w:sz w:val="24"/>
          <w:szCs w:val="24"/>
        </w:rPr>
        <w:t xml:space="preserve"> </w:t>
      </w:r>
      <w:r>
        <w:rPr>
          <w:rFonts w:eastAsia="Arial" w:cs="Arial"/>
          <w:b/>
          <w:color w:val="FF0000"/>
          <w:sz w:val="24"/>
          <w:szCs w:val="24"/>
        </w:rPr>
        <w:t>implicará a inabilitação do licitante.</w:t>
      </w:r>
    </w:p>
    <w:p>
      <w:pPr>
        <w:pStyle w:val="Normal"/>
        <w:tabs>
          <w:tab w:val="clear" w:pos="720"/>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12</w:t>
      </w:r>
      <w:r>
        <w:rPr>
          <w:rFonts w:eastAsia="Arial" w:cs="Arial"/>
          <w:b/>
          <w:color w:val="FF0000"/>
          <w:sz w:val="24"/>
          <w:szCs w:val="24"/>
        </w:rPr>
        <w:t xml:space="preserve">: </w:t>
      </w:r>
      <w:r>
        <w:rPr>
          <w:rFonts w:eastAsia="Arial" w:cs="Arial"/>
          <w:color w:val="FF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tabs>
          <w:tab w:val="clear" w:pos="720"/>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13</w:t>
      </w:r>
      <w:r>
        <w:rPr>
          <w:rFonts w:eastAsia="Arial" w:cs="Arial"/>
          <w:b/>
          <w:color w:val="FF0000"/>
          <w:sz w:val="24"/>
          <w:szCs w:val="24"/>
        </w:rPr>
        <w:t xml:space="preserve">: </w:t>
      </w:r>
      <w:r>
        <w:rPr>
          <w:rFonts w:eastAsia="Arial" w:cs="Arial"/>
          <w:color w:val="FF0000"/>
          <w:sz w:val="24"/>
          <w:szCs w:val="24"/>
        </w:rPr>
        <w:t>Não havendo a comprovação cumulativa dos requisitos de habilitação, a inabilitação recairá sobre o(s) item(ns) de menor(es) valor(es) cuja retirada(s) seja(m) suficiente(s) para a habilitação do licitante nos remanescentes.</w:t>
      </w:r>
    </w:p>
    <w:p>
      <w:pPr>
        <w:pStyle w:val="BodyText2"/>
        <w:tabs>
          <w:tab w:val="left" w:pos="426" w:leader="none"/>
          <w:tab w:val="left" w:pos="1701" w:leader="none"/>
          <w:tab w:val="left" w:pos="9712" w:leader="none"/>
        </w:tabs>
        <w:spacing w:lineRule="atLeast" w:line="280" w:before="0" w:after="0"/>
        <w:ind w:right="0"/>
        <w:jc w:val="both"/>
        <w:rPr>
          <w:rFonts w:ascii="Arial" w:hAnsi="Arial" w:eastAsia="Arial"/>
          <w:color w:val="FF0000"/>
          <w:sz w:val="24"/>
          <w:szCs w:val="24"/>
        </w:rPr>
      </w:pPr>
      <w:r>
        <w:rPr>
          <w:rFonts w:eastAsia="Arial" w:ascii="Arial" w:hAnsi="Arial"/>
          <w:color w:val="FF0000"/>
          <w:sz w:val="24"/>
          <w:szCs w:val="24"/>
        </w:rPr>
        <w:t>Obs</w:t>
      </w:r>
      <w:r>
        <w:rPr>
          <w:rFonts w:eastAsia="Arial" w:ascii="Arial" w:hAnsi="Arial"/>
          <w:color w:val="FF0000"/>
          <w:sz w:val="24"/>
          <w:szCs w:val="24"/>
          <w:vertAlign w:val="superscript"/>
        </w:rPr>
        <w:t>14</w:t>
      </w:r>
      <w:r>
        <w:rPr>
          <w:rFonts w:eastAsia="Arial" w:ascii="Arial" w:hAnsi="Arial"/>
          <w:color w:val="FF0000"/>
          <w:sz w:val="24"/>
          <w:szCs w:val="24"/>
        </w:rPr>
        <w:t>: Constatado o atendimento às exigências de habilitação fixadas no Edital, o licitante será declarado vencedor</w:t>
      </w:r>
    </w:p>
    <w:p>
      <w:pPr>
        <w:pStyle w:val="BodyText2"/>
        <w:tabs>
          <w:tab w:val="left" w:pos="426" w:leader="none"/>
          <w:tab w:val="left" w:pos="1701" w:leader="none"/>
          <w:tab w:val="left" w:pos="9712" w:leader="none"/>
        </w:tabs>
        <w:spacing w:lineRule="atLeast" w:line="280" w:before="0" w:after="0"/>
        <w:ind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sz w:val="24"/>
          <w:szCs w:val="24"/>
        </w:rPr>
      </w:pPr>
      <w:r>
        <w:rPr>
          <w:rFonts w:ascii="Arial" w:hAnsi="Arial"/>
          <w:sz w:val="24"/>
          <w:szCs w:val="24"/>
        </w:rPr>
        <w:t>5.8.5. DAS DECLARAÇÕES E DOCUMENTAÇÕES COMPLEMENTARES:</w:t>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b w:val="false"/>
          <w:bCs w:val="false"/>
          <w:sz w:val="24"/>
          <w:szCs w:val="24"/>
          <w:u w:val="none"/>
        </w:rPr>
      </w:pPr>
      <w:r>
        <w:rPr>
          <w:rFonts w:ascii="Arial" w:hAnsi="Arial"/>
          <w:b/>
          <w:bCs/>
          <w:sz w:val="24"/>
          <w:szCs w:val="24"/>
          <w:u w:val="none"/>
        </w:rPr>
        <w:t>5.8.5.1</w:t>
      </w:r>
      <w:r>
        <w:rPr>
          <w:rFonts w:ascii="Arial" w:hAnsi="Arial"/>
          <w:b w:val="false"/>
          <w:sz w:val="24"/>
          <w:szCs w:val="24"/>
          <w:u w:val="none"/>
        </w:rPr>
        <w:t>. Declaração de que não emprega menor de idade salvo em condição de aprendiz ((Anexo III – inciso I);</w:t>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b w:val="false"/>
          <w:bCs w:val="false"/>
          <w:sz w:val="24"/>
          <w:szCs w:val="24"/>
          <w:highlight w:val="none"/>
          <w:u w:val="none"/>
        </w:rPr>
      </w:pPr>
      <w:r>
        <w:rPr>
          <w:rFonts w:ascii="Arial" w:hAnsi="Arial"/>
          <w:b/>
          <w:bCs/>
          <w:sz w:val="24"/>
          <w:szCs w:val="24"/>
          <w:u w:val="none"/>
        </w:rPr>
        <w:t>5.8.5.2</w:t>
      </w:r>
      <w:r>
        <w:rPr>
          <w:rFonts w:ascii="Arial" w:hAnsi="Arial"/>
          <w:b w:val="false"/>
          <w:sz w:val="24"/>
          <w:szCs w:val="24"/>
          <w:u w:val="none"/>
        </w:rPr>
        <w:t>. Declaração de ausência de parentesco (Anexo III – inciso II);</w:t>
      </w:r>
    </w:p>
    <w:p>
      <w:pPr>
        <w:pStyle w:val="BodyText2"/>
        <w:tabs>
          <w:tab w:val="left" w:pos="426" w:leader="none"/>
          <w:tab w:val="left" w:pos="1701" w:leader="none"/>
          <w:tab w:val="left" w:pos="9712" w:leader="none"/>
        </w:tabs>
        <w:spacing w:lineRule="atLeast" w:line="280" w:before="0" w:after="0"/>
        <w:ind w:hanging="0" w:left="0" w:right="0"/>
        <w:jc w:val="both"/>
        <w:rPr>
          <w:b w:val="false"/>
          <w:sz w:val="24"/>
          <w:szCs w:val="24"/>
        </w:rPr>
      </w:pPr>
      <w:r>
        <w:rPr>
          <w:rFonts w:ascii="Arial" w:hAnsi="Arial"/>
          <w:b/>
          <w:bCs/>
          <w:sz w:val="24"/>
          <w:szCs w:val="24"/>
          <w:u w:val="none"/>
        </w:rPr>
        <w:t>5.8.5.3</w:t>
      </w:r>
      <w:r>
        <w:rPr>
          <w:rFonts w:ascii="Arial" w:hAnsi="Arial"/>
          <w:b w:val="false"/>
          <w:sz w:val="24"/>
          <w:szCs w:val="24"/>
          <w:u w:val="none"/>
        </w:rPr>
        <w:t>. Declaração de que se enquadra na</w:t>
      </w:r>
      <w:r>
        <w:rPr>
          <w:rFonts w:ascii="Arial" w:hAnsi="Arial"/>
          <w:b w:val="false"/>
          <w:spacing w:val="1"/>
          <w:sz w:val="24"/>
          <w:szCs w:val="24"/>
          <w:u w:val="none"/>
        </w:rPr>
        <w:t xml:space="preserve"> </w:t>
      </w:r>
      <w:r>
        <w:rPr>
          <w:rFonts w:ascii="Arial" w:hAnsi="Arial"/>
          <w:b w:val="false"/>
          <w:sz w:val="24"/>
          <w:szCs w:val="24"/>
          <w:u w:val="none"/>
        </w:rPr>
        <w:t>situação de microempresa, empresa de pequeno porte ou cooperativa, nos termos</w:t>
      </w:r>
      <w:r>
        <w:rPr>
          <w:rFonts w:ascii="Arial" w:hAnsi="Arial"/>
          <w:b w:val="false"/>
          <w:spacing w:val="1"/>
          <w:sz w:val="24"/>
          <w:szCs w:val="24"/>
          <w:u w:val="none"/>
        </w:rPr>
        <w:t xml:space="preserve"> </w:t>
      </w:r>
      <w:r>
        <w:rPr>
          <w:rFonts w:ascii="Arial" w:hAnsi="Arial"/>
          <w:b w:val="false"/>
          <w:sz w:val="24"/>
          <w:szCs w:val="24"/>
          <w:u w:val="none"/>
        </w:rPr>
        <w:t>da lei complementar nº 123/06, alterada pela lei complementar nº 147/14, sob as penas do artigo 299 do código penal bem</w:t>
      </w:r>
      <w:r>
        <w:rPr>
          <w:rFonts w:ascii="Arial" w:hAnsi="Arial"/>
          <w:b w:val="false"/>
          <w:spacing w:val="1"/>
          <w:sz w:val="24"/>
          <w:szCs w:val="24"/>
          <w:u w:val="none"/>
        </w:rPr>
        <w:t xml:space="preserve"> </w:t>
      </w:r>
      <w:r>
        <w:rPr>
          <w:rFonts w:ascii="Arial" w:hAnsi="Arial"/>
          <w:b w:val="false"/>
          <w:sz w:val="24"/>
          <w:szCs w:val="24"/>
          <w:u w:val="none"/>
        </w:rPr>
        <w:t>assim que inexistem fatos supervenientes que conduzam ao seu desenquadramento desta</w:t>
      </w:r>
      <w:r>
        <w:rPr>
          <w:rFonts w:ascii="Arial" w:hAnsi="Arial"/>
          <w:b w:val="false"/>
          <w:spacing w:val="-3"/>
          <w:sz w:val="24"/>
          <w:szCs w:val="24"/>
          <w:u w:val="none"/>
        </w:rPr>
        <w:t xml:space="preserve"> </w:t>
      </w:r>
      <w:r>
        <w:rPr>
          <w:rFonts w:ascii="Arial" w:hAnsi="Arial"/>
          <w:b w:val="false"/>
          <w:sz w:val="24"/>
          <w:szCs w:val="24"/>
          <w:u w:val="none"/>
        </w:rPr>
        <w:t xml:space="preserve">situação. (Anexo III – inciso III) </w:t>
      </w:r>
    </w:p>
    <w:p>
      <w:pPr>
        <w:pStyle w:val="BodyText2"/>
        <w:tabs>
          <w:tab w:val="left" w:pos="426" w:leader="none"/>
          <w:tab w:val="left" w:pos="1701" w:leader="none"/>
          <w:tab w:val="left" w:pos="9712" w:leader="none"/>
        </w:tabs>
        <w:spacing w:lineRule="atLeast" w:line="280" w:before="0" w:after="0"/>
        <w:ind w:left="1080" w:right="0"/>
        <w:jc w:val="both"/>
        <w:rPr>
          <w:b w:val="false"/>
          <w:sz w:val="24"/>
          <w:szCs w:val="24"/>
        </w:rPr>
      </w:pPr>
      <w:r>
        <w:rPr>
          <w:b w:val="false"/>
          <w:sz w:val="24"/>
          <w:szCs w:val="24"/>
        </w:rPr>
      </w:r>
    </w:p>
    <w:p>
      <w:pPr>
        <w:pStyle w:val="BodyText2"/>
        <w:tabs>
          <w:tab w:val="left" w:pos="426" w:leader="none"/>
          <w:tab w:val="left" w:pos="1701" w:leader="none"/>
          <w:tab w:val="left" w:pos="9712" w:leader="none"/>
        </w:tabs>
        <w:spacing w:lineRule="atLeast" w:line="280" w:before="0" w:after="0"/>
        <w:ind w:right="0"/>
        <w:jc w:val="both"/>
        <w:rPr/>
      </w:pPr>
      <w:r>
        <w:rPr>
          <w:rFonts w:ascii="Arial" w:hAnsi="Arial"/>
          <w:sz w:val="24"/>
          <w:szCs w:val="24"/>
          <w:u w:val="none"/>
        </w:rPr>
        <w:t xml:space="preserve">Obs¹: </w:t>
      </w:r>
      <w:r>
        <w:rPr>
          <w:rFonts w:ascii="Arial" w:hAnsi="Arial"/>
          <w:b w:val="false"/>
          <w:sz w:val="24"/>
          <w:szCs w:val="24"/>
          <w:u w:val="none"/>
        </w:rPr>
        <w:t>A licitante poderá, ainda, suprir ou sanear eventuais omissões ou falhas, relativas ao cumprimento dos requisitos e condições de habilitação estabelecidos no AVISO DE CONTRATAÇÃO DIRETA, mediante a apresentação de documentos, desde que que os envie no curso da própria sessão pública do pregão e até a decisão sobre a habilitação, por meio do e-mail: licitacao@riodasflores.rj.gov.br.</w:t>
      </w:r>
    </w:p>
    <w:p>
      <w:pPr>
        <w:pStyle w:val="BodyText2"/>
        <w:tabs>
          <w:tab w:val="left" w:pos="426" w:leader="none"/>
          <w:tab w:val="left" w:pos="1701" w:leader="none"/>
          <w:tab w:val="left" w:pos="9712" w:leader="none"/>
        </w:tabs>
        <w:spacing w:lineRule="atLeast" w:line="280" w:before="0" w:after="0"/>
        <w:ind w:right="0"/>
        <w:jc w:val="both"/>
        <w:rPr/>
      </w:pPr>
      <w:r>
        <w:rPr>
          <w:rFonts w:ascii="Arial" w:hAnsi="Arial"/>
          <w:sz w:val="24"/>
          <w:szCs w:val="24"/>
          <w:u w:val="none"/>
        </w:rPr>
        <w:t xml:space="preserve">Obs²: </w:t>
      </w:r>
      <w:r>
        <w:rPr>
          <w:rFonts w:ascii="Arial" w:hAnsi="Arial"/>
          <w:b w:val="false"/>
          <w:sz w:val="24"/>
          <w:szCs w:val="24"/>
          <w:u w:val="none"/>
        </w:rPr>
        <w:t>A apresentação da Declaração Unificada (Anexo III) é obrigatória.</w:t>
      </w:r>
    </w:p>
    <w:p>
      <w:pPr>
        <w:pStyle w:val="BodyText2"/>
        <w:tabs>
          <w:tab w:val="left" w:pos="426" w:leader="none"/>
          <w:tab w:val="left" w:pos="1701" w:leader="none"/>
          <w:tab w:val="left" w:pos="9712" w:leader="none"/>
        </w:tabs>
        <w:spacing w:lineRule="atLeast" w:line="280" w:before="0" w:after="0"/>
        <w:ind w:right="0"/>
        <w:jc w:val="both"/>
        <w:rPr>
          <w:rFonts w:ascii="Arial" w:hAnsi="Arial"/>
          <w:b w:val="false"/>
          <w:sz w:val="24"/>
          <w:szCs w:val="24"/>
          <w:u w:val="none"/>
        </w:rPr>
      </w:pPr>
      <w:r>
        <w:rPr>
          <w:rFonts w:ascii="Arial" w:hAnsi="Arial"/>
          <w:b w:val="false"/>
          <w:sz w:val="24"/>
          <w:szCs w:val="24"/>
          <w:u w:val="none"/>
        </w:rPr>
      </w:r>
    </w:p>
    <w:p>
      <w:pPr>
        <w:pStyle w:val="BodyText2"/>
        <w:tabs>
          <w:tab w:val="left" w:pos="426" w:leader="none"/>
          <w:tab w:val="left" w:pos="1701" w:leader="none"/>
          <w:tab w:val="left" w:pos="9712" w:leader="none"/>
        </w:tabs>
        <w:spacing w:lineRule="atLeast" w:line="280" w:before="0" w:after="0"/>
        <w:ind w:right="0"/>
        <w:jc w:val="both"/>
        <w:rPr>
          <w:rFonts w:ascii="Arial" w:hAnsi="Arial"/>
          <w:b w:val="false"/>
          <w:sz w:val="24"/>
          <w:szCs w:val="24"/>
          <w:u w:val="none"/>
        </w:rPr>
      </w:pPr>
      <w:r>
        <w:rPr>
          <w:rFonts w:ascii="Arial" w:hAnsi="Arial"/>
          <w:b w:val="false"/>
          <w:sz w:val="24"/>
          <w:szCs w:val="24"/>
          <w:u w:val="none"/>
        </w:rPr>
      </w:r>
    </w:p>
    <w:p>
      <w:pPr>
        <w:pStyle w:val="Normal"/>
        <w:tabs>
          <w:tab w:val="clear" w:pos="720"/>
          <w:tab w:val="left" w:pos="0" w:leader="none"/>
          <w:tab w:val="left" w:pos="284" w:leader="none"/>
          <w:tab w:val="left" w:pos="567" w:leader="none"/>
          <w:tab w:val="left" w:pos="851" w:leader="none"/>
        </w:tabs>
        <w:spacing w:lineRule="atLeast" w:line="280" w:before="120" w:after="240"/>
        <w:ind w:hanging="0" w:left="709"/>
        <w:rPr>
          <w:b/>
          <w:color w:val="00B0F0"/>
          <w:sz w:val="24"/>
          <w:szCs w:val="24"/>
          <w:u w:val="single"/>
        </w:rPr>
      </w:pPr>
      <w:bookmarkStart w:id="11" w:name="_Toc142925869"/>
      <w:r>
        <w:rPr>
          <w:b/>
          <w:color w:val="00B0F0"/>
          <w:sz w:val="24"/>
          <w:szCs w:val="24"/>
          <w:u w:val="single"/>
        </w:rPr>
        <w:t>6. CONTRATAÇÃO</w:t>
      </w:r>
      <w:bookmarkEnd w:id="11"/>
      <w:r>
        <w:rPr>
          <w:b/>
          <w:color w:val="00B0F0"/>
          <w:sz w:val="24"/>
          <w:szCs w:val="24"/>
          <w:u w:val="single"/>
        </w:rPr>
        <w:t>:</w:t>
      </w:r>
    </w:p>
    <w:p>
      <w:pPr>
        <w:pStyle w:val="Normal"/>
        <w:spacing w:lineRule="auto" w:line="276"/>
        <w:ind w:hanging="0" w:left="390"/>
        <w:rPr>
          <w:rFonts w:eastAsia="Arial" w:cs="Arial"/>
          <w:sz w:val="24"/>
          <w:szCs w:val="24"/>
        </w:rPr>
      </w:pPr>
      <w:r>
        <w:rPr>
          <w:rFonts w:eastAsia="Arial" w:cs="Arial"/>
          <w:b/>
          <w:bCs/>
          <w:sz w:val="24"/>
          <w:szCs w:val="24"/>
        </w:rPr>
        <w:t>6.1.</w:t>
      </w:r>
      <w:r>
        <w:rPr>
          <w:rFonts w:eastAsia="Arial" w:cs="Arial"/>
          <w:sz w:val="24"/>
          <w:szCs w:val="24"/>
        </w:rPr>
        <w:t xml:space="preserve"> Após a homologação e adjudicação, caso se conclua pela contratação, será firmado Termo de Contrato ou emitido instrumento equivalente.</w:t>
      </w:r>
    </w:p>
    <w:p>
      <w:pPr>
        <w:pStyle w:val="Normal"/>
        <w:spacing w:lineRule="auto" w:line="276"/>
        <w:ind w:hanging="0" w:left="390"/>
        <w:rPr>
          <w:rFonts w:eastAsia="Arial" w:cs="Arial"/>
          <w:sz w:val="24"/>
          <w:szCs w:val="24"/>
        </w:rPr>
      </w:pPr>
      <w:r>
        <w:rPr>
          <w:rFonts w:eastAsia="Arial" w:cs="Arial"/>
          <w:b/>
          <w:bCs/>
          <w:sz w:val="24"/>
          <w:szCs w:val="24"/>
        </w:rPr>
        <w:t>6.2.</w:t>
      </w:r>
      <w:r>
        <w:rPr>
          <w:rFonts w:eastAsia="Arial" w:cs="Arial"/>
          <w:sz w:val="24"/>
          <w:szCs w:val="24"/>
        </w:rPr>
        <w:t xml:space="preserve"> O adjudicatário terá o prazo de </w:t>
      </w:r>
      <w:r>
        <w:rPr>
          <w:rFonts w:eastAsia="Arial" w:cs="Arial"/>
          <w:b/>
          <w:sz w:val="24"/>
          <w:szCs w:val="24"/>
        </w:rPr>
        <w:t>05 (cinco) dias úteis</w:t>
      </w:r>
      <w:r>
        <w:rPr>
          <w:rFonts w:eastAsia="Arial" w:cs="Arial"/>
          <w:i/>
          <w:sz w:val="24"/>
          <w:szCs w:val="24"/>
        </w:rPr>
        <w:t>,</w:t>
      </w:r>
      <w:r>
        <w:rPr>
          <w:rFonts w:eastAsia="Arial" w:cs="Arial"/>
          <w:sz w:val="24"/>
          <w:szCs w:val="24"/>
        </w:rPr>
        <w:t xml:space="preserve"> contados a partir da data de sua convocação, para assinar o </w:t>
      </w:r>
      <w:r>
        <w:rPr>
          <w:rFonts w:eastAsia="Arial" w:cs="Arial"/>
          <w:b/>
          <w:sz w:val="24"/>
          <w:szCs w:val="24"/>
        </w:rPr>
        <w:t>Termo de Contrato/aceitar instrumento equivalente, conforme o caso (Nota de Empenho/Carta Contrato/Autorização)</w:t>
      </w:r>
      <w:r>
        <w:rPr>
          <w:rFonts w:eastAsia="Arial" w:cs="Arial"/>
          <w:sz w:val="24"/>
          <w:szCs w:val="24"/>
        </w:rPr>
        <w:t>,</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p>
    <w:p>
      <w:pPr>
        <w:pStyle w:val="Normal"/>
        <w:widowControl/>
        <w:bidi w:val="0"/>
        <w:spacing w:lineRule="auto" w:line="276" w:before="120" w:after="120"/>
        <w:ind w:hanging="0" w:left="850" w:right="0"/>
        <w:jc w:val="both"/>
        <w:rPr>
          <w:rFonts w:eastAsia="Arial" w:cs="Arial"/>
          <w:sz w:val="24"/>
          <w:szCs w:val="24"/>
        </w:rPr>
      </w:pPr>
      <w:r>
        <w:rPr>
          <w:rFonts w:eastAsia="Arial" w:cs="Arial"/>
          <w:b/>
          <w:bCs/>
          <w:sz w:val="24"/>
          <w:szCs w:val="24"/>
        </w:rPr>
        <w:t>6.2.1.</w:t>
      </w:r>
      <w:r>
        <w:rPr>
          <w:rFonts w:eastAsia="Arial" w:cs="Arial"/>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05 (cinco) dias</w:t>
      </w:r>
      <w:r>
        <w:rPr>
          <w:rFonts w:eastAsia="Arial" w:cs="Arial"/>
          <w:sz w:val="24"/>
          <w:szCs w:val="24"/>
        </w:rPr>
        <w:t>, a contar da data de seu recebimento</w:t>
      </w:r>
      <w:r>
        <w:rPr>
          <w:rFonts w:eastAsia="Arial"/>
          <w:sz w:val="24"/>
          <w:szCs w:val="24"/>
        </w:rPr>
        <w:t xml:space="preserve"> ou da disponibilização do acesso ao sistema de processo eletrônico.</w:t>
      </w:r>
    </w:p>
    <w:p>
      <w:pPr>
        <w:pStyle w:val="Normal"/>
        <w:widowControl/>
        <w:bidi w:val="0"/>
        <w:spacing w:lineRule="auto" w:line="276" w:before="120" w:after="120"/>
        <w:ind w:hanging="0" w:left="850" w:right="0"/>
        <w:jc w:val="both"/>
        <w:rPr>
          <w:rFonts w:eastAsia="Arial" w:cs="Arial"/>
          <w:sz w:val="24"/>
          <w:szCs w:val="24"/>
        </w:rPr>
      </w:pPr>
      <w:r>
        <w:rPr>
          <w:rFonts w:eastAsia="Arial" w:cs="Arial"/>
          <w:b/>
          <w:bCs/>
          <w:sz w:val="24"/>
          <w:szCs w:val="24"/>
        </w:rPr>
        <w:t>6.2.2.</w:t>
      </w:r>
      <w:r>
        <w:rPr>
          <w:rFonts w:eastAsia="Arial" w:cs="Arial"/>
          <w:sz w:val="24"/>
          <w:szCs w:val="24"/>
        </w:rPr>
        <w:t xml:space="preserve"> O prazo previsto no subitem anterior poderá ser prorrogado, por igual período, por solicitação justificada do adjudicatário e aceita pela Administração.</w:t>
      </w:r>
    </w:p>
    <w:p>
      <w:pPr>
        <w:pStyle w:val="Normal"/>
        <w:spacing w:lineRule="auto" w:line="276"/>
        <w:ind w:hanging="0" w:left="390"/>
        <w:rPr/>
      </w:pPr>
      <w:r>
        <w:rPr>
          <w:rFonts w:eastAsia="Arial" w:cs="Arial"/>
          <w:b/>
          <w:bCs/>
          <w:i w:val="false"/>
          <w:iCs w:val="false"/>
          <w:sz w:val="24"/>
          <w:szCs w:val="24"/>
        </w:rPr>
        <w:t xml:space="preserve">6.3. </w:t>
      </w:r>
      <w:r>
        <w:rPr>
          <w:rFonts w:eastAsia="Arial" w:cs="Arial"/>
          <w:i/>
          <w:sz w:val="24"/>
          <w:szCs w:val="24"/>
        </w:rPr>
        <w:t>O Aceite da Nota de Empenho ou do instrumento equivalente, emitida ao fornecedor adjudicado, implica o reconhecimento de que:</w:t>
      </w:r>
    </w:p>
    <w:p>
      <w:pPr>
        <w:pStyle w:val="Normal"/>
        <w:widowControl/>
        <w:bidi w:val="0"/>
        <w:spacing w:lineRule="auto" w:line="276" w:before="120" w:after="120"/>
        <w:ind w:hanging="0" w:left="850" w:right="0"/>
        <w:jc w:val="both"/>
        <w:rPr/>
      </w:pPr>
      <w:r>
        <w:rPr>
          <w:rFonts w:eastAsia="Arial" w:cs="Arial"/>
          <w:b/>
          <w:bCs/>
          <w:i/>
          <w:sz w:val="24"/>
          <w:szCs w:val="24"/>
        </w:rPr>
        <w:t xml:space="preserve">6.3.1. </w:t>
      </w:r>
      <w:r>
        <w:rPr>
          <w:rFonts w:eastAsia="Arial" w:cs="Arial"/>
          <w:i/>
          <w:sz w:val="24"/>
          <w:szCs w:val="24"/>
        </w:rPr>
        <w:t xml:space="preserve">referida Nota está substituindo o contrato, aplicando-se à relação de negócios ali estabelecida as disposições da </w:t>
      </w:r>
      <w:hyperlink r:id="rId17" w:tooltip="http://www.planalto.gov.br/ccivil_03/_ato2019-2022/2021/lei/L14133.htm">
        <w:r>
          <w:rPr>
            <w:rStyle w:val="Style"/>
            <w:rFonts w:eastAsia="Arial" w:cs="Arial"/>
            <w:i/>
            <w:color w:val="auto"/>
            <w:sz w:val="24"/>
            <w:szCs w:val="24"/>
            <w:u w:val="single"/>
          </w:rPr>
          <w:t>Lei nº 14.133, de 2021</w:t>
        </w:r>
      </w:hyperlink>
      <w:r>
        <w:rPr>
          <w:rFonts w:eastAsia="Arial" w:cs="Arial"/>
          <w:i/>
          <w:sz w:val="24"/>
          <w:szCs w:val="24"/>
        </w:rPr>
        <w:t>;</w:t>
      </w:r>
    </w:p>
    <w:p>
      <w:pPr>
        <w:pStyle w:val="Normal"/>
        <w:widowControl/>
        <w:bidi w:val="0"/>
        <w:spacing w:lineRule="auto" w:line="276" w:before="120" w:after="120"/>
        <w:ind w:hanging="0" w:left="850" w:right="0"/>
        <w:jc w:val="both"/>
        <w:rPr/>
      </w:pPr>
      <w:r>
        <w:rPr>
          <w:rFonts w:eastAsia="Arial" w:cs="Arial"/>
          <w:b/>
          <w:bCs/>
          <w:i w:val="false"/>
          <w:iCs w:val="false"/>
          <w:sz w:val="24"/>
          <w:szCs w:val="24"/>
        </w:rPr>
        <w:t>6.3.2.</w:t>
      </w:r>
      <w:r>
        <w:rPr>
          <w:rFonts w:eastAsia="Arial" w:cs="Arial"/>
          <w:i/>
          <w:sz w:val="24"/>
          <w:szCs w:val="24"/>
        </w:rPr>
        <w:t xml:space="preserve"> a contratada se vincula à sua proposta e às previsões contidas no Aviso de Contratação Direta e seus anexos;</w:t>
      </w:r>
    </w:p>
    <w:p>
      <w:pPr>
        <w:pStyle w:val="Normal"/>
        <w:widowControl/>
        <w:bidi w:val="0"/>
        <w:spacing w:lineRule="auto" w:line="276" w:before="120" w:after="120"/>
        <w:ind w:hanging="0" w:left="850" w:right="0"/>
        <w:jc w:val="both"/>
        <w:rPr/>
      </w:pPr>
      <w:r>
        <w:rPr>
          <w:rFonts w:eastAsia="Arial" w:cs="Arial"/>
          <w:b/>
          <w:bCs/>
          <w:i w:val="false"/>
          <w:iCs w:val="false"/>
          <w:sz w:val="24"/>
          <w:szCs w:val="24"/>
        </w:rPr>
        <w:t>6.3.3.</w:t>
      </w:r>
      <w:r>
        <w:rPr>
          <w:rFonts w:eastAsia="Arial" w:cs="Arial"/>
          <w:i/>
          <w:sz w:val="24"/>
          <w:szCs w:val="24"/>
        </w:rPr>
        <w:t xml:space="preserve"> a contratada reconhece que as hipóteses de rescisão são aquelas previstas nos </w:t>
      </w:r>
      <w:hyperlink r:id="rId18" w:tooltip="http://www.planalto.gov.br/ccivil_03/_ato2019-2022/2021/lei/L14133.htm#art137&quot; l &quot;art137">
        <w:r>
          <w:rPr>
            <w:rStyle w:val="Style"/>
            <w:rFonts w:eastAsia="Arial" w:cs="Arial"/>
            <w:i/>
            <w:color w:val="auto"/>
            <w:sz w:val="24"/>
            <w:szCs w:val="24"/>
            <w:u w:val="single"/>
          </w:rPr>
          <w:t>artigos 137 e 138 da Lei nº 14.133, de 2021</w:t>
        </w:r>
      </w:hyperlink>
      <w:r>
        <w:rPr>
          <w:rFonts w:eastAsia="Arial" w:cs="Arial"/>
          <w:i/>
          <w:sz w:val="24"/>
          <w:szCs w:val="24"/>
        </w:rPr>
        <w:t xml:space="preserve"> e reconhece os direitos da Administração previstos nos </w:t>
      </w:r>
      <w:hyperlink r:id="rId19" w:tooltip="http://www.planalto.gov.br/ccivil_03/_ato2019-2022/2021/lei/L14133.htm#art137&quot; l &quot;art137">
        <w:r>
          <w:rPr>
            <w:rStyle w:val="Style"/>
            <w:rFonts w:eastAsia="Arial" w:cs="Arial"/>
            <w:i/>
            <w:color w:val="auto"/>
            <w:sz w:val="24"/>
            <w:szCs w:val="24"/>
            <w:u w:val="single"/>
          </w:rPr>
          <w:t>artigos 137 a 139 da mesma Lei</w:t>
        </w:r>
      </w:hyperlink>
      <w:r>
        <w:rPr>
          <w:rFonts w:eastAsia="Arial" w:cs="Arial"/>
          <w:i/>
          <w:sz w:val="24"/>
          <w:szCs w:val="24"/>
        </w:rPr>
        <w:t>.</w:t>
      </w:r>
    </w:p>
    <w:p>
      <w:pPr>
        <w:pStyle w:val="Normal"/>
        <w:spacing w:lineRule="auto" w:line="276"/>
        <w:ind w:hanging="0" w:left="390"/>
        <w:rPr>
          <w:rFonts w:eastAsia="Arial" w:cs="Arial"/>
          <w:sz w:val="24"/>
          <w:szCs w:val="24"/>
        </w:rPr>
      </w:pPr>
      <w:r>
        <w:rPr>
          <w:rFonts w:eastAsia="Arial" w:cs="Arial"/>
          <w:b/>
          <w:bCs/>
          <w:sz w:val="24"/>
          <w:szCs w:val="24"/>
        </w:rPr>
        <w:t>6.4.</w:t>
      </w:r>
      <w:r>
        <w:rPr>
          <w:rFonts w:eastAsia="Arial" w:cs="Arial"/>
          <w:sz w:val="24"/>
          <w:szCs w:val="24"/>
        </w:rPr>
        <w:t xml:space="preserve"> O prazo de vigência da contratação é o estabelecido no Termo de Referência. </w:t>
      </w:r>
    </w:p>
    <w:p>
      <w:pPr>
        <w:pStyle w:val="Normal"/>
        <w:tabs>
          <w:tab w:val="clear" w:pos="720"/>
          <w:tab w:val="left" w:pos="0" w:leader="none"/>
          <w:tab w:val="left" w:pos="284" w:leader="none"/>
          <w:tab w:val="left" w:pos="567" w:leader="none"/>
          <w:tab w:val="left" w:pos="851" w:leader="none"/>
        </w:tabs>
        <w:spacing w:lineRule="atLeast" w:line="280" w:before="120" w:after="240"/>
        <w:ind w:hanging="0" w:left="390"/>
        <w:rPr>
          <w:sz w:val="24"/>
          <w:szCs w:val="24"/>
        </w:rPr>
      </w:pPr>
      <w:r>
        <w:rPr>
          <w:rFonts w:cs="Arial"/>
          <w:b/>
          <w:bCs/>
          <w:sz w:val="24"/>
          <w:szCs w:val="24"/>
        </w:rPr>
        <w:t>6.5.</w:t>
      </w:r>
      <w:r>
        <w:rPr>
          <w:rFonts w:cs="Arial"/>
          <w:sz w:val="24"/>
          <w:szCs w:val="24"/>
        </w:rPr>
        <w:t xml:space="preserve"> Na assinatura do contrato ou do instrumento equivalente será exigida a comprovação das condições de habilitação e contratação consignadas neste aviso, que deverão ser mantidas pelo fornecedor durante a vigência do contrato</w:t>
      </w:r>
      <w:r>
        <w:rPr>
          <w:sz w:val="24"/>
          <w:szCs w:val="24"/>
        </w:rPr>
        <w:t>.</w:t>
      </w:r>
    </w:p>
    <w:p>
      <w:pPr>
        <w:pStyle w:val="Normal"/>
        <w:tabs>
          <w:tab w:val="clear" w:pos="720"/>
          <w:tab w:val="left" w:pos="0" w:leader="none"/>
          <w:tab w:val="left" w:pos="284" w:leader="none"/>
          <w:tab w:val="left" w:pos="567" w:leader="none"/>
          <w:tab w:val="left" w:pos="851" w:leader="none"/>
        </w:tabs>
        <w:spacing w:lineRule="atLeast" w:line="280" w:before="120" w:after="240"/>
        <w:ind w:hanging="0" w:left="390"/>
        <w:rPr>
          <w:b/>
          <w:bCs/>
          <w:sz w:val="24"/>
          <w:szCs w:val="24"/>
        </w:rPr>
      </w:pPr>
      <w:r>
        <w:rPr>
          <w:b/>
          <w:bCs/>
          <w:sz w:val="24"/>
          <w:szCs w:val="24"/>
          <w:lang w:val="pt-BR"/>
        </w:rPr>
        <w:t xml:space="preserve">7. </w:t>
      </w:r>
      <w:bookmarkStart w:id="12" w:name="_Toc135469234"/>
      <w:r>
        <w:rPr>
          <w:b/>
          <w:bCs/>
          <w:sz w:val="24"/>
          <w:szCs w:val="24"/>
        </w:rPr>
        <w:t>DAS INFRAÇÕES ADMINISTRATIVAS E SANÇÕES</w:t>
      </w:r>
      <w:bookmarkEnd w:id="12"/>
    </w:p>
    <w:p>
      <w:pPr>
        <w:pStyle w:val="Nivel2"/>
        <w:widowControl/>
        <w:numPr>
          <w:ilvl w:val="1"/>
          <w:numId w:val="7"/>
        </w:numPr>
        <w:bidi w:val="0"/>
        <w:spacing w:lineRule="auto" w:line="276" w:before="120" w:after="120"/>
        <w:ind w:hanging="0" w:left="397" w:right="0"/>
        <w:jc w:val="both"/>
        <w:rPr>
          <w:color w:val="auto"/>
          <w:sz w:val="24"/>
          <w:szCs w:val="24"/>
        </w:rPr>
      </w:pPr>
      <w:r>
        <w:rPr>
          <w:color w:val="auto"/>
          <w:sz w:val="24"/>
          <w:szCs w:val="24"/>
        </w:rPr>
        <w:t xml:space="preserve">Comete infração administrativa o fornecedor que praticar quaisquer das hipóteses previstas no </w:t>
      </w:r>
      <w:hyperlink r:id="rId20" w:tooltip="http://www.planalto.gov.br/ccivil_03/_ato2019-2022/2021/lei/L14133.htm#art155&quot; l &quot;art155">
        <w:r>
          <w:rPr>
            <w:rStyle w:val="Style"/>
            <w:color w:val="auto"/>
            <w:sz w:val="24"/>
            <w:szCs w:val="24"/>
            <w:u w:val="single"/>
          </w:rPr>
          <w:t>art. 155 da Lei nº 14.133, de 2021</w:t>
        </w:r>
      </w:hyperlink>
      <w:r>
        <w:rPr>
          <w:color w:val="auto"/>
          <w:sz w:val="24"/>
          <w:szCs w:val="24"/>
        </w:rPr>
        <w:t xml:space="preserve">, quais sejam: </w:t>
      </w:r>
    </w:p>
    <w:p>
      <w:pPr>
        <w:pStyle w:val="Normal"/>
        <w:numPr>
          <w:ilvl w:val="2"/>
          <w:numId w:val="7"/>
        </w:numPr>
        <w:spacing w:lineRule="auto" w:line="276"/>
        <w:rPr>
          <w:rFonts w:cs="Arial"/>
          <w:sz w:val="24"/>
          <w:szCs w:val="24"/>
        </w:rPr>
      </w:pPr>
      <w:bookmarkStart w:id="13" w:name="_Ref143509900"/>
      <w:bookmarkStart w:id="14" w:name="_Ref114668252"/>
      <w:bookmarkStart w:id="15" w:name="_Hlk114652595"/>
      <w:bookmarkEnd w:id="14"/>
      <w:bookmarkEnd w:id="15"/>
      <w:r>
        <w:rPr>
          <w:rFonts w:cs="Arial"/>
          <w:sz w:val="24"/>
          <w:szCs w:val="24"/>
        </w:rPr>
        <w:t>dar causa à inexecução parcial do contrato;</w:t>
      </w:r>
      <w:bookmarkEnd w:id="13"/>
    </w:p>
    <w:p>
      <w:pPr>
        <w:pStyle w:val="Normal"/>
        <w:numPr>
          <w:ilvl w:val="2"/>
          <w:numId w:val="7"/>
        </w:numPr>
        <w:spacing w:lineRule="auto" w:line="276"/>
        <w:rPr>
          <w:rFonts w:cs="Arial"/>
          <w:sz w:val="24"/>
          <w:szCs w:val="24"/>
        </w:rPr>
      </w:pPr>
      <w:bookmarkStart w:id="16" w:name="_Ref143510015"/>
      <w:r>
        <w:rPr>
          <w:rFonts w:cs="Arial"/>
          <w:sz w:val="24"/>
          <w:szCs w:val="24"/>
        </w:rPr>
        <w:t>dar causa à inexecução parcial do contrato que cause grave dano à Administração, ao funcionamento dos serviços públicos ou ao interesse coletivo;</w:t>
      </w:r>
      <w:bookmarkEnd w:id="16"/>
    </w:p>
    <w:p>
      <w:pPr>
        <w:pStyle w:val="Normal"/>
        <w:numPr>
          <w:ilvl w:val="2"/>
          <w:numId w:val="7"/>
        </w:numPr>
        <w:spacing w:lineRule="auto" w:line="276"/>
        <w:rPr>
          <w:rFonts w:cs="Arial"/>
          <w:sz w:val="24"/>
          <w:szCs w:val="24"/>
        </w:rPr>
      </w:pPr>
      <w:r>
        <w:rPr>
          <w:rFonts w:cs="Arial"/>
          <w:sz w:val="24"/>
          <w:szCs w:val="24"/>
        </w:rPr>
        <w:t>dar causa à inexecução total do contrato;</w:t>
      </w:r>
    </w:p>
    <w:p>
      <w:pPr>
        <w:pStyle w:val="Normal"/>
        <w:numPr>
          <w:ilvl w:val="2"/>
          <w:numId w:val="7"/>
        </w:numPr>
        <w:spacing w:lineRule="auto" w:line="276"/>
        <w:rPr>
          <w:rFonts w:cs="Arial"/>
          <w:sz w:val="24"/>
          <w:szCs w:val="24"/>
        </w:rPr>
      </w:pPr>
      <w:r>
        <w:rPr>
          <w:rFonts w:cs="Arial"/>
          <w:sz w:val="24"/>
          <w:szCs w:val="24"/>
        </w:rPr>
        <w:t>deixar de entregar a documentação exigida para o certame;</w:t>
      </w:r>
    </w:p>
    <w:p>
      <w:pPr>
        <w:pStyle w:val="Normal"/>
        <w:numPr>
          <w:ilvl w:val="2"/>
          <w:numId w:val="7"/>
        </w:numPr>
        <w:spacing w:lineRule="auto" w:line="276"/>
        <w:rPr>
          <w:rFonts w:cs="Arial"/>
          <w:sz w:val="24"/>
          <w:szCs w:val="24"/>
        </w:rPr>
      </w:pPr>
      <w:r>
        <w:rPr>
          <w:rFonts w:cs="Arial"/>
          <w:sz w:val="24"/>
          <w:szCs w:val="24"/>
        </w:rPr>
        <w:t>não manter a proposta, salvo em decorrência de fato superveniente devidamente justificado;</w:t>
      </w:r>
    </w:p>
    <w:p>
      <w:pPr>
        <w:pStyle w:val="Normal"/>
        <w:numPr>
          <w:ilvl w:val="2"/>
          <w:numId w:val="7"/>
        </w:numPr>
        <w:spacing w:lineRule="auto" w:line="276"/>
        <w:rPr>
          <w:rFonts w:cs="Arial"/>
          <w:sz w:val="24"/>
          <w:szCs w:val="24"/>
        </w:rPr>
      </w:pPr>
      <w:r>
        <w:rPr>
          <w:rFonts w:cs="Arial"/>
          <w:sz w:val="24"/>
          <w:szCs w:val="24"/>
        </w:rPr>
        <w:t>não celebrar o contrato ou não entregar a documentação exigida para a contratação, quando convocado dentro do prazo de validade de sua proposta;</w:t>
      </w:r>
    </w:p>
    <w:p>
      <w:pPr>
        <w:pStyle w:val="Normal"/>
        <w:numPr>
          <w:ilvl w:val="2"/>
          <w:numId w:val="7"/>
        </w:numPr>
        <w:spacing w:lineRule="auto" w:line="276"/>
        <w:rPr>
          <w:rFonts w:cs="Arial"/>
          <w:sz w:val="24"/>
          <w:szCs w:val="24"/>
        </w:rPr>
      </w:pPr>
      <w:r>
        <w:rPr>
          <w:rFonts w:cs="Arial"/>
          <w:sz w:val="24"/>
          <w:szCs w:val="24"/>
        </w:rPr>
        <w:t> </w:t>
      </w:r>
      <w:bookmarkStart w:id="17" w:name="_Ref143510046"/>
      <w:r>
        <w:rPr>
          <w:rFonts w:cs="Arial"/>
          <w:sz w:val="24"/>
          <w:szCs w:val="24"/>
        </w:rPr>
        <w:t>ensejar o retardamento da execução ou da entrega do objeto da contratação direta sem motivo justificado;</w:t>
      </w:r>
      <w:bookmarkEnd w:id="17"/>
    </w:p>
    <w:p>
      <w:pPr>
        <w:pStyle w:val="Normal"/>
        <w:numPr>
          <w:ilvl w:val="2"/>
          <w:numId w:val="7"/>
        </w:numPr>
        <w:spacing w:lineRule="auto" w:line="276"/>
        <w:rPr>
          <w:rFonts w:cs="Arial"/>
          <w:sz w:val="24"/>
          <w:szCs w:val="24"/>
        </w:rPr>
      </w:pPr>
      <w:bookmarkStart w:id="18" w:name="_Ref143510088"/>
      <w:r>
        <w:rPr>
          <w:rFonts w:cs="Arial"/>
          <w:sz w:val="24"/>
          <w:szCs w:val="24"/>
        </w:rPr>
        <w:t>apresentar declaração ou documentação falsa exigida para o certame ou prestar declaração falsa durante a dispensa eletrônica ou a execução do contrato;</w:t>
      </w:r>
      <w:bookmarkEnd w:id="18"/>
    </w:p>
    <w:p>
      <w:pPr>
        <w:pStyle w:val="Normal"/>
        <w:numPr>
          <w:ilvl w:val="2"/>
          <w:numId w:val="7"/>
        </w:numPr>
        <w:spacing w:lineRule="auto" w:line="276"/>
        <w:rPr>
          <w:rFonts w:cs="Arial"/>
          <w:sz w:val="24"/>
          <w:szCs w:val="24"/>
        </w:rPr>
      </w:pPr>
      <w:r>
        <w:rPr>
          <w:rFonts w:cs="Arial"/>
          <w:sz w:val="24"/>
          <w:szCs w:val="24"/>
        </w:rPr>
        <w:t>fraudar a dispensa eletrônica ou praticar ato fraudulento na execução do contrato;</w:t>
      </w:r>
    </w:p>
    <w:p>
      <w:pPr>
        <w:pStyle w:val="Normal"/>
        <w:numPr>
          <w:ilvl w:val="2"/>
          <w:numId w:val="7"/>
        </w:numPr>
        <w:tabs>
          <w:tab w:val="clear" w:pos="720"/>
          <w:tab w:val="left" w:pos="993" w:leader="none"/>
        </w:tabs>
        <w:spacing w:lineRule="auto" w:line="276"/>
        <w:rPr>
          <w:rFonts w:cs="Arial"/>
          <w:sz w:val="24"/>
          <w:szCs w:val="24"/>
        </w:rPr>
      </w:pPr>
      <w:r>
        <w:rPr>
          <w:rFonts w:cs="Arial"/>
          <w:sz w:val="24"/>
          <w:szCs w:val="24"/>
        </w:rPr>
        <w:t> </w:t>
      </w:r>
      <w:r>
        <w:rPr>
          <w:rFonts w:cs="Arial"/>
          <w:sz w:val="24"/>
          <w:szCs w:val="24"/>
        </w:rPr>
        <w:t>Comportar-se de modo inidôneo ou cometer fraude de qualquer natureza;</w:t>
      </w:r>
    </w:p>
    <w:p>
      <w:pPr>
        <w:pStyle w:val="ListParagraph"/>
        <w:numPr>
          <w:ilvl w:val="3"/>
          <w:numId w:val="7"/>
        </w:numPr>
        <w:spacing w:lineRule="auto" w:line="276"/>
        <w:rPr>
          <w:rFonts w:cs="Arial"/>
          <w:sz w:val="24"/>
          <w:szCs w:val="24"/>
        </w:rPr>
      </w:pPr>
      <w:r>
        <w:rPr>
          <w:rFonts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recebimento das propostas.</w:t>
      </w:r>
    </w:p>
    <w:p>
      <w:pPr>
        <w:pStyle w:val="Normal"/>
        <w:numPr>
          <w:ilvl w:val="2"/>
          <w:numId w:val="7"/>
        </w:numPr>
        <w:tabs>
          <w:tab w:val="clear" w:pos="720"/>
          <w:tab w:val="left" w:pos="993" w:leader="none"/>
        </w:tabs>
        <w:spacing w:lineRule="auto" w:line="276"/>
        <w:rPr>
          <w:rFonts w:cs="Arial"/>
          <w:sz w:val="24"/>
          <w:szCs w:val="24"/>
        </w:rPr>
      </w:pPr>
      <w:r>
        <w:rPr>
          <w:rFonts w:cs="Arial"/>
          <w:sz w:val="24"/>
          <w:szCs w:val="24"/>
        </w:rPr>
        <w:t>Praticar atos ilícitos com vistas a frustrar os objetivos deste certame.</w:t>
      </w:r>
    </w:p>
    <w:p>
      <w:pPr>
        <w:pStyle w:val="Normal"/>
        <w:numPr>
          <w:ilvl w:val="2"/>
          <w:numId w:val="7"/>
        </w:numPr>
        <w:tabs>
          <w:tab w:val="clear" w:pos="720"/>
          <w:tab w:val="left" w:pos="993" w:leader="none"/>
        </w:tabs>
        <w:spacing w:lineRule="auto" w:line="276"/>
        <w:rPr>
          <w:rStyle w:val="Hyperlink1"/>
          <w:rFonts w:cs="Arial"/>
          <w:color w:val="auto"/>
          <w:sz w:val="24"/>
          <w:szCs w:val="24"/>
        </w:rPr>
      </w:pPr>
      <w:bookmarkStart w:id="19" w:name="_Ref143509952"/>
      <w:bookmarkEnd w:id="19"/>
      <w:r>
        <w:rPr>
          <w:rFonts w:cs="Arial"/>
          <w:sz w:val="24"/>
          <w:szCs w:val="24"/>
        </w:rPr>
        <w:t>Praticar ato lesivo previsto no </w:t>
      </w:r>
      <w:hyperlink r:id="rId21" w:tooltip="http://www.planalto.gov.br/ccivil_03/_ato2019-2022/2021/lei/L14133.htm#art5&quot; l &quot;art5">
        <w:r>
          <w:rPr>
            <w:rStyle w:val="Style"/>
            <w:color w:val="auto"/>
            <w:sz w:val="24"/>
            <w:szCs w:val="24"/>
            <w:u w:val="single"/>
          </w:rPr>
          <w:t>art. 5º da Lei nº 12.846, de 1º de agosto de 2013.</w:t>
        </w:r>
      </w:hyperlink>
    </w:p>
    <w:p>
      <w:pPr>
        <w:pStyle w:val="Nivel2"/>
        <w:numPr>
          <w:ilvl w:val="1"/>
          <w:numId w:val="7"/>
        </w:numPr>
        <w:ind w:hanging="0" w:left="0"/>
        <w:rPr>
          <w:b/>
          <w:color w:val="auto"/>
          <w:sz w:val="24"/>
          <w:szCs w:val="24"/>
        </w:rPr>
      </w:pPr>
      <w:r>
        <w:rPr>
          <w:color w:val="auto"/>
          <w:sz w:val="24"/>
          <w:szCs w:val="24"/>
        </w:rPr>
        <w:t>O fornecedor que cometer qualquer das infrações discriminadas nos subitens anteriores ficará sujeito, sem prejuízo da responsabilidade civil e criminal, às seguintes sanções</w:t>
      </w:r>
      <w:r>
        <w:rPr>
          <w:b/>
          <w:color w:val="auto"/>
          <w:sz w:val="24"/>
          <w:szCs w:val="24"/>
        </w:rPr>
        <w:t xml:space="preserve">: </w:t>
      </w:r>
    </w:p>
    <w:p>
      <w:pPr>
        <w:pStyle w:val="Normal"/>
        <w:numPr>
          <w:ilvl w:val="2"/>
          <w:numId w:val="7"/>
        </w:numPr>
        <w:spacing w:lineRule="auto" w:line="276"/>
        <w:rPr>
          <w:rFonts w:cs="Arial"/>
          <w:sz w:val="24"/>
          <w:szCs w:val="24"/>
        </w:rPr>
      </w:pPr>
      <w:r>
        <w:rPr>
          <w:rFonts w:cs="Arial"/>
          <w:sz w:val="24"/>
          <w:szCs w:val="24"/>
        </w:rPr>
        <w:t xml:space="preserve">Advertência pela falta do subitem </w:t>
      </w:r>
      <w:r>
        <w:rPr>
          <w:rFonts w:cs="Arial"/>
          <w:color w:val="FF0000"/>
          <w:sz w:val="24"/>
          <w:szCs w:val="24"/>
        </w:rPr>
        <w:fldChar w:fldCharType="begin"/>
      </w:r>
      <w:r>
        <w:rPr>
          <w:rFonts w:cs="Arial"/>
          <w:color w:val="FF0000"/>
          <w:sz w:val="24"/>
          <w:szCs w:val="24"/>
        </w:rPr>
        <w:instrText xml:space="preserve"> REF _Ref143509900 \r \r \h </w:instrText>
      </w:r>
      <w:r>
        <w:rPr>
          <w:rFonts w:cs="Arial"/>
          <w:color w:val="FF0000"/>
          <w:sz w:val="24"/>
          <w:szCs w:val="24"/>
        </w:rPr>
        <w:fldChar w:fldCharType="separate"/>
      </w:r>
      <w:r>
        <w:rPr>
          <w:rFonts w:cs="Arial"/>
          <w:color w:val="FF0000"/>
          <w:sz w:val="24"/>
          <w:szCs w:val="24"/>
        </w:rPr>
        <w:t>7.1.1</w:t>
      </w:r>
      <w:r>
        <w:rPr>
          <w:rFonts w:cs="Arial"/>
          <w:color w:val="FF0000"/>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quando não se justificar a imposição de penalidade mais grave;</w:t>
      </w:r>
    </w:p>
    <w:p>
      <w:pPr>
        <w:pStyle w:val="Normal"/>
        <w:numPr>
          <w:ilvl w:val="2"/>
          <w:numId w:val="7"/>
        </w:numPr>
        <w:spacing w:lineRule="auto" w:line="276"/>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color w:val="FF0000"/>
          <w:sz w:val="24"/>
          <w:szCs w:val="24"/>
        </w:rPr>
        <w:fldChar w:fldCharType="begin"/>
      </w:r>
      <w:r>
        <w:rPr>
          <w:rFonts w:cs="Arial"/>
          <w:color w:val="FF0000"/>
          <w:sz w:val="24"/>
          <w:szCs w:val="24"/>
        </w:rPr>
        <w:instrText xml:space="preserve"> REF _Ref143509900 \r \r \h </w:instrText>
      </w:r>
      <w:r>
        <w:rPr>
          <w:rFonts w:cs="Arial"/>
          <w:color w:val="FF0000"/>
          <w:sz w:val="24"/>
          <w:szCs w:val="24"/>
        </w:rPr>
        <w:fldChar w:fldCharType="separate"/>
      </w:r>
      <w:r>
        <w:rPr>
          <w:rFonts w:cs="Arial"/>
          <w:color w:val="FF0000"/>
          <w:sz w:val="24"/>
          <w:szCs w:val="24"/>
        </w:rPr>
        <w:t>7.1.1</w:t>
      </w:r>
      <w:r>
        <w:rPr>
          <w:rFonts w:cs="Arial"/>
          <w:color w:val="FF0000"/>
          <w:sz w:val="24"/>
          <w:szCs w:val="24"/>
        </w:rPr>
        <w:fldChar w:fldCharType="end"/>
      </w:r>
      <w:r>
        <w:rPr>
          <w:rFonts w:cs="Arial"/>
          <w:color w:val="FF0000"/>
          <w:sz w:val="24"/>
          <w:szCs w:val="24"/>
        </w:rPr>
        <w:t xml:space="preserve"> a </w:t>
      </w:r>
      <w:r>
        <w:rPr>
          <w:rFonts w:cs="Arial"/>
          <w:color w:val="FF0000"/>
          <w:sz w:val="24"/>
          <w:szCs w:val="24"/>
        </w:rPr>
        <w:fldChar w:fldCharType="begin"/>
      </w:r>
      <w:r>
        <w:rPr>
          <w:rFonts w:cs="Arial"/>
          <w:color w:val="FF0000"/>
          <w:sz w:val="24"/>
          <w:szCs w:val="24"/>
        </w:rPr>
        <w:instrText xml:space="preserve"> REF _Ref143509952 \r \r \h </w:instrText>
      </w:r>
      <w:r>
        <w:rPr>
          <w:rFonts w:cs="Arial"/>
          <w:color w:val="FF0000"/>
          <w:sz w:val="24"/>
          <w:szCs w:val="24"/>
        </w:rPr>
        <w:fldChar w:fldCharType="separate"/>
      </w:r>
      <w:r>
        <w:rPr>
          <w:rFonts w:cs="Arial"/>
          <w:color w:val="FF0000"/>
          <w:sz w:val="24"/>
          <w:szCs w:val="24"/>
        </w:rPr>
        <w:t>7.1.12</w:t>
      </w:r>
      <w:r>
        <w:rPr>
          <w:rFonts w:cs="Arial"/>
          <w:color w:val="FF0000"/>
          <w:sz w:val="24"/>
          <w:szCs w:val="24"/>
        </w:rPr>
        <w:fldChar w:fldCharType="end"/>
      </w:r>
      <w:r>
        <w:rPr>
          <w:rFonts w:cs="Arial"/>
          <w:color w:val="FF0000"/>
          <w:sz w:val="24"/>
          <w:szCs w:val="24"/>
        </w:rPr>
        <w:t>;</w:t>
      </w:r>
    </w:p>
    <w:p>
      <w:pPr>
        <w:pStyle w:val="Normal"/>
        <w:numPr>
          <w:ilvl w:val="2"/>
          <w:numId w:val="7"/>
        </w:numPr>
        <w:spacing w:lineRule="auto" w:line="276"/>
        <w:rPr>
          <w:rFonts w:cs="Arial"/>
          <w:sz w:val="24"/>
          <w:szCs w:val="24"/>
        </w:rPr>
      </w:pPr>
      <w:r>
        <w:rPr>
          <w:rFonts w:cs="Arial"/>
          <w:sz w:val="24"/>
          <w:szCs w:val="24"/>
        </w:rPr>
        <w:t>Impedimento de licitar e contratar no âmbito da Administração Pública direta e indireta do ente federativo que tiver aplicado a sanção, pelo prazo máximo de 3 (três) anos, nos casos dos subitens</w:t>
      </w:r>
      <w:r>
        <w:rPr>
          <w:rFonts w:cs="Arial"/>
          <w:color w:val="FF0000"/>
          <w:sz w:val="24"/>
          <w:szCs w:val="24"/>
        </w:rPr>
        <w:t xml:space="preserve"> </w:t>
      </w:r>
      <w:r>
        <w:rPr>
          <w:rFonts w:cs="Arial"/>
          <w:color w:val="FF0000"/>
          <w:sz w:val="24"/>
          <w:szCs w:val="24"/>
        </w:rPr>
        <w:fldChar w:fldCharType="begin"/>
      </w:r>
      <w:r>
        <w:rPr>
          <w:rFonts w:cs="Arial"/>
          <w:color w:val="FF0000"/>
          <w:sz w:val="24"/>
          <w:szCs w:val="24"/>
        </w:rPr>
        <w:instrText xml:space="preserve"> REF _Ref143510015 \r \r \h </w:instrText>
      </w:r>
      <w:r>
        <w:rPr>
          <w:rFonts w:cs="Arial"/>
          <w:color w:val="FF0000"/>
          <w:sz w:val="24"/>
          <w:szCs w:val="24"/>
        </w:rPr>
        <w:fldChar w:fldCharType="separate"/>
      </w:r>
      <w:r>
        <w:rPr>
          <w:rFonts w:cs="Arial"/>
          <w:color w:val="FF0000"/>
          <w:sz w:val="24"/>
          <w:szCs w:val="24"/>
        </w:rPr>
        <w:t>7.1.2</w:t>
      </w:r>
      <w:r>
        <w:rPr>
          <w:rFonts w:cs="Arial"/>
          <w:color w:val="FF0000"/>
          <w:sz w:val="24"/>
          <w:szCs w:val="24"/>
        </w:rPr>
        <w:fldChar w:fldCharType="end"/>
      </w:r>
      <w:r>
        <w:rPr>
          <w:rFonts w:cs="Arial"/>
          <w:color w:val="FF0000"/>
          <w:sz w:val="24"/>
          <w:szCs w:val="24"/>
        </w:rPr>
        <w:t xml:space="preserve">  a </w:t>
      </w:r>
      <w:r>
        <w:rPr>
          <w:rFonts w:cs="Arial"/>
          <w:color w:val="FF0000"/>
          <w:sz w:val="24"/>
          <w:szCs w:val="24"/>
        </w:rPr>
        <w:fldChar w:fldCharType="begin"/>
      </w:r>
      <w:r>
        <w:rPr>
          <w:rFonts w:cs="Arial"/>
          <w:color w:val="FF0000"/>
          <w:sz w:val="24"/>
          <w:szCs w:val="24"/>
        </w:rPr>
        <w:instrText xml:space="preserve"> REF _Ref143510046 \r \r \h </w:instrText>
      </w:r>
      <w:r>
        <w:rPr>
          <w:rFonts w:cs="Arial"/>
          <w:color w:val="FF0000"/>
          <w:sz w:val="24"/>
          <w:szCs w:val="24"/>
        </w:rPr>
        <w:fldChar w:fldCharType="separate"/>
      </w:r>
      <w:r>
        <w:rPr>
          <w:rFonts w:cs="Arial"/>
          <w:color w:val="FF0000"/>
          <w:sz w:val="24"/>
          <w:szCs w:val="24"/>
        </w:rPr>
        <w:t>7.1.7</w:t>
      </w:r>
      <w:r>
        <w:rPr>
          <w:rFonts w:cs="Arial"/>
          <w:color w:val="FF0000"/>
          <w:sz w:val="24"/>
          <w:szCs w:val="24"/>
        </w:rPr>
        <w:fldChar w:fldCharType="end"/>
      </w:r>
      <w:r>
        <w:rPr>
          <w:rFonts w:cs="Arial"/>
          <w:sz w:val="24"/>
          <w:szCs w:val="24"/>
        </w:rPr>
        <w:t xml:space="preserve"> deste Aviso de Contratação Direta, quando não se justificar a imposição de penalidade mais grave;</w:t>
      </w:r>
    </w:p>
    <w:p>
      <w:pPr>
        <w:pStyle w:val="Nivel3"/>
        <w:numPr>
          <w:ilvl w:val="2"/>
          <w:numId w:val="7"/>
        </w:numPr>
        <w:tabs>
          <w:tab w:val="clear" w:pos="720"/>
          <w:tab w:val="left" w:pos="993" w:leader="none"/>
        </w:tabs>
        <w:rPr>
          <w:color w:val="auto"/>
          <w:sz w:val="24"/>
          <w:szCs w:val="24"/>
        </w:rPr>
      </w:pPr>
      <w:r>
        <w:rPr>
          <w:color w:val="auto"/>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Pr>
          <w:color w:val="FF0000"/>
          <w:sz w:val="24"/>
          <w:szCs w:val="24"/>
        </w:rPr>
        <w:t xml:space="preserve"> </w:t>
      </w:r>
      <w:r>
        <w:rPr>
          <w:color w:val="FF0000"/>
          <w:sz w:val="24"/>
          <w:szCs w:val="24"/>
        </w:rPr>
        <w:fldChar w:fldCharType="begin"/>
      </w:r>
      <w:r>
        <w:rPr>
          <w:color w:val="FF0000"/>
          <w:sz w:val="24"/>
          <w:szCs w:val="24"/>
        </w:rPr>
        <w:instrText xml:space="preserve"> REF _Ref143510088 \r \r \h </w:instrText>
      </w:r>
      <w:r>
        <w:rPr>
          <w:color w:val="FF0000"/>
          <w:sz w:val="24"/>
          <w:szCs w:val="24"/>
        </w:rPr>
        <w:fldChar w:fldCharType="separate"/>
      </w:r>
      <w:r>
        <w:rPr>
          <w:color w:val="FF0000"/>
          <w:sz w:val="24"/>
          <w:szCs w:val="24"/>
        </w:rPr>
        <w:t>7.1.8</w:t>
      </w:r>
      <w:r>
        <w:rPr>
          <w:color w:val="FF0000"/>
          <w:sz w:val="24"/>
          <w:szCs w:val="24"/>
        </w:rPr>
        <w:fldChar w:fldCharType="end"/>
      </w:r>
      <w:r>
        <w:rPr>
          <w:color w:val="FF0000"/>
          <w:sz w:val="24"/>
          <w:szCs w:val="24"/>
        </w:rPr>
        <w:t xml:space="preserve"> a </w:t>
      </w:r>
      <w:r>
        <w:rPr>
          <w:color w:val="FF0000"/>
          <w:sz w:val="24"/>
          <w:szCs w:val="24"/>
        </w:rPr>
        <w:fldChar w:fldCharType="begin"/>
      </w:r>
      <w:r>
        <w:rPr>
          <w:color w:val="FF0000"/>
          <w:sz w:val="24"/>
          <w:szCs w:val="24"/>
        </w:rPr>
        <w:instrText xml:space="preserve"> REF _Ref143509952 \r \r \h </w:instrText>
      </w:r>
      <w:r>
        <w:rPr>
          <w:color w:val="FF0000"/>
          <w:sz w:val="24"/>
          <w:szCs w:val="24"/>
        </w:rPr>
        <w:fldChar w:fldCharType="separate"/>
      </w:r>
      <w:r>
        <w:rPr>
          <w:color w:val="FF0000"/>
          <w:sz w:val="24"/>
          <w:szCs w:val="24"/>
        </w:rPr>
        <w:t>7.1.12</w:t>
      </w:r>
      <w:r>
        <w:rPr>
          <w:color w:val="FF0000"/>
          <w:sz w:val="24"/>
          <w:szCs w:val="24"/>
        </w:rPr>
        <w:fldChar w:fldCharType="end"/>
      </w:r>
      <w:r>
        <w:rPr>
          <w:color w:val="auto"/>
          <w:sz w:val="24"/>
          <w:szCs w:val="24"/>
        </w:rPr>
        <w:t>, bem como nos demais casos que justifiquem a imposição da penalidade mais grave.</w:t>
      </w:r>
    </w:p>
    <w:p>
      <w:pPr>
        <w:pStyle w:val="Normal"/>
        <w:numPr>
          <w:ilvl w:val="1"/>
          <w:numId w:val="7"/>
        </w:numPr>
        <w:spacing w:lineRule="auto" w:line="276"/>
        <w:rPr>
          <w:rFonts w:cs="Arial"/>
          <w:bCs/>
          <w:sz w:val="24"/>
          <w:szCs w:val="24"/>
        </w:rPr>
      </w:pPr>
      <w:r>
        <w:rPr>
          <w:rFonts w:cs="Arial"/>
          <w:bCs/>
          <w:sz w:val="24"/>
          <w:szCs w:val="24"/>
        </w:rPr>
        <w:t>A aplicação das sanções previstas neste Aviso de Contratação Direta não exclui, em hipótese alguma, a obrigação de reparação integral do dano causado à Contratante (</w:t>
      </w:r>
      <w:hyperlink r:id="rId22" w:tooltip="http://www.planalto.gov.br/ccivil_03/_ato2019-2022/2021/lei/L14133.htm#art156§9&quot; l &quot;art156§9">
        <w:r>
          <w:rPr>
            <w:rStyle w:val="Style"/>
            <w:rFonts w:cs="Arial"/>
            <w:bCs/>
            <w:color w:val="auto"/>
            <w:sz w:val="24"/>
            <w:szCs w:val="24"/>
            <w:u w:val="single"/>
          </w:rPr>
          <w:t>art. 156, §9º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Todas as sanções previstas neste Aviso poderão ser aplicadas cumulativamente com a multa </w:t>
      </w:r>
      <w:hyperlink r:id="rId23" w:tooltip="http://www.planalto.gov.br/ccivil_03/_ato2019-2022/2021/lei/L14133.htm#art156§7&quot; l &quot;art156§7">
        <w:r>
          <w:rPr>
            <w:rStyle w:val="Style"/>
            <w:rFonts w:cs="Arial"/>
            <w:bCs/>
            <w:color w:val="auto"/>
            <w:sz w:val="24"/>
            <w:szCs w:val="24"/>
            <w:u w:val="single"/>
          </w:rPr>
          <w:t>(art. 156, §7º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Antes da aplicação da multa, será facultada a defesa do interessado no prazo de 15 (quinze) dias úteis, contado da data de sua intimação (</w:t>
      </w:r>
      <w:hyperlink r:id="rId24" w:tooltip="http://www.planalto.gov.br/ccivil_03/_ato2019-2022/2021/lei/L14133.htm#art157&quot; l &quot;art157">
        <w:r>
          <w:rPr>
            <w:rStyle w:val="Style"/>
            <w:rFonts w:cs="Arial"/>
            <w:bCs/>
            <w:color w:val="auto"/>
            <w:sz w:val="24"/>
            <w:szCs w:val="24"/>
            <w:u w:val="single"/>
          </w:rPr>
          <w:t>art. 157</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tooltip="http://www.planalto.gov.br/ccivil_03/_ato2019-2022/2021/lei/L14133.htm#art156§8&quot; l &quot;art156§8">
        <w:r>
          <w:rPr>
            <w:rStyle w:val="Style"/>
            <w:rFonts w:cs="Arial"/>
            <w:bCs/>
            <w:color w:val="auto"/>
            <w:sz w:val="24"/>
            <w:szCs w:val="24"/>
            <w:u w:val="single"/>
          </w:rPr>
          <w:t>art. 156, §8º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30</w:t>
      </w:r>
      <w:r>
        <w:rPr>
          <w:rFonts w:cs="Arial"/>
          <w:b/>
          <w:i/>
          <w:sz w:val="24"/>
          <w:szCs w:val="24"/>
        </w:rPr>
        <w:t xml:space="preserve"> </w:t>
      </w:r>
      <w:r>
        <w:rPr>
          <w:rFonts w:cs="Arial"/>
          <w:b/>
          <w:sz w:val="24"/>
          <w:szCs w:val="24"/>
        </w:rPr>
        <w:t>(trinta)</w:t>
      </w:r>
      <w:r>
        <w:rPr>
          <w:rFonts w:cs="Arial"/>
          <w:b/>
          <w:bCs/>
          <w:i/>
          <w:iCs/>
          <w:sz w:val="24"/>
          <w:szCs w:val="24"/>
        </w:rPr>
        <w:t xml:space="preserve"> </w:t>
      </w:r>
      <w:r>
        <w:rPr>
          <w:rFonts w:cs="Arial"/>
          <w:b/>
          <w:bCs/>
          <w:sz w:val="24"/>
          <w:szCs w:val="24"/>
        </w:rPr>
        <w:t>dias</w:t>
      </w:r>
      <w:r>
        <w:rPr>
          <w:rFonts w:cs="Arial"/>
          <w:bCs/>
          <w:sz w:val="24"/>
          <w:szCs w:val="24"/>
        </w:rPr>
        <w:t>, a contar da data do recebimento da comunicação enviada pela autoridade competente.</w:t>
      </w:r>
      <w:bookmarkStart w:id="20" w:name="_Hlk78351618"/>
      <w:bookmarkEnd w:id="20"/>
    </w:p>
    <w:p>
      <w:pPr>
        <w:pStyle w:val="Normal"/>
        <w:numPr>
          <w:ilvl w:val="1"/>
          <w:numId w:val="7"/>
        </w:numPr>
        <w:spacing w:lineRule="auto" w:line="276"/>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26" w:tooltip="http://www.planalto.gov.br/ccivil_03/_ato2019-2022/2021/lei/L14133.htm#art158&quot; l &quot;art158">
        <w:r>
          <w:rPr>
            <w:rStyle w:val="Style"/>
            <w:rFonts w:cs="Arial"/>
            <w:bCs/>
            <w:color w:val="auto"/>
            <w:sz w:val="24"/>
            <w:szCs w:val="24"/>
            <w:u w:val="single"/>
          </w:rPr>
          <w:t>art. 158 da Lei nº 14.133, de 2021</w:t>
        </w:r>
      </w:hyperlink>
      <w:r>
        <w:rPr>
          <w:rFonts w:cs="Arial"/>
          <w:bCs/>
          <w:sz w:val="24"/>
          <w:szCs w:val="24"/>
        </w:rPr>
        <w:t>, para as penalidades de impedimento de licitar e contratar e de declaração de inidoneidade para licitar ou contratar.</w:t>
      </w:r>
    </w:p>
    <w:p>
      <w:pPr>
        <w:pStyle w:val="Normal"/>
        <w:numPr>
          <w:ilvl w:val="1"/>
          <w:numId w:val="7"/>
        </w:numPr>
        <w:spacing w:lineRule="auto" w:line="276"/>
        <w:rPr>
          <w:rFonts w:cs="Arial"/>
          <w:bCs/>
          <w:sz w:val="24"/>
          <w:szCs w:val="24"/>
        </w:rPr>
      </w:pPr>
      <w:r>
        <w:rPr>
          <w:rFonts w:cs="Arial"/>
          <w:bCs/>
          <w:sz w:val="24"/>
          <w:szCs w:val="24"/>
        </w:rPr>
        <w:t>Na aplicação das sanções serão considerados (</w:t>
      </w:r>
      <w:hyperlink r:id="rId27" w:tooltip="http://www.planalto.gov.br/ccivil_03/_ato2019-2022/2021/lei/L14133.htm#art156§1&quot; l &quot;art156§1">
        <w:r>
          <w:rPr>
            <w:rStyle w:val="Style"/>
            <w:rFonts w:cs="Arial"/>
            <w:bCs/>
            <w:color w:val="auto"/>
            <w:sz w:val="24"/>
            <w:szCs w:val="24"/>
            <w:u w:val="single"/>
          </w:rPr>
          <w:t>art. 156, §1º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 natureza e a gravidade da infração cometida;</w:t>
      </w:r>
    </w:p>
    <w:p>
      <w:pPr>
        <w:pStyle w:val="Normal"/>
        <w:numPr>
          <w:ilvl w:val="1"/>
          <w:numId w:val="7"/>
        </w:numPr>
        <w:spacing w:lineRule="auto" w:line="276"/>
        <w:rPr>
          <w:rFonts w:cs="Arial"/>
          <w:bCs/>
          <w:sz w:val="24"/>
          <w:szCs w:val="24"/>
        </w:rPr>
      </w:pPr>
      <w:r>
        <w:rPr>
          <w:rFonts w:cs="Arial"/>
          <w:bCs/>
          <w:sz w:val="24"/>
          <w:szCs w:val="24"/>
        </w:rPr>
        <w:t>as peculiaridades do caso concreto;</w:t>
      </w:r>
    </w:p>
    <w:p>
      <w:pPr>
        <w:pStyle w:val="Normal"/>
        <w:numPr>
          <w:ilvl w:val="1"/>
          <w:numId w:val="7"/>
        </w:numPr>
        <w:spacing w:lineRule="auto" w:line="276"/>
        <w:rPr>
          <w:rFonts w:cs="Arial"/>
          <w:bCs/>
          <w:sz w:val="24"/>
          <w:szCs w:val="24"/>
        </w:rPr>
      </w:pPr>
      <w:r>
        <w:rPr>
          <w:rFonts w:cs="Arial"/>
          <w:bCs/>
          <w:sz w:val="24"/>
          <w:szCs w:val="24"/>
        </w:rPr>
        <w:t>as circunstâncias agravantes ou atenuantes;</w:t>
      </w:r>
    </w:p>
    <w:p>
      <w:pPr>
        <w:pStyle w:val="Normal"/>
        <w:numPr>
          <w:ilvl w:val="1"/>
          <w:numId w:val="7"/>
        </w:numPr>
        <w:spacing w:lineRule="auto" w:line="276"/>
        <w:rPr>
          <w:rFonts w:cs="Arial"/>
          <w:bCs/>
          <w:sz w:val="24"/>
          <w:szCs w:val="24"/>
        </w:rPr>
      </w:pPr>
      <w:r>
        <w:rPr>
          <w:rFonts w:cs="Arial"/>
          <w:bCs/>
          <w:sz w:val="24"/>
          <w:szCs w:val="24"/>
        </w:rPr>
        <w:t>os danos que dela provierem para o Contratante;</w:t>
      </w:r>
    </w:p>
    <w:p>
      <w:pPr>
        <w:pStyle w:val="Normal"/>
        <w:numPr>
          <w:ilvl w:val="1"/>
          <w:numId w:val="7"/>
        </w:numPr>
        <w:spacing w:lineRule="auto" w:line="276"/>
        <w:rPr>
          <w:rFonts w:cs="Arial"/>
          <w:bCs/>
          <w:sz w:val="24"/>
          <w:szCs w:val="24"/>
        </w:rPr>
      </w:pPr>
      <w:r>
        <w:rPr>
          <w:rFonts w:cs="Arial"/>
          <w:bCs/>
          <w:sz w:val="24"/>
          <w:szCs w:val="24"/>
        </w:rPr>
        <w:t>a implantação ou o aperfeiçoamento de programa de integridade, conforme normas e orientações dos órgãos de controle.</w:t>
      </w:r>
    </w:p>
    <w:p>
      <w:pPr>
        <w:pStyle w:val="Normal"/>
        <w:numPr>
          <w:ilvl w:val="1"/>
          <w:numId w:val="7"/>
        </w:numPr>
        <w:spacing w:lineRule="auto" w:line="276"/>
        <w:rPr>
          <w:rFonts w:cs="Arial"/>
          <w:bCs/>
          <w:sz w:val="24"/>
          <w:szCs w:val="24"/>
        </w:rPr>
      </w:pPr>
      <w:r>
        <w:rPr>
          <w:rFonts w:cs="Arial"/>
          <w:bCs/>
          <w:sz w:val="24"/>
          <w:szCs w:val="24"/>
        </w:rPr>
        <w:t xml:space="preserve">Os atos previstos como infrações administrativas na </w:t>
      </w:r>
      <w:hyperlink r:id="rId28" w:tooltip="http://www.planalto.gov.br/ccivil_03/_ato2019-2022/2021/lei/L14133.htm">
        <w:r>
          <w:rPr>
            <w:rStyle w:val="Style"/>
            <w:rFonts w:cs="Arial"/>
            <w:bCs/>
            <w:color w:val="auto"/>
            <w:sz w:val="24"/>
            <w:szCs w:val="24"/>
            <w:u w:val="single"/>
          </w:rPr>
          <w:t>Lei nº 14.133, de 2021</w:t>
        </w:r>
      </w:hyperlink>
      <w:r>
        <w:rPr>
          <w:rFonts w:cs="Arial"/>
          <w:bCs/>
          <w:sz w:val="24"/>
          <w:szCs w:val="24"/>
        </w:rPr>
        <w:t xml:space="preserve">, ou em outras leis de licitações e contratos da Administração Pública que também sejam tipificados como atos lesivos na </w:t>
      </w:r>
      <w:hyperlink r:id="rId29" w:tooltip="https://www.planalto.gov.br/ccivil_03/_ato2011-2014/2013/lei/l12846.htm">
        <w:r>
          <w:rPr>
            <w:rStyle w:val="Style"/>
            <w:rFonts w:cs="Arial"/>
            <w:bCs/>
            <w:color w:val="auto"/>
            <w:sz w:val="24"/>
            <w:szCs w:val="24"/>
            <w:u w:val="single"/>
          </w:rPr>
          <w:t>Lei nº 12.846, de 1º de agosto de 2013</w:t>
        </w:r>
      </w:hyperlink>
      <w:r>
        <w:rPr>
          <w:rFonts w:cs="Arial"/>
          <w:bCs/>
          <w:sz w:val="24"/>
          <w:szCs w:val="24"/>
        </w:rPr>
        <w:t>, serão apurados e julgados conjuntamente, nos mesmos autos, observados o rito procedimental e autoridade competente definidos na referida Lei (</w:t>
      </w:r>
      <w:hyperlink r:id="rId30" w:tooltip="http://www.planalto.gov.br/ccivil_03/_ato2019-2022/2021/lei/L14133.htm#art159&quot; l &quot;art159">
        <w:r>
          <w:rPr>
            <w:rStyle w:val="Style"/>
            <w:rFonts w:cs="Arial"/>
            <w:bCs/>
            <w:color w:val="auto"/>
            <w:sz w:val="24"/>
            <w:szCs w:val="24"/>
            <w:u w:val="single"/>
          </w:rPr>
          <w:t>art. 159</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tooltip="http://www.planalto.gov.br/ccivil_03/_ato2019-2022/2021/lei/L14133.htm#art160&quot; l &quot;art160">
        <w:r>
          <w:rPr>
            <w:rStyle w:val="Style"/>
            <w:rFonts w:cs="Arial"/>
            <w:bCs/>
            <w:color w:val="auto"/>
            <w:sz w:val="24"/>
            <w:szCs w:val="24"/>
            <w:u w:val="single"/>
          </w:rPr>
          <w:t>art. 160</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 </w:t>
      </w:r>
      <w:r>
        <w:rPr>
          <w:rFonts w:cs="Arial"/>
          <w:bCs/>
          <w:sz w:val="24"/>
          <w:szCs w:val="24"/>
        </w:rPr>
        <w:t xml:space="preserve">O Contratante deverá, no prazo máximo </w:t>
      </w:r>
      <w:r>
        <w:rPr>
          <w:rFonts w:cs="Arial"/>
          <w:b/>
          <w:bCs/>
          <w:sz w:val="24"/>
          <w:szCs w:val="24"/>
        </w:rPr>
        <w:t>15 (quinze) dias úteis</w:t>
      </w:r>
      <w:r>
        <w:rPr>
          <w:rFonts w:cs="Arial"/>
          <w:bCs/>
          <w:sz w:val="24"/>
          <w:szCs w:val="24"/>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2" w:tooltip="http://www.planalto.gov.br/ccivil_03/_ato2019-2022/2021/lei/L14133.htm#art161&quot; l &quot;art161">
        <w:r>
          <w:rPr>
            <w:rStyle w:val="Style"/>
            <w:rFonts w:cs="Arial"/>
            <w:bCs/>
            <w:color w:val="auto"/>
            <w:sz w:val="24"/>
            <w:szCs w:val="24"/>
            <w:u w:val="single"/>
          </w:rPr>
          <w:t>Art. 161</w:t>
        </w:r>
      </w:hyperlink>
      <w:r>
        <w:rPr>
          <w:rFonts w:cs="Arial"/>
          <w:bCs/>
          <w:sz w:val="24"/>
          <w:szCs w:val="24"/>
        </w:rPr>
        <w:t>)</w:t>
      </w:r>
      <w:r>
        <w:rPr>
          <w:rFonts w:cs="Arial"/>
          <w:bCs/>
          <w:i/>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33" w:tooltip="http://www.planalto.gov.br/ccivil_03/_ato2019-2022/2021/lei/L14133.htm#art163&quot; l &quot;art163">
        <w:r>
          <w:rPr>
            <w:rStyle w:val="Style"/>
            <w:rFonts w:cs="Arial"/>
            <w:bCs/>
            <w:color w:val="auto"/>
            <w:sz w:val="24"/>
            <w:szCs w:val="24"/>
            <w:u w:val="single"/>
          </w:rPr>
          <w:t>art. 163 da Lei nº 14.133, de 2021.</w:t>
        </w:r>
      </w:hyperlink>
    </w:p>
    <w:p>
      <w:pPr>
        <w:pStyle w:val="Nivel2"/>
        <w:numPr>
          <w:ilvl w:val="1"/>
          <w:numId w:val="7"/>
        </w:numPr>
        <w:rPr>
          <w:color w:val="auto"/>
          <w:sz w:val="24"/>
          <w:szCs w:val="24"/>
        </w:rPr>
      </w:pPr>
      <w:r>
        <w:rPr>
          <w:color w:val="auto"/>
          <w:sz w:val="24"/>
          <w:szCs w:val="24"/>
        </w:rPr>
        <w:t>As sanções por atos praticados no decorrer da contratação estão previstas nos anexos a este Aviso.</w:t>
      </w:r>
    </w:p>
    <w:p>
      <w:pPr>
        <w:pStyle w:val="Normal"/>
        <w:tabs>
          <w:tab w:val="clear" w:pos="720"/>
          <w:tab w:val="left" w:pos="426" w:leader="none"/>
          <w:tab w:val="left" w:pos="851" w:leader="none"/>
        </w:tabs>
        <w:spacing w:lineRule="atLeast" w:line="280" w:before="120" w:after="240"/>
        <w:ind w:hanging="0" w:left="0"/>
        <w:rPr>
          <w:b/>
          <w:sz w:val="24"/>
          <w:szCs w:val="24"/>
          <w:u w:val="single"/>
        </w:rPr>
      </w:pPr>
      <w:r>
        <w:rPr>
          <w:b/>
          <w:bCs/>
          <w:sz w:val="24"/>
          <w:szCs w:val="24"/>
        </w:rPr>
        <w:t xml:space="preserve">8. </w:t>
      </w:r>
      <w:bookmarkStart w:id="21" w:name="_Toc135469236"/>
      <w:r>
        <w:rPr>
          <w:b/>
          <w:bCs/>
          <w:color w:val="auto"/>
          <w:sz w:val="24"/>
          <w:szCs w:val="24"/>
          <w:u w:val="single"/>
        </w:rPr>
        <w:t xml:space="preserve"> </w:t>
      </w:r>
      <w:r>
        <w:rPr>
          <w:b/>
          <w:color w:val="auto"/>
          <w:sz w:val="24"/>
          <w:szCs w:val="24"/>
          <w:u w:val="single"/>
        </w:rPr>
        <w:t>DAS DISPOSIÇÕES GERAIS</w:t>
      </w:r>
      <w:bookmarkEnd w:id="21"/>
      <w:r>
        <w:rPr>
          <w:b/>
          <w:color w:val="auto"/>
          <w:sz w:val="24"/>
          <w:szCs w:val="24"/>
          <w:u w:val="single"/>
        </w:rPr>
        <w:t>:</w:t>
      </w:r>
    </w:p>
    <w:p>
      <w:pPr>
        <w:pStyle w:val="Normal"/>
        <w:spacing w:lineRule="auto" w:line="276"/>
        <w:ind w:hanging="0" w:left="0"/>
        <w:rPr>
          <w:rFonts w:cs="Arial"/>
          <w:sz w:val="24"/>
          <w:szCs w:val="24"/>
        </w:rPr>
      </w:pPr>
      <w:r>
        <w:rPr>
          <w:rFonts w:cs="Arial"/>
          <w:b/>
          <w:bCs/>
          <w:sz w:val="24"/>
          <w:szCs w:val="24"/>
        </w:rPr>
        <w:t xml:space="preserve">8.1. </w:t>
      </w:r>
      <w:r>
        <w:rPr>
          <w:rFonts w:cs="Arial"/>
          <w:sz w:val="24"/>
          <w:szCs w:val="24"/>
        </w:rPr>
        <w:t>No caso de todos os fornecedores restarem desclassificados ou inabilitados (procedimento fracassado), a Administração poderá:</w:t>
      </w:r>
    </w:p>
    <w:p>
      <w:pPr>
        <w:pStyle w:val="Normal"/>
        <w:spacing w:lineRule="auto" w:line="276"/>
        <w:ind w:hanging="0" w:left="0"/>
        <w:rPr>
          <w:rFonts w:cs="Arial"/>
          <w:sz w:val="24"/>
          <w:szCs w:val="24"/>
        </w:rPr>
      </w:pPr>
      <w:r>
        <w:rPr>
          <w:rFonts w:cs="Arial"/>
          <w:b/>
          <w:bCs/>
          <w:sz w:val="24"/>
          <w:szCs w:val="24"/>
        </w:rPr>
        <w:t xml:space="preserve">8.2. </w:t>
      </w:r>
      <w:bookmarkStart w:id="22" w:name="_Ref143510170"/>
      <w:r>
        <w:rPr>
          <w:rFonts w:cs="Arial"/>
          <w:sz w:val="24"/>
          <w:szCs w:val="24"/>
        </w:rPr>
        <w:t>republicar o presente aviso com uma nova data;</w:t>
      </w:r>
      <w:bookmarkEnd w:id="22"/>
    </w:p>
    <w:p>
      <w:pPr>
        <w:pStyle w:val="Normal"/>
        <w:tabs>
          <w:tab w:val="clear" w:pos="720"/>
          <w:tab w:val="left" w:pos="851" w:leader="none"/>
        </w:tabs>
        <w:spacing w:lineRule="auto" w:line="276"/>
        <w:ind w:hanging="0" w:left="0"/>
        <w:rPr>
          <w:rFonts w:cs="Arial"/>
          <w:sz w:val="24"/>
          <w:szCs w:val="24"/>
        </w:rPr>
      </w:pPr>
      <w:r>
        <w:rPr>
          <w:b/>
          <w:bCs/>
          <w:sz w:val="24"/>
          <w:szCs w:val="24"/>
        </w:rPr>
        <w:t xml:space="preserve">8.3. </w:t>
      </w:r>
      <w:bookmarkStart w:id="23" w:name="_Ref143510198"/>
      <w:r>
        <w:rPr>
          <w:rFonts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23"/>
    </w:p>
    <w:p>
      <w:pPr>
        <w:pStyle w:val="Normal"/>
        <w:spacing w:lineRule="auto" w:line="276"/>
        <w:ind w:hanging="0" w:left="0"/>
        <w:rPr>
          <w:rFonts w:cs="Arial"/>
          <w:sz w:val="24"/>
          <w:szCs w:val="24"/>
        </w:rPr>
      </w:pPr>
      <w:r>
        <w:rPr>
          <w:rFonts w:cs="Arial"/>
          <w:b/>
          <w:bCs/>
          <w:sz w:val="24"/>
          <w:szCs w:val="24"/>
        </w:rPr>
        <w:t>8.3.1.</w:t>
      </w:r>
      <w:r>
        <w:rPr>
          <w:rFonts w:cs="Arial"/>
          <w:sz w:val="24"/>
          <w:szCs w:val="24"/>
        </w:rPr>
        <w:t xml:space="preserve"> No caso do subitem anterior, a contratação será operacionalizada fora deste procedimento.</w:t>
      </w:r>
    </w:p>
    <w:p>
      <w:pPr>
        <w:pStyle w:val="Normal"/>
        <w:tabs>
          <w:tab w:val="clear" w:pos="720"/>
          <w:tab w:val="left" w:pos="851" w:leader="none"/>
        </w:tabs>
        <w:spacing w:lineRule="auto" w:line="276"/>
        <w:ind w:hanging="0" w:left="0"/>
        <w:rPr>
          <w:rFonts w:cs="Arial"/>
          <w:sz w:val="24"/>
          <w:szCs w:val="24"/>
        </w:rPr>
      </w:pPr>
      <w:r>
        <w:rPr>
          <w:rFonts w:cs="Arial"/>
          <w:b/>
          <w:bCs/>
          <w:sz w:val="24"/>
          <w:szCs w:val="24"/>
        </w:rPr>
        <w:t xml:space="preserve">8.3.2. </w:t>
      </w:r>
      <w:r>
        <w:rPr>
          <w:rFonts w:cs="Arial"/>
          <w:sz w:val="24"/>
          <w:szCs w:val="24"/>
        </w:rPr>
        <w:t>fixar prazo para que possa haver adequação das propostas ou da documentação de habilitação, conforme o caso.</w:t>
      </w:r>
    </w:p>
    <w:p>
      <w:pPr>
        <w:pStyle w:val="Normal"/>
        <w:tabs>
          <w:tab w:val="clear" w:pos="720"/>
          <w:tab w:val="left" w:pos="851" w:leader="none"/>
        </w:tabs>
        <w:spacing w:lineRule="auto" w:line="276"/>
        <w:ind w:hanging="0" w:left="0"/>
        <w:rPr>
          <w:rFonts w:cs="Arial"/>
          <w:sz w:val="24"/>
          <w:szCs w:val="24"/>
        </w:rPr>
      </w:pPr>
      <w:r>
        <w:rPr>
          <w:rFonts w:cs="Arial"/>
          <w:b/>
          <w:bCs/>
          <w:sz w:val="24"/>
          <w:szCs w:val="24"/>
        </w:rPr>
        <w:t>8.4.</w:t>
      </w:r>
      <w:r>
        <w:rPr>
          <w:rFonts w:cs="Arial"/>
          <w:sz w:val="24"/>
          <w:szCs w:val="24"/>
        </w:rPr>
        <w:t xml:space="preserve"> As providências dos subitens </w:t>
      </w:r>
      <w:r>
        <w:rPr>
          <w:rFonts w:cs="Arial"/>
          <w:color w:val="FF0000"/>
          <w:sz w:val="24"/>
          <w:szCs w:val="24"/>
        </w:rPr>
        <w:fldChar w:fldCharType="begin"/>
      </w:r>
      <w:r>
        <w:rPr>
          <w:rFonts w:cs="Arial"/>
          <w:color w:val="FF0000"/>
          <w:sz w:val="24"/>
          <w:szCs w:val="24"/>
        </w:rPr>
        <w:instrText xml:space="preserve"> REF _Ref143510170 \r \r \h </w:instrText>
      </w:r>
      <w:r>
        <w:rPr>
          <w:rFonts w:cs="Arial"/>
          <w:color w:val="FF0000"/>
          <w:sz w:val="24"/>
          <w:szCs w:val="24"/>
        </w:rPr>
        <w:fldChar w:fldCharType="separate"/>
      </w:r>
      <w:r>
        <w:rPr>
          <w:rFonts w:cs="Arial"/>
          <w:color w:val="FF0000"/>
          <w:sz w:val="24"/>
          <w:szCs w:val="24"/>
        </w:rPr>
      </w:r>
      <w:r>
        <w:rPr>
          <w:rFonts w:cs="Arial"/>
          <w:color w:val="FF0000"/>
          <w:sz w:val="24"/>
          <w:szCs w:val="24"/>
        </w:rPr>
        <w:fldChar w:fldCharType="end"/>
      </w:r>
      <w:r>
        <w:rPr>
          <w:rFonts w:cs="Arial"/>
          <w:color w:val="FF0000"/>
          <w:sz w:val="24"/>
          <w:szCs w:val="24"/>
        </w:rPr>
        <w:t xml:space="preserve">  e </w:t>
      </w:r>
      <w:r>
        <w:rPr>
          <w:rFonts w:cs="Arial"/>
          <w:color w:val="FF0000"/>
          <w:sz w:val="24"/>
          <w:szCs w:val="24"/>
        </w:rPr>
        <w:fldChar w:fldCharType="begin"/>
      </w:r>
      <w:r>
        <w:rPr>
          <w:rFonts w:cs="Arial"/>
          <w:color w:val="FF0000"/>
          <w:sz w:val="24"/>
          <w:szCs w:val="24"/>
        </w:rPr>
        <w:instrText xml:space="preserve"> REF _Ref143510198 \r \r \h </w:instrText>
      </w:r>
      <w:r>
        <w:rPr>
          <w:rFonts w:cs="Arial"/>
          <w:color w:val="FF0000"/>
          <w:sz w:val="24"/>
          <w:szCs w:val="24"/>
        </w:rPr>
        <w:fldChar w:fldCharType="separate"/>
      </w:r>
      <w:r>
        <w:rPr>
          <w:rFonts w:cs="Arial"/>
          <w:color w:val="FF0000"/>
          <w:sz w:val="24"/>
          <w:szCs w:val="24"/>
        </w:rPr>
      </w:r>
      <w:r>
        <w:rPr>
          <w:rFonts w:cs="Arial"/>
          <w:color w:val="FF0000"/>
          <w:sz w:val="24"/>
          <w:szCs w:val="24"/>
        </w:rPr>
        <w:fldChar w:fldCharType="end"/>
      </w:r>
      <w:r>
        <w:rPr>
          <w:rFonts w:cs="Arial"/>
          <w:sz w:val="24"/>
          <w:szCs w:val="24"/>
        </w:rPr>
        <w:t xml:space="preserve"> também poderão ser utilizadas se não houver o comparecimento de quaisquer fornecedores interessados (procedimento deserto).</w:t>
      </w:r>
    </w:p>
    <w:p>
      <w:pPr>
        <w:pStyle w:val="Normal"/>
        <w:spacing w:lineRule="auto" w:line="276"/>
        <w:ind w:hanging="0" w:left="0"/>
        <w:rPr>
          <w:rFonts w:cs="Arial"/>
          <w:sz w:val="24"/>
          <w:szCs w:val="24"/>
        </w:rPr>
      </w:pPr>
      <w:r>
        <w:rPr>
          <w:rFonts w:cs="Arial"/>
          <w:b/>
          <w:bCs/>
          <w:sz w:val="24"/>
          <w:szCs w:val="24"/>
        </w:rPr>
        <w:t xml:space="preserve">8.5. </w:t>
      </w:r>
      <w:r>
        <w:rPr>
          <w:rFonts w:cs="Arial"/>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spacing w:lineRule="auto" w:line="276"/>
        <w:ind w:hanging="0" w:left="0"/>
        <w:rPr>
          <w:rFonts w:cs="Arial"/>
          <w:sz w:val="24"/>
          <w:szCs w:val="24"/>
        </w:rPr>
      </w:pPr>
      <w:r>
        <w:rPr>
          <w:rFonts w:cs="Arial"/>
          <w:b/>
          <w:bCs/>
          <w:sz w:val="24"/>
          <w:szCs w:val="24"/>
        </w:rPr>
        <w:t xml:space="preserve">8.6. </w:t>
      </w:r>
      <w:r>
        <w:rPr>
          <w:rFonts w:cs="Arial"/>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spacing w:lineRule="auto" w:line="276"/>
        <w:ind w:hanging="0" w:left="0"/>
        <w:rPr>
          <w:rFonts w:cs="Arial"/>
          <w:sz w:val="24"/>
          <w:szCs w:val="24"/>
        </w:rPr>
      </w:pPr>
      <w:r>
        <w:rPr>
          <w:rFonts w:cs="Arial"/>
          <w:b/>
          <w:bCs/>
          <w:sz w:val="24"/>
          <w:szCs w:val="24"/>
        </w:rPr>
        <w:t>8.7.</w:t>
      </w:r>
      <w:r>
        <w:rPr>
          <w:rFonts w:cs="Arial"/>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spacing w:lineRule="auto" w:line="276"/>
        <w:ind w:hanging="0" w:left="0"/>
        <w:rPr>
          <w:rFonts w:cs="Arial"/>
          <w:sz w:val="24"/>
          <w:szCs w:val="24"/>
        </w:rPr>
      </w:pPr>
      <w:r>
        <w:rPr>
          <w:rFonts w:cs="Arial"/>
          <w:b/>
          <w:bCs/>
          <w:sz w:val="24"/>
          <w:szCs w:val="24"/>
        </w:rPr>
        <w:t>8.8.</w:t>
      </w:r>
      <w:r>
        <w:rPr>
          <w:rFonts w:cs="Arial"/>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76"/>
        <w:ind w:hanging="0" w:left="0"/>
        <w:rPr>
          <w:rFonts w:cs="Arial"/>
          <w:sz w:val="24"/>
          <w:szCs w:val="24"/>
        </w:rPr>
      </w:pPr>
      <w:r>
        <w:rPr>
          <w:rFonts w:cs="Arial"/>
          <w:b/>
          <w:bCs/>
          <w:sz w:val="24"/>
          <w:szCs w:val="24"/>
        </w:rPr>
        <w:t xml:space="preserve">8.9. </w:t>
      </w:r>
      <w:r>
        <w:rPr>
          <w:rFonts w:cs="Arial"/>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spacing w:lineRule="auto" w:line="276"/>
        <w:ind w:hanging="0" w:left="0"/>
        <w:rPr>
          <w:rFonts w:cs="Arial"/>
          <w:sz w:val="24"/>
          <w:szCs w:val="24"/>
        </w:rPr>
      </w:pPr>
      <w:r>
        <w:rPr>
          <w:rFonts w:cs="Arial"/>
          <w:b/>
          <w:bCs/>
          <w:sz w:val="24"/>
          <w:szCs w:val="24"/>
        </w:rPr>
        <w:t xml:space="preserve">8.10. </w:t>
      </w:r>
      <w:r>
        <w:rPr>
          <w:rFonts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spacing w:lineRule="auto" w:line="276"/>
        <w:ind w:hanging="0" w:left="0"/>
        <w:rPr>
          <w:rFonts w:cs="Arial"/>
          <w:sz w:val="24"/>
          <w:szCs w:val="24"/>
        </w:rPr>
      </w:pPr>
      <w:r>
        <w:rPr>
          <w:rFonts w:cs="Arial"/>
          <w:b/>
          <w:bCs/>
          <w:sz w:val="24"/>
          <w:szCs w:val="24"/>
        </w:rPr>
        <w:t xml:space="preserve">8.11. </w:t>
      </w:r>
      <w:r>
        <w:rPr>
          <w:rFonts w:cs="Arial"/>
          <w:sz w:val="24"/>
          <w:szCs w:val="24"/>
        </w:rPr>
        <w:t>Em caso de divergência entre disposições deste Aviso de Contratação Direta e de seus anexos ou demais peças que compõem o processo, prevalecerá as deste Aviso.</w:t>
      </w:r>
    </w:p>
    <w:p>
      <w:pPr>
        <w:pStyle w:val="Normal"/>
        <w:spacing w:lineRule="auto" w:line="276"/>
        <w:ind w:hanging="0" w:left="0"/>
        <w:rPr>
          <w:rFonts w:cs="Arial"/>
          <w:sz w:val="24"/>
          <w:szCs w:val="24"/>
        </w:rPr>
      </w:pPr>
      <w:r>
        <w:rPr>
          <w:rFonts w:cs="Arial"/>
          <w:b/>
          <w:bCs/>
          <w:sz w:val="24"/>
          <w:szCs w:val="24"/>
        </w:rPr>
        <w:t>8.12.</w:t>
      </w:r>
      <w:r>
        <w:rPr>
          <w:rFonts w:cs="Arial"/>
          <w:sz w:val="24"/>
          <w:szCs w:val="24"/>
        </w:rPr>
        <w:t xml:space="preserve"> Da sessão pública será divulgada Ata no sistema.</w:t>
      </w:r>
    </w:p>
    <w:p>
      <w:pPr>
        <w:pStyle w:val="Normal"/>
        <w:spacing w:lineRule="auto" w:line="276"/>
        <w:ind w:hanging="0" w:left="0"/>
        <w:rPr>
          <w:rFonts w:cs="Arial"/>
          <w:sz w:val="24"/>
          <w:szCs w:val="24"/>
        </w:rPr>
      </w:pPr>
      <w:r>
        <w:rPr>
          <w:rFonts w:cs="Arial"/>
          <w:b/>
          <w:bCs/>
          <w:sz w:val="24"/>
          <w:szCs w:val="24"/>
        </w:rPr>
        <w:t>8.13.</w:t>
      </w:r>
      <w:r>
        <w:rPr>
          <w:rFonts w:cs="Arial"/>
          <w:sz w:val="24"/>
          <w:szCs w:val="24"/>
        </w:rPr>
        <w:t xml:space="preserve"> Integram este Aviso de Contratação Direta, para todos os fins e efeitos, os seguintes anexos</w:t>
      </w:r>
      <w:r>
        <w:rPr>
          <w:sz w:val="24"/>
          <w:szCs w:val="24"/>
        </w:rPr>
        <w:t>:</w:t>
      </w:r>
    </w:p>
    <w:p>
      <w:pPr>
        <w:pStyle w:val="Normal"/>
        <w:ind w:hanging="0" w:left="0"/>
        <w:rPr>
          <w:rFonts w:cs="Arial"/>
          <w:sz w:val="24"/>
          <w:szCs w:val="24"/>
        </w:rPr>
      </w:pPr>
      <w:r>
        <w:rPr>
          <w:b/>
          <w:bCs/>
          <w:sz w:val="24"/>
          <w:szCs w:val="24"/>
        </w:rPr>
        <w:t xml:space="preserve">8.13.1 </w:t>
      </w:r>
      <w:r>
        <w:rPr>
          <w:sz w:val="24"/>
          <w:szCs w:val="24"/>
        </w:rPr>
        <w:t>ANEXO I: Estudo Técnico Preliminar;</w:t>
      </w:r>
    </w:p>
    <w:p>
      <w:pPr>
        <w:pStyle w:val="Normal"/>
        <w:ind w:hanging="0" w:left="0"/>
        <w:rPr>
          <w:rFonts w:cs="Arial"/>
          <w:sz w:val="24"/>
          <w:szCs w:val="24"/>
        </w:rPr>
      </w:pPr>
      <w:r>
        <w:rPr>
          <w:rFonts w:cs="Arial"/>
          <w:b/>
          <w:bCs/>
          <w:sz w:val="24"/>
          <w:szCs w:val="24"/>
        </w:rPr>
        <w:t>8.13.2.</w:t>
      </w:r>
      <w:r>
        <w:rPr>
          <w:rFonts w:cs="Arial"/>
          <w:sz w:val="24"/>
          <w:szCs w:val="24"/>
        </w:rPr>
        <w:t xml:space="preserve"> ANEXO II: Termo de Referência;</w:t>
      </w:r>
    </w:p>
    <w:p>
      <w:pPr>
        <w:pStyle w:val="Normal"/>
        <w:ind w:hanging="0" w:left="0"/>
        <w:rPr>
          <w:rFonts w:cs="Arial"/>
          <w:sz w:val="24"/>
          <w:szCs w:val="24"/>
        </w:rPr>
      </w:pPr>
      <w:r>
        <w:rPr>
          <w:b/>
          <w:bCs/>
          <w:sz w:val="24"/>
          <w:szCs w:val="24"/>
        </w:rPr>
        <w:t xml:space="preserve">8.13.3. </w:t>
      </w:r>
      <w:r>
        <w:rPr>
          <w:sz w:val="24"/>
          <w:szCs w:val="24"/>
        </w:rPr>
        <w:t xml:space="preserve">ANEXO III: Declaração Unificada; </w:t>
      </w:r>
      <w:bookmarkStart w:id="24" w:name="ANEXOIIIARP"/>
      <w:bookmarkStart w:id="25" w:name="ANEXOIIUNIFICADA"/>
      <w:bookmarkEnd w:id="25"/>
    </w:p>
    <w:p>
      <w:pPr>
        <w:pStyle w:val="Normal"/>
        <w:ind w:hanging="0" w:left="0"/>
        <w:rPr>
          <w:rFonts w:cs="Arial"/>
          <w:sz w:val="24"/>
          <w:szCs w:val="24"/>
        </w:rPr>
      </w:pPr>
      <w:r>
        <w:rPr>
          <w:b/>
          <w:bCs/>
          <w:sz w:val="24"/>
          <w:szCs w:val="24"/>
        </w:rPr>
        <w:t xml:space="preserve">8.13.4. </w:t>
      </w:r>
      <w:r>
        <w:rPr>
          <w:sz w:val="24"/>
          <w:szCs w:val="24"/>
        </w:rPr>
        <w:t>ANEXO IV: Minuta do Futuro Contrato;</w:t>
      </w:r>
      <w:bookmarkEnd w:id="24"/>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t>Rio das Flôres/RJ, 03 de junho de 2026.</w:t>
      </w:r>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r>
    </w:p>
    <w:p>
      <w:pPr>
        <w:pStyle w:val="BodyText2"/>
        <w:spacing w:before="0" w:after="0"/>
        <w:rPr>
          <w:rFonts w:ascii="Arial" w:hAnsi="Arial"/>
          <w:sz w:val="24"/>
          <w:szCs w:val="24"/>
          <w:u w:val="none"/>
        </w:rPr>
      </w:pPr>
      <w:r>
        <w:rPr>
          <w:rFonts w:ascii="Arial" w:hAnsi="Arial"/>
          <w:sz w:val="24"/>
          <w:szCs w:val="24"/>
          <w:u w:val="none"/>
        </w:rPr>
        <w:t>João Paulo Resende Cardoso</w:t>
      </w:r>
    </w:p>
    <w:p>
      <w:pPr>
        <w:pStyle w:val="BodyText2"/>
        <w:spacing w:before="0" w:after="0"/>
        <w:rPr>
          <w:rFonts w:ascii="Arial" w:hAnsi="Arial"/>
          <w:sz w:val="24"/>
          <w:szCs w:val="24"/>
          <w:u w:val="none"/>
        </w:rPr>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560" w:right="1134" w:gutter="0" w:header="765" w:top="2010" w:footer="552" w:bottom="1238"/>
          <w:pgNumType w:start="126" w:fmt="decimal"/>
          <w:formProt w:val="false"/>
          <w:textDirection w:val="lrTb"/>
          <w:docGrid w:type="default" w:linePitch="100" w:charSpace="0"/>
        </w:sectPr>
      </w:pPr>
      <w:r>
        <w:rPr>
          <w:rFonts w:ascii="Arial" w:hAnsi="Arial"/>
          <w:sz w:val="24"/>
          <w:szCs w:val="24"/>
          <w:u w:val="none"/>
        </w:rPr>
        <w:t>Secretário Municipal de Assistência Social</w:t>
      </w:r>
    </w:p>
    <w:p>
      <w:pPr>
        <w:pStyle w:val="Normal"/>
        <w:spacing w:lineRule="auto" w:line="360"/>
        <w:jc w:val="center"/>
        <w:rPr>
          <w:rFonts w:ascii="Arial" w:hAnsi="Arial"/>
          <w:sz w:val="24"/>
          <w:szCs w:val="24"/>
        </w:rPr>
      </w:pPr>
      <w:bookmarkStart w:id="26" w:name="_heading=h.3e8m05oot54a"/>
      <w:bookmarkEnd w:id="26"/>
      <w:r>
        <w:rPr>
          <w:rFonts w:cs="Arial"/>
          <w:b/>
          <w:sz w:val="24"/>
          <w:szCs w:val="24"/>
          <w:u w:val="single"/>
        </w:rPr>
        <w:t>T</w:t>
      </w:r>
      <w:r>
        <w:rPr>
          <w:rFonts w:cs="Arial"/>
          <w:b/>
          <w:color w:val="000000"/>
          <w:sz w:val="24"/>
          <w:szCs w:val="24"/>
          <w:u w:val="single"/>
        </w:rPr>
        <w:t>ERMO DE REFERÊNCIA</w:t>
      </w:r>
    </w:p>
    <w:p>
      <w:pPr>
        <w:pStyle w:val="Normal"/>
        <w:spacing w:lineRule="auto" w:line="360"/>
        <w:jc w:val="center"/>
        <w:rPr>
          <w:rFonts w:ascii="Arial" w:hAnsi="Arial" w:cs="Arial"/>
          <w:b/>
          <w:color w:val="000000"/>
          <w:sz w:val="24"/>
          <w:szCs w:val="24"/>
        </w:rPr>
      </w:pPr>
      <w:r>
        <w:rPr>
          <w:rFonts w:cs="Arial"/>
          <w:b/>
          <w:color w:val="000000"/>
          <w:sz w:val="24"/>
          <w:szCs w:val="24"/>
        </w:rPr>
      </w:r>
    </w:p>
    <w:p>
      <w:pPr>
        <w:pStyle w:val="Normal"/>
        <w:numPr>
          <w:ilvl w:val="0"/>
          <w:numId w:val="2"/>
        </w:numPr>
        <w:spacing w:lineRule="auto" w:line="360"/>
        <w:ind w:hanging="284" w:left="284"/>
        <w:rPr>
          <w:rFonts w:ascii="Arial" w:hAnsi="Arial"/>
          <w:sz w:val="24"/>
          <w:szCs w:val="24"/>
        </w:rPr>
      </w:pPr>
      <w:r>
        <w:rPr>
          <w:rFonts w:cs="Arial"/>
          <w:b/>
          <w:color w:val="000000"/>
          <w:sz w:val="24"/>
          <w:szCs w:val="24"/>
        </w:rPr>
        <w:t xml:space="preserve">DO OBJETO </w:t>
      </w:r>
      <w:r>
        <w:rPr>
          <w:rFonts w:cs="Arial"/>
          <w:color w:val="000000"/>
          <w:sz w:val="24"/>
          <w:szCs w:val="24"/>
        </w:rPr>
        <w:t>(</w:t>
      </w:r>
      <w:r>
        <w:rPr>
          <w:rFonts w:cs="Arial"/>
          <w:color w:val="00B050"/>
          <w:sz w:val="24"/>
          <w:szCs w:val="24"/>
        </w:rPr>
        <w:t>Art. 6º, XXIII, “a” da Lei 14.133/21)</w:t>
      </w:r>
    </w:p>
    <w:p>
      <w:pPr>
        <w:pStyle w:val="Normal"/>
        <w:tabs>
          <w:tab w:val="clear" w:pos="720"/>
          <w:tab w:val="left" w:pos="735" w:leader="none"/>
        </w:tabs>
        <w:spacing w:lineRule="auto" w:line="276"/>
        <w:jc w:val="both"/>
        <w:rPr>
          <w:rFonts w:ascii="Arial" w:hAnsi="Arial"/>
          <w:sz w:val="24"/>
          <w:szCs w:val="24"/>
        </w:rPr>
      </w:pPr>
      <w:r>
        <w:rPr>
          <w:rFonts w:eastAsia="Times New Roman" w:cs="Arial"/>
          <w:color w:val="auto"/>
          <w:kern w:val="0"/>
          <w:sz w:val="24"/>
          <w:szCs w:val="24"/>
          <w:lang w:val="pt-BR" w:eastAsia="pt-BR" w:bidi="ar-SA"/>
        </w:rPr>
        <w:tab/>
        <w:t xml:space="preserve">Aquisição de bens permanentes (notebooks, tablets e celular) para o </w:t>
      </w:r>
      <w:r>
        <w:rPr>
          <w:rFonts w:eastAsia="Cambria" w:cs="Arial"/>
          <w:bCs/>
          <w:color w:val="000000"/>
          <w:kern w:val="0"/>
          <w:sz w:val="24"/>
          <w:szCs w:val="24"/>
          <w:lang w:val="pt-BR" w:eastAsia="pt-BR" w:bidi="ar-SA"/>
        </w:rPr>
        <w:t>Cadastro Único.</w:t>
      </w:r>
    </w:p>
    <w:p>
      <w:pPr>
        <w:pStyle w:val="Normal"/>
        <w:spacing w:lineRule="auto" w:line="360"/>
        <w:rPr>
          <w:rFonts w:ascii="Arial" w:hAnsi="Arial" w:cs="Arial"/>
          <w:color w:val="000000"/>
          <w:sz w:val="24"/>
          <w:szCs w:val="24"/>
        </w:rPr>
      </w:pPr>
      <w:r>
        <w:rPr>
          <w:rFonts w:cs="Arial"/>
          <w:color w:val="000000"/>
          <w:sz w:val="24"/>
          <w:szCs w:val="24"/>
        </w:rPr>
      </w:r>
    </w:p>
    <w:p>
      <w:pPr>
        <w:pStyle w:val="ListParagraph"/>
        <w:numPr>
          <w:ilvl w:val="1"/>
          <w:numId w:val="4"/>
        </w:numPr>
        <w:spacing w:lineRule="auto" w:line="360"/>
        <w:rPr>
          <w:rFonts w:ascii="Arial" w:hAnsi="Arial"/>
          <w:sz w:val="24"/>
          <w:szCs w:val="24"/>
        </w:rPr>
      </w:pPr>
      <w:r>
        <w:rPr>
          <w:rFonts w:cs="Arial"/>
          <w:b/>
          <w:sz w:val="24"/>
          <w:szCs w:val="24"/>
        </w:rPr>
        <w:t>ITENS:</w:t>
      </w:r>
    </w:p>
    <w:p>
      <w:pPr>
        <w:pStyle w:val="Normal"/>
        <w:tabs>
          <w:tab w:val="clear" w:pos="720"/>
          <w:tab w:val="left" w:pos="129" w:leader="none"/>
        </w:tabs>
        <w:ind w:hanging="855"/>
        <w:jc w:val="both"/>
        <w:rPr>
          <w:rFonts w:ascii="Arial" w:hAnsi="Arial"/>
          <w:sz w:val="24"/>
          <w:szCs w:val="24"/>
        </w:rPr>
      </w:pPr>
      <w:r>
        <w:rPr>
          <w:rFonts w:cs="Arial"/>
          <w:sz w:val="24"/>
          <w:szCs w:val="24"/>
        </w:rPr>
        <w:tab/>
        <w:tab/>
        <w:tab/>
        <w:t xml:space="preserve">O objeto foi especificado conforme tabela abaixo em empresas físicas e pesquisa no painel de preços em cumprimento à norma supracitada. </w:t>
      </w:r>
    </w:p>
    <w:p>
      <w:pPr>
        <w:pStyle w:val="Normal"/>
        <w:tabs>
          <w:tab w:val="clear" w:pos="720"/>
          <w:tab w:val="left" w:pos="129" w:leader="none"/>
        </w:tabs>
        <w:ind w:hanging="855"/>
        <w:jc w:val="both"/>
        <w:rPr>
          <w:rFonts w:ascii="Arial" w:hAnsi="Arial" w:cs="Arial"/>
          <w:sz w:val="24"/>
          <w:szCs w:val="24"/>
        </w:rPr>
      </w:pPr>
      <w:r>
        <w:rPr>
          <w:rFonts w:cs="Arial"/>
          <w:sz w:val="24"/>
          <w:szCs w:val="24"/>
        </w:rPr>
      </w:r>
    </w:p>
    <w:tbl>
      <w:tblPr>
        <w:tblW w:w="964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679"/>
        <w:gridCol w:w="1136"/>
        <w:gridCol w:w="5602"/>
        <w:gridCol w:w="1086"/>
        <w:gridCol w:w="1142"/>
      </w:tblGrid>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cstheme="minorHAnsi"/>
                <w:b w:val="false"/>
                <w:bCs w:val="false"/>
                <w:sz w:val="24"/>
                <w:szCs w:val="24"/>
                <w:lang w:val="pt-BR"/>
              </w:rPr>
              <w:t>Item</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cstheme="minorHAnsi"/>
                <w:b w:val="false"/>
                <w:bCs w:val="false"/>
                <w:sz w:val="24"/>
                <w:szCs w:val="24"/>
                <w:lang w:val="pt-BR"/>
              </w:rPr>
              <w:t>CATMAT</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cstheme="minorHAnsi"/>
                <w:b w:val="false"/>
                <w:bCs w:val="false"/>
                <w:sz w:val="24"/>
                <w:szCs w:val="24"/>
                <w:lang w:val="pt-BR"/>
              </w:rPr>
              <w:t>Descrição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cstheme="minorHAnsi"/>
                <w:b w:val="false"/>
                <w:bCs w:val="false"/>
                <w:sz w:val="24"/>
                <w:szCs w:val="24"/>
                <w:lang w:val="pt-BR"/>
              </w:rPr>
              <w:t>Unidade</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cstheme="minorHAnsi"/>
                <w:b w:val="false"/>
                <w:bCs w:val="false"/>
                <w:sz w:val="24"/>
                <w:szCs w:val="24"/>
                <w:lang w:val="pt-BR"/>
              </w:rPr>
              <w:t>Qtde.</w:t>
            </w:r>
          </w:p>
        </w:tc>
      </w:tr>
      <w:tr>
        <w:trPr>
          <w:trHeight w:val="310"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lang w:val="pt-BR"/>
              </w:rPr>
              <w:t>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626071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lang w:val="pt-BR"/>
              </w:rPr>
              <w:t>Notebook</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b w:val="false"/>
                <w:bCs w:val="false"/>
                <w:sz w:val="24"/>
                <w:szCs w:val="24"/>
              </w:rPr>
              <w:t>3</w:t>
            </w:r>
          </w:p>
        </w:tc>
      </w:tr>
      <w:tr>
        <w:trPr>
          <w:trHeight w:val="335"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lang w:val="pt-BR"/>
              </w:rPr>
              <w:t>2</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620677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lang w:val="pt-BR"/>
              </w:rPr>
              <w:t>Tablet 5G</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3</w:t>
            </w:r>
          </w:p>
        </w:tc>
      </w:tr>
      <w:tr>
        <w:trPr>
          <w:trHeight w:val="340"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lang w:val="pt-BR"/>
              </w:rPr>
              <w:t>3</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614635</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Contedodatabelauser"/>
              <w:ind w:hanging="0" w:left="0" w:right="0"/>
              <w:jc w:val="center"/>
              <w:rPr>
                <w:rFonts w:ascii="Arial" w:hAnsi="Arial"/>
                <w:sz w:val="24"/>
                <w:szCs w:val="24"/>
              </w:rPr>
            </w:pPr>
            <w:r>
              <w:rPr>
                <w:rFonts w:cs="Calibri" w:ascii="Arial" w:hAnsi="Arial"/>
                <w:b w:val="false"/>
                <w:bCs w:val="false"/>
                <w:sz w:val="24"/>
                <w:szCs w:val="24"/>
                <w:lang w:val="pt-BR"/>
              </w:rPr>
              <w:t xml:space="preserve"> </w:t>
            </w:r>
            <w:r>
              <w:rPr>
                <w:rFonts w:cs="Calibri" w:ascii="Arial" w:hAnsi="Arial"/>
                <w:b w:val="false"/>
                <w:bCs w:val="false"/>
                <w:sz w:val="24"/>
                <w:szCs w:val="24"/>
                <w:lang w:val="pt-BR"/>
              </w:rPr>
              <w:t>Aparelho Celular Smartphone</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sz w:val="24"/>
                <w:szCs w:val="24"/>
              </w:rPr>
            </w:pPr>
            <w:r>
              <w:rPr>
                <w:rFonts w:cs="Calibri"/>
                <w:b w:val="false"/>
                <w:bCs w:val="false"/>
                <w:sz w:val="24"/>
                <w:szCs w:val="24"/>
              </w:rPr>
              <w:t>1</w:t>
            </w:r>
          </w:p>
        </w:tc>
      </w:tr>
    </w:tbl>
    <w:p>
      <w:pPr>
        <w:pStyle w:val="Normal"/>
        <w:tabs>
          <w:tab w:val="clear" w:pos="720"/>
          <w:tab w:val="left" w:pos="129" w:leader="none"/>
        </w:tabs>
        <w:jc w:val="both"/>
        <w:rPr>
          <w:rFonts w:ascii="Arial" w:hAnsi="Arial" w:cs="Arial"/>
          <w:sz w:val="24"/>
          <w:szCs w:val="24"/>
        </w:rPr>
      </w:pPr>
      <w:r>
        <w:rPr>
          <w:rFonts w:cs="Arial"/>
          <w:sz w:val="24"/>
          <w:szCs w:val="24"/>
        </w:rPr>
      </w:r>
    </w:p>
    <w:p>
      <w:pPr>
        <w:pStyle w:val="ListParagraph"/>
        <w:numPr>
          <w:ilvl w:val="1"/>
          <w:numId w:val="4"/>
        </w:numPr>
        <w:tabs>
          <w:tab w:val="clear" w:pos="720"/>
          <w:tab w:val="left" w:pos="567" w:leader="none"/>
          <w:tab w:val="left" w:pos="5040" w:leader="none"/>
        </w:tabs>
        <w:spacing w:lineRule="auto" w:line="360"/>
        <w:jc w:val="both"/>
        <w:rPr>
          <w:rFonts w:ascii="Arial" w:hAnsi="Arial"/>
          <w:sz w:val="24"/>
          <w:szCs w:val="24"/>
        </w:rPr>
      </w:pPr>
      <w:r>
        <w:rPr>
          <w:rFonts w:cs="Arial"/>
          <w:b/>
          <w:sz w:val="24"/>
          <w:szCs w:val="24"/>
        </w:rPr>
        <w:t>ESTIMATIVA DE PREÇOS:</w:t>
      </w:r>
    </w:p>
    <w:tbl>
      <w:tblPr>
        <w:tblW w:w="9705" w:type="dxa"/>
        <w:jc w:val="left"/>
        <w:tblInd w:w="28" w:type="dxa"/>
        <w:tblLayout w:type="fixed"/>
        <w:tblCellMar>
          <w:top w:w="28" w:type="dxa"/>
          <w:left w:w="28" w:type="dxa"/>
          <w:bottom w:w="28" w:type="dxa"/>
          <w:right w:w="28" w:type="dxa"/>
        </w:tblCellMar>
      </w:tblPr>
      <w:tblGrid>
        <w:gridCol w:w="124"/>
        <w:gridCol w:w="141"/>
        <w:gridCol w:w="791"/>
        <w:gridCol w:w="266"/>
        <w:gridCol w:w="193"/>
        <w:gridCol w:w="107"/>
        <w:gridCol w:w="829"/>
        <w:gridCol w:w="471"/>
        <w:gridCol w:w="172"/>
        <w:gridCol w:w="121"/>
        <w:gridCol w:w="653"/>
        <w:gridCol w:w="111"/>
        <w:gridCol w:w="104"/>
        <w:gridCol w:w="654"/>
        <w:gridCol w:w="107"/>
        <w:gridCol w:w="116"/>
        <w:gridCol w:w="459"/>
        <w:gridCol w:w="107"/>
        <w:gridCol w:w="370"/>
        <w:gridCol w:w="114"/>
        <w:gridCol w:w="372"/>
        <w:gridCol w:w="261"/>
        <w:gridCol w:w="104"/>
        <w:gridCol w:w="116"/>
        <w:gridCol w:w="111"/>
        <w:gridCol w:w="1111"/>
        <w:gridCol w:w="106"/>
        <w:gridCol w:w="109"/>
        <w:gridCol w:w="151"/>
        <w:gridCol w:w="900"/>
        <w:gridCol w:w="189"/>
        <w:gridCol w:w="165"/>
      </w:tblGrid>
      <w:tr>
        <w:trPr>
          <w:trHeight w:val="43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970" w:type="dxa"/>
            <w:gridSpan w:val="8"/>
            <w:tcBorders/>
            <w:vAlign w:val="center"/>
          </w:tcPr>
          <w:p>
            <w:pPr>
              <w:pStyle w:val="Contedodatabelauser"/>
              <w:ind w:hanging="0" w:left="0" w:right="0"/>
              <w:rPr>
                <w:rFonts w:ascii="Arial" w:hAnsi="Arial"/>
                <w:sz w:val="24"/>
                <w:szCs w:val="24"/>
              </w:rPr>
            </w:pPr>
            <w:r>
              <w:rPr>
                <w:rFonts w:ascii="Arial" w:hAnsi="Arial"/>
                <w:sz w:val="24"/>
                <w:szCs w:val="24"/>
              </w:rPr>
              <w:t>Fornecedor</w:t>
            </w:r>
          </w:p>
        </w:tc>
        <w:tc>
          <w:tcPr>
            <w:tcW w:w="885" w:type="dxa"/>
            <w:gridSpan w:val="3"/>
            <w:tcBorders/>
            <w:vAlign w:val="center"/>
          </w:tcPr>
          <w:p>
            <w:pPr>
              <w:pStyle w:val="Contedodatabelauser"/>
              <w:ind w:hanging="0" w:left="0" w:right="0"/>
              <w:rPr>
                <w:rFonts w:ascii="Arial" w:hAnsi="Arial"/>
                <w:sz w:val="24"/>
                <w:szCs w:val="24"/>
              </w:rPr>
            </w:pPr>
            <w:r>
              <w:rPr>
                <w:rFonts w:ascii="Arial" w:hAnsi="Arial"/>
                <w:sz w:val="24"/>
                <w:szCs w:val="24"/>
              </w:rPr>
              <w:t>Marca</w:t>
            </w:r>
          </w:p>
        </w:tc>
        <w:tc>
          <w:tcPr>
            <w:tcW w:w="981" w:type="dxa"/>
            <w:gridSpan w:val="4"/>
            <w:tcBorders/>
            <w:vAlign w:val="center"/>
          </w:tcPr>
          <w:p>
            <w:pPr>
              <w:pStyle w:val="Contedodatabelauser"/>
              <w:ind w:hanging="0" w:left="0" w:right="0"/>
              <w:rPr>
                <w:rFonts w:ascii="Arial" w:hAnsi="Arial"/>
                <w:sz w:val="24"/>
                <w:szCs w:val="24"/>
              </w:rPr>
            </w:pPr>
            <w:r>
              <w:rPr>
                <w:rFonts w:ascii="Arial" w:hAnsi="Arial"/>
                <w:sz w:val="24"/>
                <w:szCs w:val="24"/>
              </w:rPr>
              <w:t>Qtd</w:t>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444" w:type="dxa"/>
            <w:gridSpan w:val="7"/>
            <w:tcBorders/>
            <w:vAlign w:val="center"/>
          </w:tcPr>
          <w:p>
            <w:pPr>
              <w:pStyle w:val="Contedodatabelauser"/>
              <w:ind w:hanging="0" w:left="0" w:right="0"/>
              <w:rPr>
                <w:rFonts w:ascii="Arial" w:hAnsi="Arial"/>
                <w:sz w:val="24"/>
                <w:szCs w:val="24"/>
              </w:rPr>
            </w:pPr>
            <w:r>
              <w:rPr>
                <w:rFonts w:ascii="Arial" w:hAnsi="Arial"/>
                <w:sz w:val="24"/>
                <w:szCs w:val="24"/>
              </w:rPr>
              <w:t>Preço Un.</w:t>
            </w:r>
          </w:p>
        </w:tc>
        <w:tc>
          <w:tcPr>
            <w:tcW w:w="1437" w:type="dxa"/>
            <w:gridSpan w:val="4"/>
            <w:tcBorders/>
            <w:vAlign w:val="center"/>
          </w:tcPr>
          <w:p>
            <w:pPr>
              <w:pStyle w:val="Contedodatabelauser"/>
              <w:ind w:hanging="0" w:left="0" w:right="0"/>
              <w:rPr>
                <w:rFonts w:ascii="Arial" w:hAnsi="Arial"/>
                <w:sz w:val="24"/>
                <w:szCs w:val="24"/>
              </w:rPr>
            </w:pPr>
            <w:r>
              <w:rPr>
                <w:rFonts w:ascii="Arial" w:hAnsi="Arial"/>
                <w:sz w:val="24"/>
                <w:szCs w:val="24"/>
              </w:rPr>
              <w:t>Preço Total</w:t>
            </w:r>
          </w:p>
        </w:tc>
        <w:tc>
          <w:tcPr>
            <w:tcW w:w="1405" w:type="dxa"/>
            <w:gridSpan w:val="4"/>
            <w:tcBorders/>
            <w:vAlign w:val="center"/>
          </w:tcPr>
          <w:p>
            <w:pPr>
              <w:pStyle w:val="Contedodatabelauser"/>
              <w:ind w:hanging="0" w:left="0" w:right="0"/>
              <w:rPr>
                <w:rFonts w:ascii="Arial" w:hAnsi="Arial"/>
                <w:sz w:val="24"/>
                <w:szCs w:val="24"/>
              </w:rPr>
            </w:pPr>
            <w:r>
              <w:rPr>
                <w:rFonts w:ascii="Arial" w:hAnsi="Arial"/>
                <w:sz w:val="24"/>
                <w:szCs w:val="24"/>
              </w:rPr>
              <w:t>Situação</w:t>
            </w:r>
          </w:p>
        </w:tc>
      </w:tr>
      <w:tr>
        <w:trPr>
          <w:trHeight w:val="17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281" w:hRule="atLeast"/>
        </w:trPr>
        <w:tc>
          <w:tcPr>
            <w:tcW w:w="9705" w:type="dxa"/>
            <w:gridSpan w:val="32"/>
            <w:tcBorders/>
            <w:vAlign w:val="center"/>
          </w:tcPr>
          <w:p>
            <w:pPr>
              <w:pStyle w:val="Contedodatabelauser"/>
              <w:ind w:hanging="0" w:left="0" w:right="0"/>
              <w:rPr>
                <w:rFonts w:ascii="Arial" w:hAnsi="Arial"/>
                <w:sz w:val="24"/>
                <w:szCs w:val="24"/>
              </w:rPr>
            </w:pPr>
            <w:r>
              <w:rPr>
                <w:rFonts w:ascii="Arial" w:hAnsi="Arial"/>
                <w:sz w:val="24"/>
                <w:szCs w:val="24"/>
              </w:rPr>
              <w:t>Item: 1 - Notebook, cor preto ou cinza, Sistema operacional: Keep OS | Processador: Processador AMD Ryzen 5 7520U 2,8 GHz (4 núcleos/8 threads, cache de 4 MB, aumento máximo de até 4,3 GHz) | Placa Gráfica: Placa gráfica AMD Radeon | Tela: 15,6', FHD (1920 x 1080) 16:9, Retroiluminação LED, Taxa de atualização: 60 Hz, 250nits, Gama de cores NTSC: 45%, Tela antirreflexo, Certificação TÜV Rheinland, Proporção tela/corpo 84% | Memória: 8GB LPDDR5 | Armazenamento: 512 GB SSD NVMe | Conectividade: 1 x USB 2.0 Tipo A; 1x USB 3.2 Geração 1 Tipo-A; 1x USB 3.2 Geração 1 Tipo-C; 1x HDMI 1.4; 1x Conector de 3,5 mm para fone/microfone; 1x Entrada DC | Teclado e Touchpad: Teclado Chiclet, Deslocamento de tecla de 1,4 mm, Touchpad de precisão | Câmera: Câmera HD 720p; Com tampa de privacidade | Áudio: SonicMaster; Alto-falante; Microfone; Com suporte de reconhecimento de voz Cortana | Bateria: 42Wh, 3S1P, 3 células Li-ion | Fonte de energia: ø4,5, Adaptador AC de 45 W, Saída: 19 V CC, 2,37 A, 45 W, Entrada: 100 ~ 240 V AC 50/60 Hz universal. Os equipamentos deverão possuir garantia mínima de 12 (doze) meses, contados a partir da data de entrega definitiva, abrangendo defeitos de fabricação e funcionamento, com assistência técnica prestada pelo fornecedor. Os equipamentos deverão possuir garantia mínima de 12 (doze) meses, contados a partir da data de entrega definitiva, abrangendo defeitos de fabricação e funcionamento, com assistência técnica prestada pelo fornecedor.</w:t>
            </w:r>
          </w:p>
        </w:tc>
      </w:tr>
      <w:tr>
        <w:trPr>
          <w:trHeight w:val="17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33.300.297 YAGO DANTAS DA COSTA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3.100,00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9.300,00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60.779.168 LEILA ALVES SIMOES</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3.688,00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11.064,00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ACR REPRESENTACOES E SERVICOS LTDA.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3.500,00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10.500,00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23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Médio: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3.429,33</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10.287,99</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Melhor preço: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3.100,00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9.300,00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Mediano: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3.500,00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10.500,00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Média Saneada:</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3.594,00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10.782,00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Coeficiente de Variação: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8.76%</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8.76%</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521" w:hRule="atLeast"/>
        </w:trPr>
        <w:tc>
          <w:tcPr>
            <w:tcW w:w="9705" w:type="dxa"/>
            <w:gridSpan w:val="32"/>
            <w:tcBorders/>
            <w:vAlign w:val="center"/>
          </w:tcPr>
          <w:p>
            <w:pPr>
              <w:pStyle w:val="Contedodatabelauser"/>
              <w:ind w:hanging="0" w:left="0" w:right="0"/>
              <w:rPr>
                <w:rFonts w:ascii="Arial" w:hAnsi="Arial"/>
                <w:sz w:val="24"/>
                <w:szCs w:val="24"/>
              </w:rPr>
            </w:pPr>
            <w:r>
              <w:rPr>
                <w:rFonts w:ascii="Arial" w:hAnsi="Arial"/>
                <w:sz w:val="24"/>
                <w:szCs w:val="24"/>
              </w:rPr>
              <w:t>Item: 2 - Tablet 5G, cor preta ou cinza, 128GB, 8GB RAM, Tela Imersiva de 10.9" 90Hz, Câmera Traseira de 8MP, Câmera Frontal de 13MP Ultra Wide, Wifi 6, IP68, Android 15, com Bluetooth.</w:t>
            </w:r>
          </w:p>
        </w:tc>
      </w:tr>
      <w:tr>
        <w:trPr>
          <w:trHeight w:val="17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33.300.297 YAGO DANTAS DA COSTA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2.200,00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6.600,00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ACR REPRESENTACOES E SERVICOS LTDA.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2.500,00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7.500,00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LEC COMERCIO DE PRODUTOS DE INFORMATICA LTDA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3,00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2.483,00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7.449,00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23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Médio: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2.394,33</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7.182,99</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Melhor preço: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2.200,00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6.600,00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Mediano: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2.483,00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7.449,00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Média Saneada:</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2.491,50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7.474,50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Coeficiente de Variação: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7.04%</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7.04%</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986" w:hRule="atLeast"/>
        </w:trPr>
        <w:tc>
          <w:tcPr>
            <w:tcW w:w="9705" w:type="dxa"/>
            <w:gridSpan w:val="32"/>
            <w:tcBorders/>
            <w:vAlign w:val="center"/>
          </w:tcPr>
          <w:p>
            <w:pPr>
              <w:pStyle w:val="Contedodatabelauser"/>
              <w:ind w:hanging="0" w:left="0" w:right="0"/>
              <w:rPr>
                <w:rFonts w:ascii="Arial" w:hAnsi="Arial"/>
                <w:sz w:val="24"/>
                <w:szCs w:val="24"/>
              </w:rPr>
            </w:pPr>
            <w:r>
              <w:rPr>
                <w:rFonts w:ascii="Arial" w:hAnsi="Arial"/>
                <w:sz w:val="24"/>
                <w:szCs w:val="24"/>
              </w:rPr>
              <w:t>Item: 3 - Aparelho Celular Smartphone: Entrada para dois chips ou mais, capacidade mínima de 32GB de memória interna e 4G de memória RAM, Câmera dupla (traseira, frontal) de aproximadamente 8MP, Tela Infinita 6.2" ou superior, Processador Octa-Core ou superior, Versão O.S. mínimo Android 9, Cor Preta ou Prata, Leitor de Digital, Full Touch, Sistema Operacional Android, Capacidade para cartão de memória de até 128GB.</w:t>
            </w:r>
          </w:p>
        </w:tc>
      </w:tr>
      <w:tr>
        <w:trPr>
          <w:trHeight w:val="17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33.300.297 YAGO DANTAS DA COSTA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1,00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1.035,00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1.035,00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VENCEU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ACR REPRESENTACOES E SERVICOS LTDA.</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1,00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1.055,00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1.055,00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3094" w:type="dxa"/>
            <w:gridSpan w:val="9"/>
            <w:tcBorders/>
            <w:vAlign w:val="center"/>
          </w:tcPr>
          <w:p>
            <w:pPr>
              <w:pStyle w:val="Contedodatabelauser"/>
              <w:ind w:hanging="0" w:left="0" w:right="0"/>
              <w:rPr>
                <w:rFonts w:ascii="Arial" w:hAnsi="Arial"/>
                <w:sz w:val="24"/>
                <w:szCs w:val="24"/>
              </w:rPr>
            </w:pPr>
            <w:r>
              <w:rPr>
                <w:rFonts w:ascii="Arial" w:hAnsi="Arial"/>
                <w:sz w:val="24"/>
                <w:szCs w:val="24"/>
              </w:rPr>
              <w:t>VINICIUS CHAVES DOS SANTOS</w:t>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t>1,00</w:t>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82" w:type="dxa"/>
            <w:gridSpan w:val="3"/>
            <w:tcBorders/>
            <w:vAlign w:val="center"/>
          </w:tcPr>
          <w:p>
            <w:pPr>
              <w:pStyle w:val="Contedodatabelauser"/>
              <w:ind w:hanging="0" w:left="0" w:right="0"/>
              <w:rPr>
                <w:rFonts w:ascii="Arial" w:hAnsi="Arial"/>
                <w:sz w:val="24"/>
                <w:szCs w:val="24"/>
              </w:rPr>
            </w:pPr>
            <w:r>
              <w:rPr>
                <w:rFonts w:ascii="Arial" w:hAnsi="Arial"/>
                <w:sz w:val="24"/>
                <w:szCs w:val="24"/>
              </w:rPr>
              <w:t>UN</w:t>
            </w:r>
          </w:p>
        </w:tc>
        <w:tc>
          <w:tcPr>
            <w:tcW w:w="1221" w:type="dxa"/>
            <w:gridSpan w:val="5"/>
            <w:tcBorders/>
            <w:vAlign w:val="center"/>
          </w:tcPr>
          <w:p>
            <w:pPr>
              <w:pStyle w:val="Contedodatabelauser"/>
              <w:ind w:hanging="0" w:left="0" w:right="0"/>
              <w:rPr>
                <w:rFonts w:ascii="Arial" w:hAnsi="Arial"/>
                <w:sz w:val="24"/>
                <w:szCs w:val="24"/>
              </w:rPr>
            </w:pPr>
            <w:r>
              <w:rPr>
                <w:rFonts w:ascii="Arial" w:hAnsi="Arial"/>
                <w:sz w:val="24"/>
                <w:szCs w:val="24"/>
              </w:rPr>
              <w:t>1.280,00</w:t>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7" w:type="dxa"/>
            <w:gridSpan w:val="2"/>
            <w:tcBorders/>
            <w:vAlign w:val="center"/>
          </w:tcPr>
          <w:p>
            <w:pPr>
              <w:pStyle w:val="Contedodatabelauser"/>
              <w:ind w:hanging="0" w:left="0" w:right="0"/>
              <w:rPr>
                <w:rFonts w:ascii="Arial" w:hAnsi="Arial"/>
                <w:sz w:val="24"/>
                <w:szCs w:val="24"/>
              </w:rPr>
            </w:pPr>
            <w:r>
              <w:rPr>
                <w:rFonts w:ascii="Arial" w:hAnsi="Arial"/>
                <w:sz w:val="24"/>
                <w:szCs w:val="24"/>
              </w:rPr>
              <w:t>1.280,00</w:t>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89" w:type="dxa"/>
            <w:gridSpan w:val="2"/>
            <w:tcBorders/>
            <w:vAlign w:val="center"/>
          </w:tcPr>
          <w:p>
            <w:pPr>
              <w:pStyle w:val="Contedodatabelauser"/>
              <w:ind w:hanging="0" w:left="0" w:right="0"/>
              <w:rPr>
                <w:rFonts w:ascii="Arial" w:hAnsi="Arial"/>
                <w:sz w:val="24"/>
                <w:szCs w:val="24"/>
              </w:rPr>
            </w:pPr>
            <w:r>
              <w:rPr>
                <w:rFonts w:ascii="Arial" w:hAnsi="Arial"/>
                <w:sz w:val="24"/>
                <w:szCs w:val="24"/>
              </w:rPr>
              <w:t>PERDEU</w:t>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23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Médio: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1.123,33</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1.123,33</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Melhor preço: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1.035,00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1.035,00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Preço Mediano: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1.055,00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1.055,00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Média Saneada:</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1.045,00</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1.045,00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432" w:type="dxa"/>
            <w:gridSpan w:val="9"/>
            <w:tcBorders/>
            <w:vAlign w:val="center"/>
          </w:tcPr>
          <w:p>
            <w:pPr>
              <w:pStyle w:val="Contedodatabelauser"/>
              <w:ind w:hanging="0" w:left="0" w:right="0"/>
              <w:rPr>
                <w:rFonts w:ascii="Arial" w:hAnsi="Arial"/>
                <w:sz w:val="24"/>
                <w:szCs w:val="24"/>
              </w:rPr>
            </w:pPr>
            <w:r>
              <w:rPr>
                <w:rFonts w:ascii="Arial" w:hAnsi="Arial"/>
                <w:sz w:val="24"/>
                <w:szCs w:val="24"/>
              </w:rPr>
              <w:t>Coeficiente de Variação:</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t>12.11%</w:t>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12.11%</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71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04" w:type="dxa"/>
            <w:gridSpan w:val="10"/>
            <w:tcBorders/>
            <w:vAlign w:val="center"/>
          </w:tcPr>
          <w:p>
            <w:pPr>
              <w:pStyle w:val="Contedodatabelauser"/>
              <w:ind w:hanging="0" w:left="0" w:right="0"/>
              <w:rPr>
                <w:rFonts w:ascii="Arial" w:hAnsi="Arial"/>
                <w:sz w:val="24"/>
                <w:szCs w:val="24"/>
              </w:rPr>
            </w:pPr>
            <w:r>
              <w:rPr>
                <w:rFonts w:ascii="Arial" w:hAnsi="Arial"/>
                <w:sz w:val="24"/>
                <w:szCs w:val="24"/>
              </w:rPr>
              <w:t>Preço Médio Total:</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18.594,31</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04" w:type="dxa"/>
            <w:gridSpan w:val="10"/>
            <w:tcBorders/>
            <w:vAlign w:val="center"/>
          </w:tcPr>
          <w:p>
            <w:pPr>
              <w:pStyle w:val="Contedodatabelauser"/>
              <w:ind w:hanging="0" w:left="0" w:right="0"/>
              <w:rPr>
                <w:rFonts w:ascii="Arial" w:hAnsi="Arial"/>
                <w:sz w:val="24"/>
                <w:szCs w:val="24"/>
              </w:rPr>
            </w:pPr>
            <w:r>
              <w:rPr>
                <w:rFonts w:ascii="Arial" w:hAnsi="Arial"/>
                <w:sz w:val="24"/>
                <w:szCs w:val="24"/>
              </w:rPr>
              <w:t>Melhor preço Total:</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16.935,00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04" w:type="dxa"/>
            <w:gridSpan w:val="10"/>
            <w:tcBorders/>
            <w:vAlign w:val="center"/>
          </w:tcPr>
          <w:p>
            <w:pPr>
              <w:pStyle w:val="Contedodatabelauser"/>
              <w:ind w:hanging="0" w:left="0" w:right="0"/>
              <w:rPr>
                <w:rFonts w:ascii="Arial" w:hAnsi="Arial"/>
                <w:sz w:val="24"/>
                <w:szCs w:val="24"/>
              </w:rPr>
            </w:pPr>
            <w:r>
              <w:rPr>
                <w:rFonts w:ascii="Arial" w:hAnsi="Arial"/>
                <w:sz w:val="24"/>
                <w:szCs w:val="24"/>
              </w:rPr>
              <w:t>Preço Mediano Total:</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19.004,00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386"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04" w:type="dxa"/>
            <w:gridSpan w:val="10"/>
            <w:tcBorders/>
            <w:vAlign w:val="center"/>
          </w:tcPr>
          <w:p>
            <w:pPr>
              <w:pStyle w:val="Contedodatabelauser"/>
              <w:ind w:hanging="0" w:left="0" w:right="0"/>
              <w:rPr>
                <w:rFonts w:ascii="Arial" w:hAnsi="Arial"/>
                <w:sz w:val="24"/>
                <w:szCs w:val="24"/>
              </w:rPr>
            </w:pPr>
            <w:r>
              <w:rPr>
                <w:rFonts w:ascii="Arial" w:hAnsi="Arial"/>
                <w:sz w:val="24"/>
                <w:szCs w:val="24"/>
              </w:rPr>
              <w:t>Média Saneada Total:</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19.301,50</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10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2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65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5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372"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ind w:hanging="0" w:left="0" w:right="0"/>
              <w:rPr>
                <w:rFonts w:ascii="Arial" w:hAnsi="Arial"/>
                <w:sz w:val="24"/>
                <w:szCs w:val="24"/>
              </w:rPr>
            </w:pPr>
            <w:r>
              <w:rPr>
                <w:rFonts w:ascii="Arial" w:hAnsi="Arial"/>
                <w:sz w:val="24"/>
                <w:szCs w:val="24"/>
              </w:rPr>
            </w:r>
          </w:p>
        </w:tc>
      </w:tr>
      <w:tr>
        <w:trPr>
          <w:trHeight w:val="401" w:hRule="atLeast"/>
        </w:trPr>
        <w:tc>
          <w:tcPr>
            <w:tcW w:w="12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4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79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93"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7"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82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47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2604" w:type="dxa"/>
            <w:gridSpan w:val="10"/>
            <w:tcBorders/>
            <w:vAlign w:val="center"/>
          </w:tcPr>
          <w:p>
            <w:pPr>
              <w:pStyle w:val="Contedodatabelauser"/>
              <w:ind w:hanging="0" w:left="0" w:right="0"/>
              <w:rPr>
                <w:rFonts w:ascii="Arial" w:hAnsi="Arial"/>
                <w:sz w:val="24"/>
                <w:szCs w:val="24"/>
              </w:rPr>
            </w:pPr>
            <w:r>
              <w:rPr>
                <w:rFonts w:ascii="Arial" w:hAnsi="Arial"/>
                <w:sz w:val="24"/>
                <w:szCs w:val="24"/>
              </w:rPr>
              <w:t>Coeficiente de Variação Total:</w:t>
            </w:r>
          </w:p>
        </w:tc>
        <w:tc>
          <w:tcPr>
            <w:tcW w:w="1117" w:type="dxa"/>
            <w:gridSpan w:val="4"/>
            <w:tcBorders/>
            <w:vAlign w:val="center"/>
          </w:tcPr>
          <w:p>
            <w:pPr>
              <w:pStyle w:val="Contedodatabelauser"/>
              <w:ind w:hanging="0" w:left="0" w:right="0"/>
              <w:rPr>
                <w:rFonts w:ascii="Arial" w:hAnsi="Arial"/>
                <w:sz w:val="24"/>
                <w:szCs w:val="24"/>
              </w:rPr>
            </w:pPr>
            <w:r>
              <w:rPr>
                <w:rFonts w:ascii="Arial" w:hAnsi="Arial"/>
                <w:sz w:val="24"/>
                <w:szCs w:val="24"/>
              </w:rPr>
            </w:r>
          </w:p>
        </w:tc>
        <w:tc>
          <w:tcPr>
            <w:tcW w:w="104"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111" w:type="dxa"/>
            <w:tcBorders/>
            <w:vAlign w:val="center"/>
          </w:tcPr>
          <w:p>
            <w:pPr>
              <w:pStyle w:val="Contedodatabelauser"/>
              <w:ind w:hanging="0" w:left="0" w:right="0"/>
              <w:rPr>
                <w:rFonts w:ascii="Arial" w:hAnsi="Arial"/>
                <w:sz w:val="24"/>
                <w:szCs w:val="24"/>
              </w:rPr>
            </w:pPr>
            <w:r>
              <w:rPr>
                <w:rFonts w:ascii="Arial" w:hAnsi="Arial"/>
                <w:sz w:val="24"/>
                <w:szCs w:val="24"/>
              </w:rPr>
              <w:t>27.91%</w:t>
            </w:r>
          </w:p>
        </w:tc>
        <w:tc>
          <w:tcPr>
            <w:tcW w:w="106"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0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51"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900"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89" w:type="dxa"/>
            <w:tcBorders/>
            <w:vAlign w:val="center"/>
          </w:tcPr>
          <w:p>
            <w:pPr>
              <w:pStyle w:val="Contedodatabelauser"/>
              <w:ind w:hanging="0" w:left="0" w:right="0"/>
              <w:rPr>
                <w:rFonts w:ascii="Arial" w:hAnsi="Arial"/>
                <w:sz w:val="24"/>
                <w:szCs w:val="24"/>
              </w:rPr>
            </w:pPr>
            <w:r>
              <w:rPr>
                <w:rFonts w:ascii="Arial" w:hAnsi="Arial"/>
                <w:sz w:val="24"/>
                <w:szCs w:val="24"/>
              </w:rPr>
            </w:r>
          </w:p>
        </w:tc>
        <w:tc>
          <w:tcPr>
            <w:tcW w:w="165" w:type="dxa"/>
            <w:tcBorders/>
            <w:vAlign w:val="center"/>
          </w:tcPr>
          <w:p>
            <w:pPr>
              <w:pStyle w:val="Contedodatabelauser"/>
              <w:rPr>
                <w:rFonts w:ascii="Arial" w:hAnsi="Arial"/>
                <w:sz w:val="24"/>
                <w:szCs w:val="24"/>
              </w:rPr>
            </w:pPr>
            <w:r>
              <w:rPr>
                <w:rFonts w:ascii="Arial" w:hAnsi="Arial"/>
                <w:sz w:val="24"/>
                <w:szCs w:val="24"/>
              </w:rPr>
            </w:r>
          </w:p>
        </w:tc>
      </w:tr>
    </w:tbl>
    <w:p>
      <w:pPr>
        <w:pStyle w:val="ListParagraph"/>
        <w:tabs>
          <w:tab w:val="clear" w:pos="720"/>
          <w:tab w:val="left" w:pos="567" w:leader="none"/>
          <w:tab w:val="left" w:pos="5040" w:leader="none"/>
        </w:tabs>
        <w:spacing w:lineRule="auto" w:line="276"/>
        <w:jc w:val="both"/>
        <w:rPr>
          <w:rFonts w:ascii="Arial" w:hAnsi="Arial" w:cs="Arial"/>
          <w:b/>
          <w:sz w:val="24"/>
          <w:szCs w:val="24"/>
        </w:rPr>
      </w:pPr>
      <w:r>
        <w:rPr>
          <w:rFonts w:cs="Arial"/>
          <w:b/>
          <w:sz w:val="24"/>
          <w:szCs w:val="24"/>
        </w:rPr>
      </w:r>
    </w:p>
    <w:p>
      <w:pPr>
        <w:pStyle w:val="ListParagraph"/>
        <w:spacing w:lineRule="auto" w:line="360"/>
        <w:ind w:left="0"/>
        <w:jc w:val="both"/>
        <w:rPr>
          <w:rFonts w:ascii="Arial" w:hAnsi="Arial"/>
          <w:sz w:val="24"/>
          <w:szCs w:val="24"/>
        </w:rPr>
      </w:pPr>
      <w:r>
        <w:rPr>
          <w:rFonts w:cs="Arial"/>
          <w:b/>
          <w:color w:val="000000"/>
          <w:sz w:val="24"/>
          <w:szCs w:val="24"/>
        </w:rPr>
        <w:t>2. JUSTIFICATIVA:</w:t>
      </w:r>
    </w:p>
    <w:p>
      <w:pPr>
        <w:pStyle w:val="ListParagraph"/>
        <w:ind w:left="0"/>
        <w:jc w:val="both"/>
        <w:rPr>
          <w:rFonts w:ascii="Arial" w:hAnsi="Arial" w:cs="Arial"/>
          <w:b/>
          <w:color w:val="000000"/>
          <w:sz w:val="24"/>
          <w:szCs w:val="24"/>
        </w:rPr>
      </w:pPr>
      <w:r>
        <w:rPr>
          <w:rFonts w:cs="Arial"/>
          <w:b/>
          <w:color w:val="000000"/>
          <w:sz w:val="24"/>
          <w:szCs w:val="24"/>
        </w:rPr>
      </w:r>
    </w:p>
    <w:p>
      <w:pPr>
        <w:pStyle w:val="ListParagraph"/>
        <w:bidi w:val="0"/>
        <w:spacing w:lineRule="auto" w:line="276"/>
        <w:ind w:firstLine="737" w:left="0" w:right="0"/>
        <w:jc w:val="both"/>
        <w:rPr/>
      </w:pPr>
      <w:r>
        <w:rPr>
          <w:rStyle w:val="Strong"/>
          <w:rFonts w:eastAsia="Cambria" w:cs="Arial"/>
          <w:b w:val="false"/>
          <w:bCs w:val="false"/>
          <w:color w:val="000000"/>
          <w:sz w:val="24"/>
          <w:szCs w:val="24"/>
          <w:u w:val="none"/>
          <w:lang w:val="pt-BR" w:bidi="hi-IN"/>
        </w:rPr>
        <w:t xml:space="preserve">Justifica-se a aquisição de notebooks, tablets e celular para o </w:t>
      </w:r>
      <w:r>
        <w:rPr>
          <w:rStyle w:val="Strong"/>
          <w:rFonts w:eastAsia="Cambria" w:cs="Arial"/>
          <w:b w:val="false"/>
          <w:bCs/>
          <w:color w:val="000000"/>
          <w:kern w:val="0"/>
          <w:sz w:val="24"/>
          <w:szCs w:val="24"/>
          <w:u w:val="none"/>
          <w:lang w:val="pt-BR" w:eastAsia="pt-BR" w:bidi="ar-SA"/>
        </w:rPr>
        <w:t xml:space="preserve">Cadastro Único </w:t>
      </w:r>
      <w:r>
        <w:rPr>
          <w:rStyle w:val="Strong"/>
          <w:rFonts w:eastAsia="Cambria" w:cs="Arial"/>
          <w:b w:val="false"/>
          <w:bCs w:val="false"/>
          <w:color w:val="000000"/>
          <w:sz w:val="24"/>
          <w:szCs w:val="24"/>
          <w:u w:val="none"/>
          <w:lang w:val="pt-BR" w:bidi="hi-IN"/>
        </w:rPr>
        <w:t>em razão da necessidade de aprimorar a gestão e execução das atividades vinculadas ao atendimento das famílias beneficiárias. Esses equipamentos são fundamentais para garantir maior eficiência no registro, atualização e consulta de dados no Cadastro Único, além de possibilitar mobilidade às equipes técnicas, que poderão realizar atendimentos descentralizados, inclusive em áreas rurais ou de difícil acesso. A utilização de notebooks, tablets  e celular também contribui para a transparência e o controle das informações, permitindo monitoramento em tempo real das ações e reduzindo falhas de comunicação. Ademais, tais recursos tecnológicos servirão como instrumentos de apoio em treinamentos e atividades de orientação às famílias, ampliando a capacidade de resposta dos gestores locais. Dessa forma, a aquisição se mostra imprescindível para assegurar a continuidade e a qualidade dos serviços prestados, garantindo que as demandas do Programa Bolsa Família sejam atendidas de maneira adequada e eficiente.</w:t>
      </w:r>
    </w:p>
    <w:p>
      <w:pPr>
        <w:pStyle w:val="ListParagraph"/>
        <w:widowControl w:val="false"/>
        <w:bidi w:val="0"/>
        <w:spacing w:lineRule="auto" w:line="276" w:before="0" w:after="0"/>
        <w:ind w:firstLine="737" w:left="0" w:right="0"/>
        <w:contextualSpacing/>
        <w:jc w:val="both"/>
        <w:rPr>
          <w:rFonts w:ascii="Arial" w:hAnsi="Arial"/>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widowControl w:val="false"/>
        <w:tabs>
          <w:tab w:val="clear" w:pos="720"/>
          <w:tab w:val="left" w:pos="9638" w:leader="none"/>
        </w:tabs>
        <w:bidi w:val="0"/>
        <w:spacing w:lineRule="auto" w:line="276" w:before="0" w:after="0"/>
        <w:ind w:firstLine="737" w:left="0" w:right="0"/>
        <w:contextualSpacing/>
        <w:jc w:val="both"/>
        <w:rPr>
          <w:rFonts w:ascii="Arial" w:hAnsi="Arial"/>
          <w:sz w:val="24"/>
          <w:szCs w:val="24"/>
        </w:rPr>
      </w:pPr>
      <w:r>
        <w:rPr>
          <w:rFonts w:eastAsia="Cambria" w:cs="Arial"/>
          <w:b w:val="false"/>
          <w:bCs/>
          <w:color w:val="000000"/>
          <w:sz w:val="24"/>
          <w:szCs w:val="24"/>
          <w:u w:val="none"/>
          <w:lang w:val="pt-BR" w:eastAsia="hi-IN" w:bidi="hi-IN"/>
        </w:rPr>
        <w:t>Justificamos a Dispensa de Licitação para a aquisição do referido objeto, em conformidade com o previsto em normas legais, os critérios se aplicam no caso em tela, uma vez que, consoante disposto na Lei Federal nº 14.133/2021.</w:t>
      </w:r>
    </w:p>
    <w:p>
      <w:pPr>
        <w:pStyle w:val="Normal"/>
        <w:numPr>
          <w:ilvl w:val="0"/>
          <w:numId w:val="0"/>
        </w:numPr>
        <w:spacing w:lineRule="auto" w:line="276"/>
        <w:ind w:hanging="0" w:left="0"/>
        <w:jc w:val="both"/>
        <w:rPr>
          <w:rFonts w:ascii="Arial" w:hAnsi="Arial"/>
          <w:sz w:val="24"/>
          <w:szCs w:val="24"/>
        </w:rPr>
      </w:pPr>
      <w:r>
        <w:rPr>
          <w:sz w:val="24"/>
          <w:szCs w:val="24"/>
        </w:rPr>
      </w:r>
    </w:p>
    <w:p>
      <w:pPr>
        <w:pStyle w:val="Normal"/>
        <w:tabs>
          <w:tab w:val="clear" w:pos="720"/>
          <w:tab w:val="left" w:pos="709" w:leader="none"/>
        </w:tabs>
        <w:spacing w:lineRule="auto" w:line="276"/>
        <w:ind w:right="-113"/>
        <w:jc w:val="both"/>
        <w:rPr>
          <w:rFonts w:ascii="Arial" w:hAnsi="Arial"/>
          <w:sz w:val="24"/>
          <w:szCs w:val="24"/>
        </w:rPr>
      </w:pPr>
      <w:r>
        <w:rPr>
          <w:rFonts w:eastAsia="Cambria" w:cs="Arial"/>
          <w:b/>
          <w:bCs/>
          <w:color w:val="000000"/>
          <w:sz w:val="24"/>
          <w:szCs w:val="24"/>
        </w:rPr>
        <w:t xml:space="preserve">3. </w:t>
      </w:r>
      <w:r>
        <w:rPr>
          <w:rFonts w:cs="Arial"/>
          <w:b/>
          <w:sz w:val="24"/>
          <w:szCs w:val="24"/>
        </w:rPr>
        <w:t>PERÍODO ESTIMADO</w:t>
      </w:r>
    </w:p>
    <w:p>
      <w:pPr>
        <w:pStyle w:val="Normal"/>
        <w:tabs>
          <w:tab w:val="clear" w:pos="720"/>
          <w:tab w:val="left" w:pos="709" w:leader="none"/>
        </w:tabs>
        <w:spacing w:lineRule="auto" w:line="276"/>
        <w:ind w:right="-113"/>
        <w:jc w:val="both"/>
        <w:rPr>
          <w:rFonts w:ascii="Arial" w:hAnsi="Arial" w:cs="Arial"/>
          <w:color w:val="000000"/>
          <w:sz w:val="24"/>
          <w:szCs w:val="24"/>
        </w:rPr>
      </w:pPr>
      <w:r>
        <w:rPr>
          <w:rFonts w:cs="Arial"/>
          <w:color w:val="000000"/>
          <w:sz w:val="24"/>
          <w:szCs w:val="24"/>
        </w:rPr>
      </w:r>
    </w:p>
    <w:p>
      <w:pPr>
        <w:pStyle w:val="ListParagraph"/>
        <w:widowControl w:val="false"/>
        <w:bidi w:val="0"/>
        <w:spacing w:lineRule="auto" w:line="276" w:before="0" w:after="0"/>
        <w:ind w:firstLine="737" w:left="0" w:right="0"/>
        <w:contextualSpacing/>
        <w:jc w:val="both"/>
        <w:rPr>
          <w:rFonts w:ascii="Arial" w:hAnsi="Arial"/>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tabs>
          <w:tab w:val="clear" w:pos="720"/>
          <w:tab w:val="left" w:pos="1276" w:leader="none"/>
        </w:tabs>
        <w:ind w:left="1146"/>
        <w:jc w:val="both"/>
        <w:rPr>
          <w:rFonts w:ascii="Arial" w:hAnsi="Arial" w:cs="Arial"/>
          <w:sz w:val="24"/>
          <w:szCs w:val="24"/>
        </w:rPr>
      </w:pPr>
      <w:r>
        <w:rPr>
          <w:rFonts w:cs="Arial"/>
          <w:sz w:val="24"/>
          <w:szCs w:val="24"/>
        </w:rPr>
      </w:r>
    </w:p>
    <w:p>
      <w:pPr>
        <w:pStyle w:val="ListParagraph"/>
        <w:tabs>
          <w:tab w:val="clear" w:pos="720"/>
          <w:tab w:val="left" w:pos="120" w:leader="none"/>
        </w:tabs>
        <w:spacing w:lineRule="auto" w:line="360"/>
        <w:ind w:left="0"/>
        <w:jc w:val="both"/>
        <w:rPr>
          <w:rFonts w:ascii="Arial" w:hAnsi="Arial"/>
          <w:sz w:val="24"/>
          <w:szCs w:val="24"/>
        </w:rPr>
      </w:pPr>
      <w:r>
        <w:rPr>
          <w:rFonts w:cs="Arial"/>
          <w:b/>
          <w:sz w:val="24"/>
          <w:szCs w:val="24"/>
        </w:rPr>
        <w:t xml:space="preserve">4. FUNDAMENTAÇÃO LEGAL </w:t>
      </w:r>
      <w:r>
        <w:rPr>
          <w:rFonts w:cs="Arial"/>
          <w:color w:val="00B050"/>
          <w:sz w:val="24"/>
          <w:szCs w:val="24"/>
        </w:rPr>
        <w:t>(Art. 6º, XXIII, “b” da Lei 14.133/21)</w:t>
      </w:r>
    </w:p>
    <w:p>
      <w:pPr>
        <w:pStyle w:val="ListParagraph"/>
        <w:widowControl/>
        <w:bidi w:val="0"/>
        <w:spacing w:lineRule="auto" w:line="276" w:before="0" w:after="0"/>
        <w:ind w:firstLine="737" w:left="0" w:right="0"/>
        <w:contextualSpacing/>
        <w:jc w:val="both"/>
        <w:rPr>
          <w:rFonts w:ascii="Arial" w:hAnsi="Arial"/>
          <w:sz w:val="24"/>
          <w:szCs w:val="24"/>
        </w:rPr>
      </w:pPr>
      <w:r>
        <w:rPr>
          <w:rFonts w:cs="Arial"/>
          <w:sz w:val="24"/>
          <w:szCs w:val="24"/>
        </w:rPr>
        <w:t>A execução do objeto desta contratação encontra amparo na norma legal, consoante ao art.75, II, d</w:t>
      </w:r>
      <w:r>
        <w:rPr>
          <w:rFonts w:eastAsia="Cambria" w:cs="Arial"/>
          <w:bCs/>
          <w:color w:val="000000"/>
          <w:sz w:val="24"/>
          <w:szCs w:val="24"/>
          <w:lang w:val="pt-BR" w:eastAsia="hi-IN" w:bidi="hi-IN"/>
        </w:rPr>
        <w:t>ispensa de Licitação para a aquisição do referido objeto, em conformidade com o previsto em normas legais, os critérios se aplicam no caso em tela, uma vez que, consoante disposto na Lei Federal nº 14.133/2021.</w:t>
      </w:r>
    </w:p>
    <w:p>
      <w:pPr>
        <w:pStyle w:val="ListParagraph"/>
        <w:ind w:left="0"/>
        <w:jc w:val="both"/>
        <w:rPr>
          <w:rFonts w:ascii="Arial" w:hAnsi="Arial" w:eastAsia="Cambria" w:cs="Arial"/>
          <w:b/>
          <w:bCs/>
          <w:color w:val="000000"/>
          <w:sz w:val="24"/>
          <w:szCs w:val="24"/>
        </w:rPr>
      </w:pPr>
      <w:r>
        <w:rPr>
          <w:rFonts w:eastAsia="Cambria" w:cs="Arial"/>
          <w:b/>
          <w:bCs/>
          <w:color w:val="000000"/>
          <w:sz w:val="24"/>
          <w:szCs w:val="24"/>
        </w:rPr>
      </w:r>
    </w:p>
    <w:p>
      <w:pPr>
        <w:pStyle w:val="ListParagraph"/>
        <w:ind w:left="0"/>
        <w:jc w:val="both"/>
        <w:rPr>
          <w:rFonts w:ascii="Arial" w:hAnsi="Arial"/>
          <w:sz w:val="24"/>
          <w:szCs w:val="24"/>
        </w:rPr>
      </w:pPr>
      <w:r>
        <w:rPr>
          <w:rFonts w:eastAsia="Cambria" w:cs="Arial"/>
          <w:b/>
          <w:bCs/>
          <w:color w:val="000000"/>
          <w:sz w:val="24"/>
          <w:szCs w:val="24"/>
        </w:rPr>
        <w:t xml:space="preserve">5. </w:t>
      </w:r>
      <w:r>
        <w:rPr>
          <w:rFonts w:cs="Arial"/>
          <w:b/>
          <w:sz w:val="24"/>
          <w:szCs w:val="24"/>
        </w:rPr>
        <w:t xml:space="preserve">DESCRIÇÃO DA SOLUÇÃO </w:t>
      </w:r>
      <w:r>
        <w:rPr>
          <w:rFonts w:cs="Arial"/>
          <w:color w:val="00B050"/>
          <w:sz w:val="24"/>
          <w:szCs w:val="24"/>
        </w:rPr>
        <w:t xml:space="preserve">(Art. 6º, XXIII, “c” da Lei 14.133/21) – </w:t>
      </w:r>
      <w:r>
        <w:rPr>
          <w:rFonts w:cs="Arial"/>
          <w:b/>
          <w:color w:val="00B050"/>
          <w:sz w:val="24"/>
          <w:szCs w:val="24"/>
        </w:rPr>
        <w:t>TÓPICO 03 ETP)</w:t>
      </w:r>
    </w:p>
    <w:p>
      <w:pPr>
        <w:pStyle w:val="ListParagraph"/>
        <w:widowControl w:val="false"/>
        <w:spacing w:lineRule="auto" w:line="276"/>
        <w:ind w:left="0"/>
        <w:jc w:val="both"/>
        <w:rPr>
          <w:rFonts w:ascii="Arial" w:hAnsi="Arial"/>
          <w:sz w:val="24"/>
          <w:szCs w:val="24"/>
        </w:rPr>
      </w:pPr>
      <w:r>
        <w:rPr>
          <w:rFonts w:cs="Arial"/>
          <w:b/>
          <w:bCs/>
          <w:sz w:val="24"/>
          <w:szCs w:val="24"/>
        </w:rPr>
        <w:t>5.1.</w:t>
      </w:r>
      <w:r>
        <w:rPr>
          <w:rFonts w:cs="Arial"/>
          <w:bCs/>
          <w:sz w:val="24"/>
          <w:szCs w:val="24"/>
        </w:rPr>
        <w:t xml:space="preserve"> Em primeiro momento, com reação ao modelo de contratação a ser escolhido, sugere-se que seja </w:t>
      </w:r>
      <w:r>
        <w:rPr>
          <w:rFonts w:cs="Arial"/>
          <w:sz w:val="24"/>
          <w:szCs w:val="24"/>
        </w:rPr>
        <w:t>adotado a contratação de empresa para fornecer somente os itens da a</w:t>
      </w:r>
      <w:r>
        <w:rPr>
          <w:rFonts w:eastAsia="Cambria" w:cs="Arial"/>
          <w:bCs/>
          <w:color w:val="000000"/>
          <w:sz w:val="24"/>
          <w:szCs w:val="24"/>
        </w:rPr>
        <w:t xml:space="preserve">quisição </w:t>
      </w:r>
      <w:r>
        <w:rPr>
          <w:rFonts w:eastAsia="Times New Roman" w:cs="Arial"/>
          <w:bCs/>
          <w:color w:val="auto"/>
          <w:kern w:val="0"/>
          <w:sz w:val="24"/>
          <w:szCs w:val="24"/>
          <w:lang w:val="pt-BR" w:eastAsia="pt-BR" w:bidi="ar-SA"/>
        </w:rPr>
        <w:t xml:space="preserve">de bens permanentes (notebooks, tablets e celular) para o </w:t>
      </w:r>
      <w:r>
        <w:rPr>
          <w:rFonts w:eastAsia="Cambria" w:cs="Arial"/>
          <w:bCs/>
          <w:color w:val="000000"/>
          <w:kern w:val="0"/>
          <w:sz w:val="24"/>
          <w:szCs w:val="24"/>
          <w:lang w:val="pt-BR" w:eastAsia="pt-BR" w:bidi="ar-SA"/>
        </w:rPr>
        <w:t>Cadastro Único</w:t>
      </w:r>
      <w:r>
        <w:rPr>
          <w:rFonts w:cs="Arial"/>
          <w:sz w:val="24"/>
          <w:szCs w:val="24"/>
        </w:rPr>
        <w:t>, visto que o custo/benefício é maior e por ser a opção mais vantajosa e prática, uma vez que a secretaria já possui mão de obra especializada para instalação dos equipamentos.</w:t>
      </w:r>
    </w:p>
    <w:p>
      <w:pPr>
        <w:pStyle w:val="ListParagraph"/>
        <w:widowControl w:val="false"/>
        <w:spacing w:lineRule="auto" w:line="276"/>
        <w:ind w:left="0"/>
        <w:jc w:val="both"/>
        <w:rPr>
          <w:rFonts w:ascii="Arial" w:hAnsi="Arial" w:eastAsia="Arial MT" w:cs="Arial"/>
          <w:bCs/>
          <w:sz w:val="24"/>
          <w:szCs w:val="24"/>
        </w:rPr>
      </w:pPr>
      <w:r>
        <w:rPr>
          <w:rFonts w:eastAsia="Arial MT" w:cs="Arial"/>
          <w:bCs/>
          <w:sz w:val="24"/>
          <w:szCs w:val="24"/>
        </w:rPr>
      </w:r>
    </w:p>
    <w:p>
      <w:pPr>
        <w:pStyle w:val="ListParagraph"/>
        <w:spacing w:lineRule="auto" w:line="276"/>
        <w:ind w:left="0"/>
        <w:jc w:val="both"/>
        <w:rPr>
          <w:rFonts w:ascii="Arial" w:hAnsi="Arial"/>
          <w:sz w:val="24"/>
          <w:szCs w:val="24"/>
        </w:rPr>
      </w:pPr>
      <w:r>
        <w:rPr>
          <w:rFonts w:eastAsia="Arial MT" w:cs="Arial"/>
          <w:b/>
          <w:bCs/>
          <w:sz w:val="24"/>
          <w:szCs w:val="24"/>
        </w:rPr>
        <w:t xml:space="preserve">5.2. </w:t>
      </w:r>
      <w:r>
        <w:rPr>
          <w:rFonts w:eastAsia="Arial MT" w:cs="Arial"/>
          <w:bCs/>
          <w:sz w:val="24"/>
          <w:szCs w:val="24"/>
        </w:rPr>
        <w:t>N</w:t>
      </w:r>
      <w:r>
        <w:rPr>
          <w:rFonts w:cs="Arial"/>
          <w:bCs/>
          <w:sz w:val="24"/>
          <w:szCs w:val="24"/>
        </w:rPr>
        <w:t>o caso em questão, resta configurada a hipótese a</w:t>
      </w:r>
      <w:r>
        <w:rPr>
          <w:rFonts w:eastAsia="Cambria" w:cs="Arial"/>
          <w:bCs/>
          <w:color w:val="000000"/>
          <w:sz w:val="24"/>
          <w:szCs w:val="24"/>
        </w:rPr>
        <w:t xml:space="preserve"> contratação do objeto deverá ser precedida</w:t>
      </w:r>
      <w:r>
        <w:rPr>
          <w:rFonts w:eastAsia="Cambria" w:cs="Arial"/>
          <w:bCs/>
          <w:color w:val="000000"/>
          <w:sz w:val="24"/>
          <w:szCs w:val="24"/>
          <w:lang w:val="pt-BR"/>
        </w:rPr>
        <w:t xml:space="preserve"> de dispensa de licitação, </w:t>
      </w:r>
      <w:r>
        <w:rPr>
          <w:rFonts w:eastAsia="Cambria" w:cs="Arial"/>
          <w:bCs/>
          <w:color w:val="000000"/>
          <w:sz w:val="24"/>
          <w:szCs w:val="24"/>
          <w:shd w:fill="auto" w:val="clear"/>
          <w:lang w:val="pt-BR"/>
        </w:rPr>
        <w:t>na forma Eletrônica, com prazo de 30 (trinta) dias.</w:t>
      </w:r>
    </w:p>
    <w:p>
      <w:pPr>
        <w:pStyle w:val="ListParagraph"/>
        <w:spacing w:lineRule="auto" w:line="276"/>
        <w:ind w:left="0"/>
        <w:jc w:val="both"/>
        <w:rPr>
          <w:rFonts w:ascii="Arial" w:hAnsi="Arial" w:cs="Arial"/>
          <w:color w:val="000000"/>
          <w:sz w:val="24"/>
          <w:szCs w:val="24"/>
        </w:rPr>
      </w:pPr>
      <w:r>
        <w:rPr>
          <w:rFonts w:cs="Arial"/>
          <w:color w:val="000000"/>
          <w:sz w:val="24"/>
          <w:szCs w:val="24"/>
        </w:rPr>
      </w:r>
    </w:p>
    <w:p>
      <w:pPr>
        <w:pStyle w:val="ListParagraph"/>
        <w:spacing w:lineRule="auto" w:line="276"/>
        <w:ind w:left="0"/>
        <w:jc w:val="both"/>
        <w:rPr>
          <w:rFonts w:ascii="Arial" w:hAnsi="Arial"/>
          <w:sz w:val="24"/>
          <w:szCs w:val="24"/>
        </w:rPr>
      </w:pPr>
      <w:r>
        <w:rPr>
          <w:rFonts w:cs="Arial"/>
          <w:b/>
          <w:sz w:val="24"/>
          <w:szCs w:val="24"/>
        </w:rPr>
        <w:t xml:space="preserve">6. DA ENTREGA/ EXECUÇÃO DOS PRODUTOS </w:t>
      </w:r>
    </w:p>
    <w:p>
      <w:pPr>
        <w:pStyle w:val="ListParagraph"/>
        <w:spacing w:lineRule="auto" w:line="276"/>
        <w:ind w:left="0"/>
        <w:jc w:val="both"/>
        <w:rPr>
          <w:rFonts w:ascii="Arial" w:hAnsi="Arial"/>
          <w:sz w:val="24"/>
          <w:szCs w:val="24"/>
        </w:rPr>
      </w:pPr>
      <w:r>
        <w:rPr>
          <w:rFonts w:cs="Arial"/>
          <w:b/>
          <w:sz w:val="24"/>
          <w:szCs w:val="24"/>
        </w:rPr>
        <w:t xml:space="preserve">6.1. DO PRAZO: </w:t>
      </w:r>
      <w:r>
        <w:rPr>
          <w:rFonts w:cs="Arial"/>
          <w:sz w:val="24"/>
          <w:szCs w:val="24"/>
        </w:rPr>
        <w:t>O prazo da entrega do(s) material(is): Os materiais desta dispensa de licitação serão entregues pela empresa vencedora conforme a demanda do Fundo Municipal de Assistência Social no prazo de 05 (cinco) dias úteis mediante autorização formal, a partir do recebimento da Nota de Empenho e respectiva A.F. (Autorização de Fornecimento).</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276"/>
        <w:ind w:left="0"/>
        <w:jc w:val="both"/>
        <w:rPr>
          <w:rFonts w:ascii="Arial" w:hAnsi="Arial"/>
          <w:sz w:val="24"/>
          <w:szCs w:val="24"/>
        </w:rPr>
      </w:pPr>
      <w:r>
        <w:rPr>
          <w:rFonts w:cs="Arial"/>
          <w:b/>
          <w:bCs/>
          <w:sz w:val="24"/>
          <w:szCs w:val="24"/>
        </w:rPr>
        <w:t xml:space="preserve">6.2. </w:t>
      </w:r>
      <w:r>
        <w:rPr>
          <w:rFonts w:cs="Arial"/>
          <w:b/>
          <w:sz w:val="24"/>
          <w:szCs w:val="24"/>
        </w:rPr>
        <w:t xml:space="preserve">DO LOCAL: </w:t>
      </w:r>
      <w:r>
        <w:rPr>
          <w:rFonts w:cs="Arial"/>
          <w:sz w:val="24"/>
          <w:szCs w:val="24"/>
        </w:rPr>
        <w:t>Os produtos deverão ser entregues na Secretaria Municipal de Assistência Social, localizada à rua Ladislau Guedes, n°03, Centro – Rio das Flôres/RJ. CEP 27.660-098.</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360"/>
        <w:ind w:left="0"/>
        <w:jc w:val="both"/>
        <w:rPr>
          <w:rFonts w:ascii="Arial" w:hAnsi="Arial"/>
          <w:sz w:val="24"/>
          <w:szCs w:val="24"/>
        </w:rPr>
      </w:pPr>
      <w:r>
        <w:rPr>
          <w:rFonts w:cs="Arial"/>
          <w:b/>
          <w:sz w:val="24"/>
          <w:szCs w:val="24"/>
        </w:rPr>
        <w:t xml:space="preserve">7. DAS REGRAS PARA RECEBIMENTOS PROVISÓRIO E DEFINITIVO, QUANDO FOR O CASO </w:t>
      </w:r>
      <w:r>
        <w:rPr>
          <w:rFonts w:cs="Arial"/>
          <w:sz w:val="24"/>
          <w:szCs w:val="24"/>
        </w:rPr>
        <w:t>(ART. 40, §1º, II DA LEI 14.133/21)</w:t>
      </w:r>
    </w:p>
    <w:p>
      <w:pPr>
        <w:pStyle w:val="ListParagraph"/>
        <w:spacing w:lineRule="auto" w:line="360"/>
        <w:ind w:left="0"/>
        <w:jc w:val="both"/>
        <w:rPr>
          <w:rFonts w:ascii="Arial" w:hAnsi="Arial"/>
          <w:sz w:val="24"/>
          <w:szCs w:val="24"/>
        </w:rPr>
      </w:pPr>
      <w:r>
        <w:rPr>
          <w:rFonts w:cs="Arial"/>
          <w:b/>
          <w:bCs/>
          <w:sz w:val="24"/>
          <w:szCs w:val="24"/>
        </w:rPr>
        <w:t xml:space="preserve">7.1. </w:t>
      </w:r>
      <w:r>
        <w:rPr>
          <w:rFonts w:cs="Arial"/>
          <w:sz w:val="24"/>
          <w:szCs w:val="24"/>
        </w:rPr>
        <w:t xml:space="preserve">Em se tratando de </w:t>
      </w:r>
      <w:r>
        <w:rPr>
          <w:rFonts w:cs="Arial"/>
          <w:b/>
          <w:sz w:val="24"/>
          <w:szCs w:val="24"/>
        </w:rPr>
        <w:t>compras ou de locação de equipamentos (art. 140, inciso I, alíneas “a” e “b”, Lei Federal 14.133/2021):</w:t>
      </w:r>
    </w:p>
    <w:p>
      <w:pPr>
        <w:pStyle w:val="ListParagraph"/>
        <w:jc w:val="both"/>
        <w:rPr>
          <w:rFonts w:ascii="Arial" w:hAnsi="Arial" w:cs="Arial"/>
          <w:b/>
          <w:sz w:val="24"/>
          <w:szCs w:val="24"/>
        </w:rPr>
      </w:pPr>
      <w:r>
        <w:rPr>
          <w:rFonts w:cs="Arial"/>
          <w:b/>
          <w:sz w:val="24"/>
          <w:szCs w:val="24"/>
        </w:rPr>
      </w:r>
    </w:p>
    <w:p>
      <w:pPr>
        <w:pStyle w:val="ListParagraph"/>
        <w:ind w:left="680"/>
        <w:jc w:val="both"/>
        <w:rPr>
          <w:rFonts w:ascii="Arial" w:hAnsi="Arial"/>
          <w:sz w:val="24"/>
          <w:szCs w:val="24"/>
        </w:rPr>
      </w:pPr>
      <w:r>
        <w:rPr>
          <w:rFonts w:cs="Arial"/>
          <w:b/>
          <w:sz w:val="24"/>
          <w:szCs w:val="24"/>
        </w:rPr>
        <w:t>7.1.1. PROVISORIAMENTE</w:t>
      </w:r>
      <w:r>
        <w:rPr>
          <w:rFonts w:cs="Arial"/>
          <w:i/>
          <w:sz w:val="24"/>
          <w:szCs w:val="24"/>
        </w:rPr>
        <w:t xml:space="preserve">, </w:t>
      </w:r>
      <w:r>
        <w:rPr>
          <w:rFonts w:cs="Arial"/>
          <w:sz w:val="24"/>
          <w:szCs w:val="24"/>
        </w:rPr>
        <w:t>pelo responsável por seu acompanhamento e fiscalização, mediante termo detalhado, quando verificado o cumprimento das exigências de caráter técnico;</w:t>
      </w:r>
    </w:p>
    <w:p>
      <w:pPr>
        <w:pStyle w:val="ListParagraph"/>
        <w:ind w:left="1146"/>
        <w:jc w:val="both"/>
        <w:rPr>
          <w:rFonts w:ascii="Arial" w:hAnsi="Arial" w:cs="Arial"/>
          <w:b/>
          <w:sz w:val="24"/>
          <w:szCs w:val="24"/>
        </w:rPr>
      </w:pPr>
      <w:r>
        <w:rPr>
          <w:rFonts w:cs="Arial"/>
          <w:b/>
          <w:sz w:val="24"/>
          <w:szCs w:val="24"/>
        </w:rPr>
      </w:r>
    </w:p>
    <w:p>
      <w:pPr>
        <w:pStyle w:val="ListParagraph"/>
        <w:ind w:left="737"/>
        <w:jc w:val="both"/>
        <w:rPr>
          <w:rFonts w:ascii="Arial" w:hAnsi="Arial"/>
          <w:sz w:val="24"/>
          <w:szCs w:val="24"/>
        </w:rPr>
      </w:pPr>
      <w:r>
        <w:rPr>
          <w:rFonts w:cs="Arial"/>
          <w:b/>
          <w:sz w:val="24"/>
          <w:szCs w:val="24"/>
        </w:rPr>
        <w:t>7.1.2. DEFINITIVAMENTE</w:t>
      </w:r>
      <w:r>
        <w:rPr>
          <w:rFonts w:cs="Arial"/>
          <w:i/>
          <w:sz w:val="24"/>
          <w:szCs w:val="24"/>
        </w:rPr>
        <w:t xml:space="preserve">, </w:t>
      </w:r>
      <w:r>
        <w:rPr>
          <w:rFonts w:cs="Arial"/>
          <w:sz w:val="24"/>
          <w:szCs w:val="24"/>
        </w:rPr>
        <w:t>por servidor ou comissão designada pela autoridade competente, mediante termo detalhado que comprove o atendimento das exigências contratuais.</w:t>
      </w:r>
    </w:p>
    <w:p>
      <w:pPr>
        <w:pStyle w:val="ListParagraph"/>
        <w:ind w:left="1146"/>
        <w:jc w:val="both"/>
        <w:rPr>
          <w:rFonts w:ascii="Arial" w:hAnsi="Arial" w:cs="Arial"/>
          <w:b/>
          <w:sz w:val="24"/>
          <w:szCs w:val="24"/>
        </w:rPr>
      </w:pPr>
      <w:r>
        <w:rPr>
          <w:rFonts w:cs="Arial"/>
          <w:b/>
          <w:sz w:val="24"/>
          <w:szCs w:val="24"/>
        </w:rPr>
      </w:r>
    </w:p>
    <w:p>
      <w:pPr>
        <w:pStyle w:val="Normal"/>
        <w:ind w:left="426"/>
        <w:jc w:val="both"/>
        <w:rPr>
          <w:rFonts w:ascii="Arial" w:hAnsi="Arial"/>
          <w:sz w:val="24"/>
          <w:szCs w:val="24"/>
        </w:rPr>
      </w:pPr>
      <w:r>
        <w:rPr>
          <w:rFonts w:cs="Arial"/>
          <w:b/>
          <w:sz w:val="24"/>
          <w:szCs w:val="24"/>
        </w:rPr>
        <w:t>Obs¹</w:t>
      </w:r>
      <w:r>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cs="Arial"/>
          <w:b/>
          <w:sz w:val="24"/>
          <w:szCs w:val="24"/>
        </w:rPr>
        <w:t>art. 140, inciso I, § 2º, Lei Federal 14.133/2021)</w:t>
      </w:r>
    </w:p>
    <w:p>
      <w:pPr>
        <w:pStyle w:val="Normal"/>
        <w:ind w:left="426"/>
        <w:jc w:val="both"/>
        <w:rPr>
          <w:rFonts w:ascii="Arial" w:hAnsi="Arial" w:cs="Arial"/>
          <w:b/>
          <w:sz w:val="24"/>
          <w:szCs w:val="24"/>
        </w:rPr>
      </w:pPr>
      <w:r>
        <w:rPr>
          <w:rFonts w:cs="Arial"/>
          <w:b/>
          <w:sz w:val="24"/>
          <w:szCs w:val="24"/>
        </w:rPr>
      </w:r>
    </w:p>
    <w:p>
      <w:pPr>
        <w:pStyle w:val="ListParagraph"/>
        <w:spacing w:lineRule="auto" w:line="360"/>
        <w:ind w:left="57"/>
        <w:jc w:val="both"/>
        <w:rPr>
          <w:rFonts w:ascii="Arial" w:hAnsi="Arial"/>
          <w:sz w:val="24"/>
          <w:szCs w:val="24"/>
        </w:rPr>
      </w:pPr>
      <w:r>
        <w:rPr>
          <w:rFonts w:cs="Arial"/>
          <w:b/>
          <w:sz w:val="24"/>
          <w:szCs w:val="24"/>
        </w:rPr>
        <w:t xml:space="preserve">8. DOS REQUISITOS DA CONTRATAÇÃO </w:t>
      </w:r>
      <w:r>
        <w:rPr>
          <w:rFonts w:cs="Arial"/>
          <w:color w:val="00B050"/>
          <w:sz w:val="24"/>
          <w:szCs w:val="24"/>
        </w:rPr>
        <w:t>(Art. 6º, XXIII, “d” da Lei 14.133/21)</w:t>
      </w:r>
    </w:p>
    <w:p>
      <w:pPr>
        <w:pStyle w:val="ListParagraph"/>
        <w:spacing w:lineRule="auto" w:line="360"/>
        <w:ind w:left="113"/>
        <w:jc w:val="both"/>
        <w:rPr>
          <w:rFonts w:ascii="Arial" w:hAnsi="Arial"/>
          <w:sz w:val="24"/>
          <w:szCs w:val="24"/>
        </w:rPr>
      </w:pPr>
      <w:r>
        <w:rPr>
          <w:rFonts w:cs="Arial"/>
          <w:b/>
          <w:color w:val="000000"/>
          <w:sz w:val="24"/>
          <w:szCs w:val="24"/>
        </w:rPr>
        <w:t>8.1. DAS OBRIGAÇÕES DA CONTRATANTE:</w:t>
      </w:r>
    </w:p>
    <w:p>
      <w:pPr>
        <w:pStyle w:val="ListParagraph"/>
        <w:spacing w:lineRule="auto" w:line="360"/>
        <w:ind w:left="113"/>
        <w:jc w:val="both"/>
        <w:rPr>
          <w:rFonts w:ascii="Arial" w:hAnsi="Arial"/>
          <w:sz w:val="24"/>
          <w:szCs w:val="24"/>
        </w:rPr>
      </w:pPr>
      <w:r>
        <w:rPr>
          <w:rFonts w:cs="Arial"/>
          <w:b/>
          <w:color w:val="000000"/>
          <w:sz w:val="24"/>
          <w:szCs w:val="24"/>
        </w:rPr>
        <w:t xml:space="preserve"> </w:t>
      </w:r>
      <w:r>
        <w:rPr>
          <w:rFonts w:cs="Arial"/>
          <w:b/>
          <w:color w:val="000000"/>
          <w:sz w:val="24"/>
          <w:szCs w:val="24"/>
        </w:rPr>
        <w:t xml:space="preserve">8.1.1. </w:t>
      </w:r>
      <w:r>
        <w:rPr>
          <w:rFonts w:cs="Arial"/>
          <w:sz w:val="24"/>
          <w:szCs w:val="24"/>
        </w:rPr>
        <w:t>Serão responsabilidades da Contratante:</w:t>
      </w:r>
    </w:p>
    <w:p>
      <w:pPr>
        <w:pStyle w:val="Normal"/>
        <w:numPr>
          <w:ilvl w:val="2"/>
          <w:numId w:val="3"/>
        </w:numPr>
        <w:spacing w:before="240" w:after="0"/>
        <w:ind w:hanging="142" w:left="426"/>
        <w:jc w:val="both"/>
        <w:rPr>
          <w:rFonts w:ascii="Arial" w:hAnsi="Arial"/>
          <w:sz w:val="24"/>
          <w:szCs w:val="24"/>
        </w:rPr>
      </w:pPr>
      <w:r>
        <w:rPr>
          <w:rFonts w:cs="Arial"/>
          <w:color w:val="000000"/>
          <w:sz w:val="24"/>
          <w:szCs w:val="24"/>
        </w:rPr>
        <w:t>Receber o objeto no prazo e condições estabelecidas no Termo de Referência e seus anexos;</w:t>
      </w:r>
    </w:p>
    <w:p>
      <w:pPr>
        <w:pStyle w:val="Normal"/>
        <w:numPr>
          <w:ilvl w:val="2"/>
          <w:numId w:val="3"/>
        </w:numPr>
        <w:ind w:hanging="142" w:left="426"/>
        <w:jc w:val="both"/>
        <w:rPr>
          <w:rFonts w:ascii="Arial" w:hAnsi="Arial"/>
          <w:sz w:val="24"/>
          <w:szCs w:val="24"/>
        </w:rPr>
      </w:pPr>
      <w:r>
        <w:rPr>
          <w:rFonts w:cs="Arial"/>
          <w:color w:val="000000"/>
          <w:sz w:val="24"/>
          <w:szCs w:val="24"/>
        </w:rPr>
        <w:t>Verificar minuciosamente, no prazo fixado, a conformidade do objeto recebido provisoriamente com as especificações constantes do Termo de Referência e da proposta, para fins de aceitação e recebimento definitivo;</w:t>
      </w:r>
    </w:p>
    <w:p>
      <w:pPr>
        <w:pStyle w:val="Normal"/>
        <w:numPr>
          <w:ilvl w:val="2"/>
          <w:numId w:val="3"/>
        </w:numPr>
        <w:ind w:hanging="142" w:left="426"/>
        <w:jc w:val="both"/>
        <w:rPr>
          <w:rFonts w:ascii="Arial" w:hAnsi="Arial"/>
          <w:sz w:val="24"/>
          <w:szCs w:val="24"/>
        </w:rPr>
      </w:pPr>
      <w:r>
        <w:rPr>
          <w:rFonts w:cs="Arial"/>
          <w:color w:val="000000"/>
          <w:sz w:val="24"/>
          <w:szCs w:val="24"/>
        </w:rPr>
        <w:t>Comunicar à Contratada, por escrito, sobre imperfeições, falhas ou irregularidades verificadas no objeto fornecido, para que seja substituído, reparado ou corrigido;</w:t>
      </w:r>
    </w:p>
    <w:p>
      <w:pPr>
        <w:pStyle w:val="Normal"/>
        <w:numPr>
          <w:ilvl w:val="2"/>
          <w:numId w:val="3"/>
        </w:numPr>
        <w:ind w:hanging="142" w:left="426"/>
        <w:jc w:val="both"/>
        <w:rPr>
          <w:rFonts w:ascii="Arial" w:hAnsi="Arial"/>
          <w:sz w:val="24"/>
          <w:szCs w:val="24"/>
        </w:rPr>
      </w:pPr>
      <w:r>
        <w:rPr>
          <w:rFonts w:cs="Arial"/>
          <w:color w:val="000000"/>
          <w:sz w:val="24"/>
          <w:szCs w:val="24"/>
        </w:rPr>
        <w:t>Acompanhar e fiscalizar o cumprimento das obrigações da Contratada, através de comissão/servidor especialmente designado;</w:t>
      </w:r>
    </w:p>
    <w:p>
      <w:pPr>
        <w:pStyle w:val="Normal"/>
        <w:numPr>
          <w:ilvl w:val="2"/>
          <w:numId w:val="3"/>
        </w:numPr>
        <w:ind w:hanging="142" w:left="426"/>
        <w:jc w:val="both"/>
        <w:rPr>
          <w:rFonts w:ascii="Arial" w:hAnsi="Arial"/>
          <w:sz w:val="24"/>
          <w:szCs w:val="24"/>
        </w:rPr>
      </w:pPr>
      <w:r>
        <w:rPr>
          <w:rFonts w:cs="Arial"/>
          <w:sz w:val="24"/>
          <w:szCs w:val="24"/>
        </w:rPr>
        <w:t>Efetuar o pagamento à Contratada em até 30 dias após a efetiva prestação do serviço, mediante apresentação da Nota Fiscal/Fatura, devidamente atestada pelo Setor competente, que deverá vir acompanhada da ordem de fornecimento emitida pela Secretaria Municipal de Assistência Social</w:t>
      </w:r>
      <w:r>
        <w:rPr>
          <w:rFonts w:cs="Arial"/>
          <w:color w:val="000000"/>
          <w:sz w:val="24"/>
          <w:szCs w:val="24"/>
        </w:rPr>
        <w:t>;</w:t>
      </w:r>
    </w:p>
    <w:p>
      <w:pPr>
        <w:pStyle w:val="Normal"/>
        <w:ind w:left="426"/>
        <w:jc w:val="both"/>
        <w:rPr>
          <w:rFonts w:ascii="Arial" w:hAnsi="Arial" w:cs="Arial"/>
          <w:b/>
          <w:color w:val="000000"/>
          <w:sz w:val="24"/>
          <w:szCs w:val="24"/>
        </w:rPr>
      </w:pPr>
      <w:r>
        <w:rPr>
          <w:rFonts w:cs="Arial"/>
          <w:b/>
          <w:color w:val="000000"/>
          <w:sz w:val="24"/>
          <w:szCs w:val="24"/>
        </w:rPr>
      </w:r>
    </w:p>
    <w:p>
      <w:pPr>
        <w:pStyle w:val="ListParagraph"/>
        <w:widowControl w:val="false"/>
        <w:ind w:left="0"/>
        <w:jc w:val="both"/>
        <w:rPr>
          <w:rFonts w:ascii="Arial" w:hAnsi="Arial"/>
          <w:sz w:val="24"/>
          <w:szCs w:val="24"/>
        </w:rPr>
      </w:pPr>
      <w:r>
        <w:rPr>
          <w:rFonts w:cs="Arial"/>
          <w:sz w:val="24"/>
          <w:szCs w:val="24"/>
        </w:rPr>
        <w:t xml:space="preserve">  </w:t>
      </w:r>
      <w:r>
        <w:rPr>
          <w:rFonts w:cs="Arial"/>
          <w:b/>
          <w:bCs/>
          <w:sz w:val="24"/>
          <w:szCs w:val="24"/>
        </w:rPr>
        <w:t xml:space="preserve">8.1.2. </w:t>
      </w:r>
      <w:r>
        <w:rPr>
          <w:rFonts w:cs="Arial"/>
          <w:sz w:val="24"/>
          <w:szCs w:val="24"/>
        </w:rPr>
        <w:t>A Assistência Social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ListParagraph"/>
        <w:widowControl w:val="false"/>
        <w:jc w:val="both"/>
        <w:rPr>
          <w:rFonts w:ascii="Arial" w:hAnsi="Arial" w:cs="Arial"/>
          <w:sz w:val="24"/>
          <w:szCs w:val="24"/>
        </w:rPr>
      </w:pPr>
      <w:r>
        <w:rPr>
          <w:rFonts w:cs="Arial"/>
          <w:sz w:val="24"/>
          <w:szCs w:val="24"/>
        </w:rPr>
      </w:r>
    </w:p>
    <w:p>
      <w:pPr>
        <w:pStyle w:val="ListParagraph"/>
        <w:widowControl w:val="false"/>
        <w:ind w:left="113"/>
        <w:jc w:val="both"/>
        <w:rPr>
          <w:rFonts w:ascii="Arial" w:hAnsi="Arial"/>
          <w:sz w:val="24"/>
          <w:szCs w:val="24"/>
        </w:rPr>
      </w:pPr>
      <w:r>
        <w:rPr>
          <w:rFonts w:cs="Arial"/>
          <w:b/>
          <w:sz w:val="24"/>
          <w:szCs w:val="24"/>
        </w:rPr>
        <w:t xml:space="preserve">8.2. DAS OBRIGAÇÕES DO CONTRATADO </w:t>
      </w:r>
    </w:p>
    <w:p>
      <w:pPr>
        <w:pStyle w:val="ListParagraph"/>
        <w:widowControl w:val="false"/>
        <w:ind w:left="0"/>
        <w:jc w:val="both"/>
        <w:rPr>
          <w:rFonts w:ascii="Arial" w:hAnsi="Arial"/>
          <w:sz w:val="24"/>
          <w:szCs w:val="24"/>
        </w:rPr>
      </w:pPr>
      <w:r>
        <w:rPr>
          <w:rFonts w:cs="Arial"/>
          <w:sz w:val="24"/>
          <w:szCs w:val="24"/>
        </w:rPr>
        <w:t xml:space="preserve"> </w:t>
      </w:r>
      <w:r>
        <w:rPr>
          <w:rFonts w:cs="Arial"/>
          <w:b/>
          <w:bCs/>
          <w:sz w:val="24"/>
          <w:szCs w:val="24"/>
        </w:rPr>
        <w:t xml:space="preserve"> </w:t>
      </w:r>
      <w:r>
        <w:rPr>
          <w:rFonts w:cs="Arial"/>
          <w:b/>
          <w:bCs/>
          <w:sz w:val="24"/>
          <w:szCs w:val="24"/>
        </w:rPr>
        <w:t xml:space="preserve">8.2.1. </w:t>
      </w:r>
      <w:r>
        <w:rPr>
          <w:rFonts w:cs="Arial"/>
          <w:sz w:val="24"/>
          <w:szCs w:val="24"/>
        </w:rPr>
        <w:t xml:space="preserve">Compete ao Contratado cumprir todas as obrigações constantes no </w:t>
      </w:r>
      <w:r>
        <w:rPr>
          <w:rFonts w:cs="Arial"/>
          <w:color w:val="000000"/>
          <w:sz w:val="24"/>
          <w:szCs w:val="24"/>
        </w:rPr>
        <w:t>Termo de Referência</w:t>
      </w:r>
      <w:r>
        <w:rPr>
          <w:rFonts w:cs="Arial"/>
          <w:sz w:val="24"/>
          <w:szCs w:val="24"/>
        </w:rPr>
        <w:t>, seus anexos e sua proposta, assumindo como exclusivamente seus os riscos e as despesas decorrentes da boa e perfeita execução do objeto e, ainda:</w:t>
      </w:r>
    </w:p>
    <w:p>
      <w:pPr>
        <w:pStyle w:val="Normal"/>
        <w:ind w:firstLine="1416"/>
        <w:jc w:val="both"/>
        <w:rPr>
          <w:rFonts w:ascii="Arial" w:hAnsi="Arial" w:cs="Arial"/>
          <w:b/>
          <w:color w:val="000000"/>
          <w:sz w:val="24"/>
          <w:szCs w:val="24"/>
        </w:rPr>
      </w:pPr>
      <w:r>
        <w:rPr>
          <w:rFonts w:cs="Arial"/>
          <w:b/>
          <w:color w:val="000000"/>
          <w:sz w:val="24"/>
          <w:szCs w:val="24"/>
        </w:rPr>
      </w:r>
    </w:p>
    <w:p>
      <w:pPr>
        <w:pStyle w:val="Normal"/>
        <w:numPr>
          <w:ilvl w:val="2"/>
          <w:numId w:val="1"/>
        </w:numPr>
        <w:tabs>
          <w:tab w:val="clear" w:pos="720"/>
          <w:tab w:val="left" w:pos="993" w:leader="none"/>
        </w:tabs>
        <w:ind w:hanging="284" w:left="284"/>
        <w:jc w:val="both"/>
        <w:rPr>
          <w:rFonts w:ascii="Arial" w:hAnsi="Arial"/>
          <w:sz w:val="24"/>
          <w:szCs w:val="24"/>
        </w:rPr>
      </w:pPr>
      <w:r>
        <w:rPr>
          <w:rFonts w:cs="Arial"/>
          <w:color w:val="000000"/>
          <w:sz w:val="24"/>
          <w:szCs w:val="24"/>
        </w:rPr>
        <w:t>Efetuar a entrega do objeto em perfeitas condições, conforme especificações, prazo e local constantes no Termo de Referência e seus anexos, acompanhado da respectiva nota fiscal;</w:t>
      </w:r>
    </w:p>
    <w:p>
      <w:pPr>
        <w:pStyle w:val="Normal"/>
        <w:numPr>
          <w:ilvl w:val="2"/>
          <w:numId w:val="1"/>
        </w:numPr>
        <w:tabs>
          <w:tab w:val="clear" w:pos="720"/>
          <w:tab w:val="left" w:pos="993" w:leader="none"/>
        </w:tabs>
        <w:ind w:hanging="284" w:left="284"/>
        <w:jc w:val="both"/>
        <w:rPr>
          <w:rFonts w:ascii="Arial" w:hAnsi="Arial"/>
          <w:sz w:val="24"/>
          <w:szCs w:val="24"/>
        </w:rPr>
      </w:pPr>
      <w:r>
        <w:rPr>
          <w:rFonts w:cs="Arial"/>
          <w:sz w:val="24"/>
          <w:szCs w:val="24"/>
        </w:rPr>
        <w:t>Substituir, reparar ou corrigir, às suas expensas, no prazo fixado neste Termo de Referência, o objeto com avarias ou defeitos;</w:t>
      </w:r>
    </w:p>
    <w:p>
      <w:pPr>
        <w:pStyle w:val="Normal"/>
        <w:numPr>
          <w:ilvl w:val="2"/>
          <w:numId w:val="1"/>
        </w:numPr>
        <w:tabs>
          <w:tab w:val="clear" w:pos="720"/>
          <w:tab w:val="left" w:pos="993" w:leader="none"/>
        </w:tabs>
        <w:ind w:hanging="284" w:left="284"/>
        <w:jc w:val="both"/>
        <w:rPr>
          <w:rFonts w:ascii="Arial" w:hAnsi="Arial"/>
          <w:sz w:val="24"/>
          <w:szCs w:val="24"/>
        </w:rPr>
      </w:pPr>
      <w:r>
        <w:rPr>
          <w:rFonts w:cs="Arial"/>
          <w:sz w:val="24"/>
          <w:szCs w:val="24"/>
        </w:rPr>
        <w:t>Comunicar à Contratante, no prazo máximo de 48 (quarenta e oito) horas que antecede a data da entrega, os motivos que impossibilitem o cumprimento do prazo previsto, com a devida comprovação;</w:t>
      </w:r>
    </w:p>
    <w:p>
      <w:pPr>
        <w:pStyle w:val="Normal"/>
        <w:numPr>
          <w:ilvl w:val="2"/>
          <w:numId w:val="1"/>
        </w:numPr>
        <w:tabs>
          <w:tab w:val="clear" w:pos="720"/>
          <w:tab w:val="left" w:pos="993" w:leader="none"/>
        </w:tabs>
        <w:ind w:hanging="284" w:left="284"/>
        <w:jc w:val="both"/>
        <w:rPr>
          <w:rFonts w:ascii="Arial" w:hAnsi="Arial"/>
          <w:sz w:val="24"/>
          <w:szCs w:val="24"/>
        </w:rPr>
      </w:pPr>
      <w:r>
        <w:rPr>
          <w:rFonts w:cs="Arial"/>
          <w:sz w:val="24"/>
          <w:szCs w:val="24"/>
        </w:rPr>
        <w:t>Manter, durante toda a execução do contrato, em compatibilidade com as obrigações assumidas, todas as condições de habilitação e qualificação exigidas na licitação;</w:t>
      </w:r>
    </w:p>
    <w:p>
      <w:pPr>
        <w:pStyle w:val="ListParagraph"/>
        <w:widowControl w:val="false"/>
        <w:tabs>
          <w:tab w:val="clear" w:pos="720"/>
          <w:tab w:val="left" w:pos="1583" w:leader="none"/>
        </w:tabs>
        <w:spacing w:lineRule="auto" w:line="360"/>
        <w:ind w:left="390"/>
        <w:jc w:val="both"/>
        <w:rPr>
          <w:rFonts w:ascii="Arial" w:hAnsi="Arial" w:cs="Arial"/>
          <w:sz w:val="24"/>
          <w:szCs w:val="24"/>
        </w:rPr>
      </w:pPr>
      <w:r>
        <w:rPr>
          <w:rFonts w:cs="Arial"/>
          <w:sz w:val="24"/>
          <w:szCs w:val="24"/>
        </w:rPr>
      </w:r>
    </w:p>
    <w:p>
      <w:pPr>
        <w:pStyle w:val="ListParagraph"/>
        <w:widowControl w:val="false"/>
        <w:tabs>
          <w:tab w:val="clear" w:pos="720"/>
          <w:tab w:val="left" w:pos="1583" w:leader="none"/>
        </w:tabs>
        <w:spacing w:lineRule="auto" w:line="360"/>
        <w:ind w:left="0"/>
        <w:jc w:val="both"/>
        <w:rPr>
          <w:rFonts w:ascii="Arial" w:hAnsi="Arial"/>
          <w:sz w:val="24"/>
          <w:szCs w:val="24"/>
        </w:rPr>
      </w:pPr>
      <w:r>
        <w:rPr>
          <w:rFonts w:cs="Arial"/>
          <w:b/>
          <w:sz w:val="24"/>
          <w:szCs w:val="24"/>
        </w:rPr>
        <w:t xml:space="preserve">9. EXECUÇÃO DO OBJETO </w:t>
      </w:r>
      <w:r>
        <w:rPr>
          <w:rFonts w:cs="Arial"/>
          <w:sz w:val="24"/>
          <w:szCs w:val="24"/>
        </w:rPr>
        <w:t>(</w:t>
      </w:r>
      <w:r>
        <w:rPr>
          <w:rFonts w:cs="Arial"/>
          <w:color w:val="00B050"/>
          <w:sz w:val="24"/>
          <w:szCs w:val="24"/>
        </w:rPr>
        <w:t>Art. 6º, XXIII, “e” da Lei 14.133/21)</w:t>
      </w:r>
    </w:p>
    <w:p>
      <w:pPr>
        <w:pStyle w:val="ListParagraph"/>
        <w:widowControl w:val="false"/>
        <w:tabs>
          <w:tab w:val="clear" w:pos="720"/>
          <w:tab w:val="left" w:pos="567" w:leader="none"/>
        </w:tabs>
        <w:ind w:left="0"/>
        <w:jc w:val="both"/>
        <w:rPr>
          <w:rFonts w:ascii="Arial" w:hAnsi="Arial"/>
          <w:sz w:val="24"/>
          <w:szCs w:val="24"/>
        </w:rPr>
      </w:pPr>
      <w:r>
        <w:rPr>
          <w:rFonts w:cs="Arial"/>
          <w:b/>
          <w:bCs/>
          <w:sz w:val="24"/>
          <w:szCs w:val="24"/>
        </w:rPr>
        <w:t>9.1.</w:t>
      </w:r>
      <w:r>
        <w:rPr>
          <w:rFonts w:cs="Arial"/>
          <w:sz w:val="24"/>
          <w:szCs w:val="24"/>
        </w:rPr>
        <w:t xml:space="preserve"> Concluído e baseado nesse procedimento, a Assistência Social iniciará o processo de Extração da Ordem de Pagamento (aquisição dos bens permanentes), a favor da Empresa vencedora.</w:t>
      </w:r>
    </w:p>
    <w:p>
      <w:pPr>
        <w:pStyle w:val="ListParagraph"/>
        <w:widowControl w:val="false"/>
        <w:tabs>
          <w:tab w:val="clear" w:pos="720"/>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20"/>
          <w:tab w:val="left" w:pos="567" w:leader="none"/>
        </w:tabs>
        <w:ind w:left="0"/>
        <w:jc w:val="both"/>
        <w:rPr>
          <w:rFonts w:ascii="Arial" w:hAnsi="Arial"/>
          <w:sz w:val="24"/>
          <w:szCs w:val="24"/>
        </w:rPr>
      </w:pPr>
      <w:r>
        <w:rPr>
          <w:rFonts w:cs="Arial"/>
          <w:b/>
          <w:bCs/>
          <w:sz w:val="24"/>
          <w:szCs w:val="24"/>
        </w:rPr>
        <w:t xml:space="preserve">9.2. </w:t>
      </w:r>
      <w:r>
        <w:rPr>
          <w:rFonts w:cs="Arial"/>
          <w:sz w:val="24"/>
          <w:szCs w:val="24"/>
        </w:rPr>
        <w:t>A mesma deverá entregar os produtos, conforme solicitado em empenho e solicitação de compra, na secretaria de Assistência Social, sem custo adicional e em até 5 (cinco) dias úteis;</w:t>
      </w:r>
    </w:p>
    <w:p>
      <w:pPr>
        <w:pStyle w:val="ListParagraph"/>
        <w:widowControl w:val="false"/>
        <w:tabs>
          <w:tab w:val="clear" w:pos="720"/>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20"/>
          <w:tab w:val="left" w:pos="567" w:leader="none"/>
        </w:tabs>
        <w:ind w:left="0"/>
        <w:jc w:val="both"/>
        <w:rPr>
          <w:rFonts w:ascii="Arial" w:hAnsi="Arial"/>
          <w:sz w:val="24"/>
          <w:szCs w:val="24"/>
        </w:rPr>
      </w:pPr>
      <w:r>
        <w:rPr>
          <w:rFonts w:cs="Arial"/>
          <w:b/>
          <w:bCs/>
          <w:sz w:val="24"/>
          <w:szCs w:val="24"/>
        </w:rPr>
        <w:t>9.3</w:t>
      </w:r>
      <w:r>
        <w:rPr>
          <w:rFonts w:cs="Arial"/>
          <w:sz w:val="24"/>
          <w:szCs w:val="24"/>
        </w:rPr>
        <w:t>. Junto com a nota fiscal, que será anexada para prosseguimento processual;</w:t>
      </w:r>
    </w:p>
    <w:p>
      <w:pPr>
        <w:pStyle w:val="ListParagraph"/>
        <w:widowControl w:val="false"/>
        <w:tabs>
          <w:tab w:val="clear" w:pos="720"/>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20"/>
          <w:tab w:val="left" w:pos="1583" w:leader="none"/>
        </w:tabs>
        <w:spacing w:lineRule="auto" w:line="360"/>
        <w:ind w:left="0"/>
        <w:jc w:val="both"/>
        <w:rPr>
          <w:rFonts w:ascii="Arial" w:hAnsi="Arial"/>
          <w:sz w:val="24"/>
          <w:szCs w:val="24"/>
        </w:rPr>
      </w:pPr>
      <w:r>
        <w:rPr>
          <w:rFonts w:cs="Arial"/>
          <w:b/>
          <w:sz w:val="24"/>
          <w:szCs w:val="24"/>
        </w:rPr>
        <w:t xml:space="preserve">10. ACOMPANHAMENTO E FISCALIZAÇÃO DA ENTREGA </w:t>
      </w:r>
      <w:r>
        <w:rPr>
          <w:rFonts w:cs="Arial"/>
          <w:sz w:val="24"/>
          <w:szCs w:val="24"/>
        </w:rPr>
        <w:t>(</w:t>
      </w:r>
      <w:r>
        <w:rPr>
          <w:rFonts w:cs="Arial"/>
          <w:color w:val="00B050"/>
          <w:sz w:val="24"/>
          <w:szCs w:val="24"/>
        </w:rPr>
        <w:t>Art. 6º, XXIII, “f” da Lei 14.133/21)</w:t>
      </w:r>
    </w:p>
    <w:p>
      <w:pPr>
        <w:pStyle w:val="ListParagraph"/>
        <w:widowControl w:val="false"/>
        <w:tabs>
          <w:tab w:val="clear" w:pos="720"/>
          <w:tab w:val="left" w:pos="567" w:leader="none"/>
        </w:tabs>
        <w:spacing w:lineRule="auto" w:line="360"/>
        <w:ind w:left="0"/>
        <w:jc w:val="both"/>
        <w:rPr>
          <w:rFonts w:ascii="Arial" w:hAnsi="Arial"/>
          <w:sz w:val="24"/>
          <w:szCs w:val="24"/>
        </w:rPr>
      </w:pPr>
      <w:r>
        <w:rPr>
          <w:rFonts w:cs="Arial"/>
          <w:b/>
          <w:bCs/>
          <w:color w:val="000000"/>
          <w:sz w:val="24"/>
          <w:szCs w:val="24"/>
        </w:rPr>
        <w:t>10.1.</w:t>
      </w:r>
      <w:r>
        <w:rPr>
          <w:rFonts w:cs="Arial"/>
          <w:color w:val="000000"/>
          <w:sz w:val="24"/>
          <w:szCs w:val="24"/>
        </w:rPr>
        <w:t xml:space="preserve"> A Secretaria solicitante indicará para atuarem como gestor e fiscal do contrato:</w:t>
      </w:r>
    </w:p>
    <w:tbl>
      <w:tblPr>
        <w:tblW w:w="92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70"/>
        <w:gridCol w:w="3195"/>
        <w:gridCol w:w="2349"/>
        <w:gridCol w:w="1326"/>
      </w:tblGrid>
      <w:tr>
        <w:trPr>
          <w:trHeight w:val="380" w:hRule="atLeast"/>
        </w:trPr>
        <w:tc>
          <w:tcPr>
            <w:tcW w:w="9240"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rFonts w:ascii="Arial" w:hAnsi="Arial"/>
                <w:sz w:val="24"/>
                <w:szCs w:val="24"/>
              </w:rPr>
            </w:pPr>
            <w:r>
              <w:rPr>
                <w:rFonts w:cs="Arial"/>
                <w:b/>
                <w:sz w:val="24"/>
                <w:szCs w:val="24"/>
              </w:rPr>
              <w:t>FISCAL DO CONTRATO</w:t>
            </w:r>
          </w:p>
        </w:tc>
      </w:tr>
      <w:tr>
        <w:trPr>
          <w:trHeight w:val="615" w:hRule="atLeast"/>
        </w:trPr>
        <w:tc>
          <w:tcPr>
            <w:tcW w:w="237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rFonts w:ascii="Arial" w:hAnsi="Arial"/>
                <w:sz w:val="24"/>
                <w:szCs w:val="24"/>
              </w:rPr>
            </w:pPr>
            <w:r>
              <w:rPr>
                <w:rFonts w:cs="Arial"/>
                <w:b/>
                <w:sz w:val="24"/>
                <w:szCs w:val="24"/>
              </w:rPr>
              <w:t>Órgão</w:t>
            </w:r>
          </w:p>
        </w:tc>
        <w:tc>
          <w:tcPr>
            <w:tcW w:w="319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rFonts w:ascii="Arial" w:hAnsi="Arial"/>
                <w:sz w:val="24"/>
                <w:szCs w:val="24"/>
              </w:rPr>
            </w:pPr>
            <w:r>
              <w:rPr>
                <w:rFonts w:cs="Arial"/>
                <w:b/>
                <w:sz w:val="24"/>
                <w:szCs w:val="24"/>
              </w:rPr>
              <w:t>Nome</w:t>
            </w:r>
          </w:p>
        </w:tc>
        <w:tc>
          <w:tcPr>
            <w:tcW w:w="2349"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Cargo</w:t>
            </w:r>
          </w:p>
        </w:tc>
        <w:tc>
          <w:tcPr>
            <w:tcW w:w="1326"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Matrícula</w:t>
            </w:r>
          </w:p>
        </w:tc>
      </w:tr>
      <w:tr>
        <w:trPr>
          <w:trHeight w:val="788" w:hRule="atLeast"/>
        </w:trPr>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Fundo Municipal de Assistência Social</w:t>
            </w:r>
          </w:p>
        </w:tc>
        <w:tc>
          <w:tcPr>
            <w:tcW w:w="3195"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clear" w:pos="720"/>
                <w:tab w:val="left" w:pos="3345" w:leader="none"/>
              </w:tabs>
              <w:spacing w:before="101" w:after="0"/>
              <w:ind w:left="99"/>
              <w:jc w:val="center"/>
              <w:rPr>
                <w:rFonts w:ascii="Arial" w:hAnsi="Arial"/>
                <w:sz w:val="24"/>
                <w:szCs w:val="24"/>
              </w:rPr>
            </w:pPr>
            <w:r>
              <w:rPr>
                <w:rFonts w:cs="Arial" w:ascii="Arial" w:hAnsi="Arial"/>
                <w:sz w:val="24"/>
                <w:szCs w:val="24"/>
              </w:rPr>
              <w:t>Maurício Nascimento de Castro</w:t>
            </w:r>
          </w:p>
        </w:tc>
        <w:tc>
          <w:tcPr>
            <w:tcW w:w="23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240" w:after="0"/>
              <w:jc w:val="center"/>
              <w:rPr>
                <w:rFonts w:ascii="Arial" w:hAnsi="Arial"/>
                <w:sz w:val="24"/>
                <w:szCs w:val="24"/>
              </w:rPr>
            </w:pPr>
            <w:r>
              <w:rPr>
                <w:rFonts w:cs="Arial"/>
                <w:sz w:val="24"/>
                <w:szCs w:val="24"/>
              </w:rPr>
              <w:t>Assistente administrativo</w:t>
            </w:r>
          </w:p>
        </w:tc>
        <w:tc>
          <w:tcPr>
            <w:tcW w:w="132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5357</w:t>
            </w:r>
          </w:p>
        </w:tc>
      </w:tr>
    </w:tbl>
    <w:p>
      <w:pPr>
        <w:pStyle w:val="ListParagraph"/>
        <w:ind w:left="390"/>
        <w:jc w:val="both"/>
        <w:rPr>
          <w:rFonts w:ascii="Arial" w:hAnsi="Arial"/>
          <w:color w:val="FF0000"/>
          <w:sz w:val="24"/>
          <w:szCs w:val="24"/>
        </w:rPr>
      </w:pPr>
      <w:r>
        <w:rPr>
          <w:color w:val="FF0000"/>
          <w:sz w:val="24"/>
          <w:szCs w:val="24"/>
        </w:rPr>
      </w:r>
    </w:p>
    <w:tbl>
      <w:tblPr>
        <w:tblW w:w="918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53"/>
        <w:gridCol w:w="3167"/>
        <w:gridCol w:w="2355"/>
        <w:gridCol w:w="1313"/>
      </w:tblGrid>
      <w:tr>
        <w:trPr>
          <w:trHeight w:val="377" w:hRule="atLeast"/>
        </w:trPr>
        <w:tc>
          <w:tcPr>
            <w:tcW w:w="9188"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rFonts w:ascii="Arial" w:hAnsi="Arial"/>
                <w:sz w:val="24"/>
                <w:szCs w:val="24"/>
              </w:rPr>
            </w:pPr>
            <w:r>
              <w:rPr>
                <w:rFonts w:cs="Arial"/>
                <w:b/>
                <w:sz w:val="24"/>
                <w:szCs w:val="24"/>
              </w:rPr>
              <w:t>GESTOR DO CONTRATO</w:t>
            </w:r>
          </w:p>
        </w:tc>
      </w:tr>
      <w:tr>
        <w:trPr>
          <w:trHeight w:val="377" w:hRule="atLeast"/>
        </w:trPr>
        <w:tc>
          <w:tcPr>
            <w:tcW w:w="235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Órgão</w:t>
            </w:r>
          </w:p>
        </w:tc>
        <w:tc>
          <w:tcPr>
            <w:tcW w:w="3167"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Nome</w:t>
            </w:r>
          </w:p>
        </w:tc>
        <w:tc>
          <w:tcPr>
            <w:tcW w:w="235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Cargo</w:t>
            </w:r>
          </w:p>
        </w:tc>
        <w:tc>
          <w:tcPr>
            <w:tcW w:w="131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sz w:val="24"/>
                <w:szCs w:val="24"/>
              </w:rPr>
            </w:pPr>
            <w:r>
              <w:rPr>
                <w:rFonts w:cs="Arial"/>
                <w:b/>
                <w:sz w:val="24"/>
                <w:szCs w:val="24"/>
              </w:rPr>
              <w:t>Matrícula</w:t>
            </w:r>
          </w:p>
        </w:tc>
      </w:tr>
      <w:tr>
        <w:trPr>
          <w:trHeight w:val="1034" w:hRule="atLeast"/>
        </w:trPr>
        <w:tc>
          <w:tcPr>
            <w:tcW w:w="235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Fundo Municipal de Assistência Social</w:t>
            </w:r>
          </w:p>
        </w:tc>
        <w:tc>
          <w:tcPr>
            <w:tcW w:w="31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704" w:leader="none"/>
              </w:tabs>
              <w:spacing w:lineRule="auto" w:line="276" w:before="1" w:after="0"/>
              <w:jc w:val="center"/>
              <w:rPr>
                <w:rFonts w:ascii="Arial" w:hAnsi="Arial"/>
                <w:sz w:val="24"/>
                <w:szCs w:val="24"/>
              </w:rPr>
            </w:pPr>
            <w:r>
              <w:rPr>
                <w:rFonts w:cs="Arial"/>
                <w:sz w:val="24"/>
                <w:szCs w:val="24"/>
              </w:rPr>
              <w:t>João Paulo Resende</w:t>
            </w:r>
          </w:p>
          <w:p>
            <w:pPr>
              <w:pStyle w:val="Normal"/>
              <w:widowControl w:val="false"/>
              <w:tabs>
                <w:tab w:val="clear" w:pos="720"/>
                <w:tab w:val="left" w:pos="704" w:leader="none"/>
              </w:tabs>
              <w:spacing w:lineRule="auto" w:line="276" w:before="1" w:after="0"/>
              <w:jc w:val="center"/>
              <w:rPr>
                <w:rFonts w:ascii="Arial" w:hAnsi="Arial"/>
                <w:sz w:val="24"/>
                <w:szCs w:val="24"/>
              </w:rPr>
            </w:pPr>
            <w:r>
              <w:rPr>
                <w:rFonts w:cs="Arial"/>
                <w:sz w:val="24"/>
                <w:szCs w:val="24"/>
              </w:rPr>
              <w:t>Cardoso</w:t>
            </w:r>
          </w:p>
        </w:tc>
        <w:tc>
          <w:tcPr>
            <w:tcW w:w="23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Secretário do</w:t>
            </w:r>
          </w:p>
          <w:p>
            <w:pPr>
              <w:pStyle w:val="Normal"/>
              <w:spacing w:lineRule="auto" w:line="276"/>
              <w:jc w:val="center"/>
              <w:rPr>
                <w:rFonts w:ascii="Arial" w:hAnsi="Arial"/>
                <w:sz w:val="24"/>
                <w:szCs w:val="24"/>
              </w:rPr>
            </w:pPr>
            <w:r>
              <w:rPr>
                <w:rFonts w:cs="Arial"/>
                <w:sz w:val="24"/>
                <w:szCs w:val="24"/>
              </w:rPr>
              <w:t>Fundo Municipal de</w:t>
            </w:r>
          </w:p>
          <w:p>
            <w:pPr>
              <w:pStyle w:val="Normal"/>
              <w:spacing w:lineRule="auto" w:line="276" w:before="120" w:after="120"/>
              <w:jc w:val="center"/>
              <w:rPr>
                <w:rFonts w:ascii="Arial" w:hAnsi="Arial"/>
                <w:sz w:val="24"/>
                <w:szCs w:val="24"/>
              </w:rPr>
            </w:pPr>
            <w:r>
              <w:rPr>
                <w:rFonts w:cs="Arial"/>
                <w:sz w:val="24"/>
                <w:szCs w:val="24"/>
              </w:rPr>
              <w:t>Assistência Social.</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rFonts w:ascii="Arial" w:hAnsi="Arial"/>
                <w:sz w:val="24"/>
                <w:szCs w:val="24"/>
              </w:rPr>
            </w:pPr>
            <w:r>
              <w:rPr>
                <w:rFonts w:cs="Arial"/>
                <w:sz w:val="24"/>
                <w:szCs w:val="24"/>
              </w:rPr>
              <w:t>7549</w:t>
            </w:r>
          </w:p>
        </w:tc>
      </w:tr>
    </w:tbl>
    <w:p>
      <w:pPr>
        <w:pStyle w:val="Normal"/>
        <w:tabs>
          <w:tab w:val="clear" w:pos="720"/>
          <w:tab w:val="left" w:pos="1276" w:leader="none"/>
        </w:tabs>
        <w:spacing w:lineRule="auto" w:line="360"/>
        <w:jc w:val="both"/>
        <w:rPr>
          <w:rFonts w:ascii="Arial" w:hAnsi="Arial"/>
          <w:color w:val="000000"/>
          <w:sz w:val="24"/>
          <w:szCs w:val="24"/>
        </w:rPr>
      </w:pPr>
      <w:r>
        <w:rPr>
          <w:color w:val="000000"/>
          <w:sz w:val="24"/>
          <w:szCs w:val="24"/>
        </w:rPr>
      </w:r>
    </w:p>
    <w:p>
      <w:pPr>
        <w:pStyle w:val="ListParagraph"/>
        <w:tabs>
          <w:tab w:val="clear" w:pos="720"/>
          <w:tab w:val="left" w:pos="567" w:leader="none"/>
        </w:tabs>
        <w:spacing w:lineRule="auto" w:line="276"/>
        <w:ind w:left="0"/>
        <w:jc w:val="both"/>
        <w:rPr>
          <w:rFonts w:ascii="Arial" w:hAnsi="Arial"/>
          <w:sz w:val="24"/>
          <w:szCs w:val="24"/>
        </w:rPr>
      </w:pPr>
      <w:r>
        <w:rPr>
          <w:rFonts w:cs="Arial"/>
          <w:b/>
          <w:bCs/>
          <w:color w:val="000000"/>
          <w:sz w:val="24"/>
          <w:szCs w:val="24"/>
        </w:rPr>
        <w:t xml:space="preserve">10.2. </w:t>
      </w:r>
      <w:r>
        <w:rPr>
          <w:rFonts w:cs="Arial"/>
          <w:color w:val="000000"/>
          <w:sz w:val="24"/>
          <w:szCs w:val="24"/>
        </w:rPr>
        <w:t>Os mesmos ficarão responsáveis por atestar no documento fiscal correspondente, caso os produtos estejam em desacordo com o solicitado, os mesmos deverão ser substituídos dentro do prazo de fiscalização sem ônus para o órgão solicitante.</w:t>
      </w:r>
    </w:p>
    <w:p>
      <w:pPr>
        <w:pStyle w:val="ListParagraph"/>
        <w:tabs>
          <w:tab w:val="clear" w:pos="720"/>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567" w:leader="none"/>
        </w:tabs>
        <w:spacing w:lineRule="auto" w:line="276"/>
        <w:ind w:left="0"/>
        <w:jc w:val="both"/>
        <w:rPr>
          <w:rFonts w:ascii="Arial" w:hAnsi="Arial"/>
          <w:sz w:val="24"/>
          <w:szCs w:val="24"/>
        </w:rPr>
      </w:pPr>
      <w:r>
        <w:rPr>
          <w:rFonts w:cs="Arial"/>
          <w:b/>
          <w:bCs/>
          <w:color w:val="000000"/>
          <w:sz w:val="24"/>
          <w:szCs w:val="24"/>
        </w:rPr>
        <w:t xml:space="preserve">10.3. </w:t>
      </w:r>
      <w:r>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pPr>
        <w:pStyle w:val="ListParagraph"/>
        <w:tabs>
          <w:tab w:val="clear" w:pos="720"/>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567" w:leader="none"/>
        </w:tabs>
        <w:spacing w:lineRule="auto" w:line="276"/>
        <w:ind w:left="0"/>
        <w:jc w:val="both"/>
        <w:rPr>
          <w:rFonts w:ascii="Arial" w:hAnsi="Arial"/>
          <w:sz w:val="24"/>
          <w:szCs w:val="24"/>
        </w:rPr>
      </w:pPr>
      <w:r>
        <w:rPr>
          <w:rFonts w:cs="Arial"/>
          <w:b/>
          <w:bCs/>
          <w:color w:val="000000"/>
          <w:sz w:val="24"/>
          <w:szCs w:val="24"/>
        </w:rPr>
        <w:t>10.4.</w:t>
      </w:r>
      <w:r>
        <w:rPr>
          <w:rFonts w:cs="Arial"/>
          <w:color w:val="000000"/>
          <w:sz w:val="24"/>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pPr>
        <w:pStyle w:val="Normal"/>
        <w:tabs>
          <w:tab w:val="clear" w:pos="720"/>
          <w:tab w:val="left" w:pos="1276" w:leader="none"/>
        </w:tabs>
        <w:spacing w:lineRule="auto" w:line="360"/>
        <w:jc w:val="both"/>
        <w:rPr>
          <w:rFonts w:ascii="Arial" w:hAnsi="Arial" w:cs="Arial"/>
          <w:color w:val="000000"/>
          <w:sz w:val="24"/>
          <w:szCs w:val="24"/>
        </w:rPr>
      </w:pPr>
      <w:r>
        <w:rPr>
          <w:rFonts w:cs="Arial"/>
          <w:color w:val="000000"/>
          <w:sz w:val="24"/>
          <w:szCs w:val="24"/>
        </w:rPr>
      </w:r>
    </w:p>
    <w:p>
      <w:pPr>
        <w:pStyle w:val="ListParagraph"/>
        <w:tabs>
          <w:tab w:val="clear" w:pos="720"/>
          <w:tab w:val="left" w:pos="1276" w:leader="none"/>
        </w:tabs>
        <w:spacing w:lineRule="auto" w:line="360"/>
        <w:ind w:left="0"/>
        <w:jc w:val="both"/>
        <w:rPr>
          <w:rFonts w:ascii="Arial" w:hAnsi="Arial"/>
          <w:sz w:val="24"/>
          <w:szCs w:val="24"/>
        </w:rPr>
      </w:pPr>
      <w:r>
        <w:rPr>
          <w:rFonts w:cs="Arial"/>
          <w:b/>
          <w:sz w:val="24"/>
          <w:szCs w:val="24"/>
        </w:rPr>
        <w:t xml:space="preserve">11. CRITÉRIOS DE MEDIÇÃO E DE PAGAMENTO </w:t>
      </w:r>
      <w:r>
        <w:rPr>
          <w:rFonts w:cs="Arial"/>
          <w:color w:val="000000"/>
          <w:sz w:val="24"/>
          <w:szCs w:val="24"/>
        </w:rPr>
        <w:t>(</w:t>
      </w:r>
      <w:r>
        <w:rPr>
          <w:rFonts w:cs="Arial"/>
          <w:color w:val="00B050"/>
          <w:sz w:val="24"/>
          <w:szCs w:val="24"/>
        </w:rPr>
        <w:t>Art. 6º, XXIII, “g” da Lei 14.133/21)</w:t>
      </w:r>
    </w:p>
    <w:p>
      <w:pPr>
        <w:pStyle w:val="ListParagraph"/>
        <w:tabs>
          <w:tab w:val="clear" w:pos="720"/>
          <w:tab w:val="left" w:pos="567" w:leader="none"/>
        </w:tabs>
        <w:ind w:left="0"/>
        <w:jc w:val="both"/>
        <w:rPr>
          <w:rFonts w:ascii="Arial" w:hAnsi="Arial"/>
          <w:sz w:val="24"/>
          <w:szCs w:val="24"/>
        </w:rPr>
      </w:pPr>
      <w:r>
        <w:rPr>
          <w:rFonts w:cs="Arial"/>
          <w:b/>
          <w:bCs/>
          <w:sz w:val="24"/>
          <w:szCs w:val="24"/>
        </w:rPr>
        <w:t xml:space="preserve">11.1. </w:t>
      </w:r>
      <w:r>
        <w:rPr>
          <w:rFonts w:cs="Arial"/>
          <w:sz w:val="24"/>
          <w:szCs w:val="24"/>
        </w:rPr>
        <w:t>Não haverá critérios de medição por não se tratar de serviço.</w:t>
      </w:r>
    </w:p>
    <w:p>
      <w:pPr>
        <w:pStyle w:val="ListParagraph"/>
        <w:tabs>
          <w:tab w:val="clear" w:pos="720"/>
          <w:tab w:val="left" w:pos="567" w:leader="none"/>
        </w:tabs>
        <w:ind w:left="0"/>
        <w:jc w:val="both"/>
        <w:rPr>
          <w:rFonts w:ascii="Arial" w:hAnsi="Arial" w:cs="Arial"/>
          <w:sz w:val="24"/>
          <w:szCs w:val="24"/>
        </w:rPr>
      </w:pPr>
      <w:r>
        <w:rPr>
          <w:rFonts w:cs="Arial"/>
          <w:sz w:val="24"/>
          <w:szCs w:val="24"/>
        </w:rPr>
      </w:r>
    </w:p>
    <w:p>
      <w:pPr>
        <w:pStyle w:val="ListParagraph"/>
        <w:tabs>
          <w:tab w:val="clear" w:pos="720"/>
          <w:tab w:val="left" w:pos="567" w:leader="none"/>
        </w:tabs>
        <w:ind w:left="0"/>
        <w:jc w:val="both"/>
        <w:rPr>
          <w:rFonts w:ascii="Arial" w:hAnsi="Arial"/>
          <w:sz w:val="24"/>
          <w:szCs w:val="24"/>
        </w:rPr>
      </w:pPr>
      <w:r>
        <w:rPr>
          <w:rFonts w:cs="Arial"/>
          <w:b/>
          <w:bCs/>
          <w:sz w:val="24"/>
          <w:szCs w:val="24"/>
        </w:rPr>
        <w:t xml:space="preserve">11.2. </w:t>
      </w:r>
      <w:r>
        <w:rPr>
          <w:rFonts w:cs="Arial"/>
          <w:sz w:val="24"/>
          <w:szCs w:val="24"/>
        </w:rPr>
        <w:t>O pagamento será efetuado em até 30 (trinta) dias após a entrega do pedido e a apresentação das Notas Fiscais do fornecimento, que deverão estar devidamente atestadas em seu verso.</w:t>
      </w:r>
    </w:p>
    <w:p>
      <w:pPr>
        <w:pStyle w:val="Normal"/>
        <w:rPr>
          <w:rFonts w:ascii="Arial" w:hAnsi="Arial" w:cs="Arial"/>
          <w:color w:val="000000"/>
          <w:sz w:val="24"/>
          <w:szCs w:val="24"/>
        </w:rPr>
      </w:pPr>
      <w:r>
        <w:rPr>
          <w:rFonts w:cs="Arial"/>
          <w:color w:val="000000"/>
          <w:sz w:val="24"/>
          <w:szCs w:val="24"/>
        </w:rPr>
      </w:r>
    </w:p>
    <w:p>
      <w:pPr>
        <w:pStyle w:val="ListParagraph"/>
        <w:tabs>
          <w:tab w:val="clear" w:pos="720"/>
          <w:tab w:val="left" w:pos="60" w:leader="none"/>
          <w:tab w:val="left" w:pos="1276" w:leader="none"/>
        </w:tabs>
        <w:spacing w:lineRule="auto" w:line="360"/>
        <w:ind w:left="0"/>
        <w:jc w:val="both"/>
        <w:rPr>
          <w:rFonts w:ascii="Arial" w:hAnsi="Arial"/>
          <w:sz w:val="24"/>
          <w:szCs w:val="24"/>
        </w:rPr>
      </w:pPr>
      <w:r>
        <w:rPr>
          <w:rFonts w:cs="Arial"/>
          <w:b/>
          <w:sz w:val="24"/>
          <w:szCs w:val="24"/>
        </w:rPr>
        <w:t xml:space="preserve">12. FORMA E CRITÉRIOS DE SELEÇÃO DO FORNECEDOR </w:t>
      </w:r>
      <w:r>
        <w:rPr>
          <w:rFonts w:cs="Arial"/>
          <w:color w:val="000000"/>
          <w:sz w:val="24"/>
          <w:szCs w:val="24"/>
        </w:rPr>
        <w:t>(</w:t>
      </w:r>
      <w:r>
        <w:rPr>
          <w:rFonts w:cs="Arial"/>
          <w:color w:val="00B050"/>
          <w:sz w:val="24"/>
          <w:szCs w:val="24"/>
        </w:rPr>
        <w:t>Art. 6º, XXIII, “h” da Lei 14.133/21)</w:t>
      </w:r>
    </w:p>
    <w:p>
      <w:pPr>
        <w:pStyle w:val="ListParagraph"/>
        <w:tabs>
          <w:tab w:val="clear" w:pos="720"/>
          <w:tab w:val="left" w:pos="426" w:leader="none"/>
        </w:tabs>
        <w:ind w:left="0"/>
        <w:jc w:val="both"/>
        <w:rPr>
          <w:rFonts w:ascii="Arial" w:hAnsi="Arial"/>
          <w:sz w:val="24"/>
          <w:szCs w:val="24"/>
        </w:rPr>
      </w:pPr>
      <w:r>
        <w:rPr>
          <w:rFonts w:cs="Arial"/>
          <w:b/>
          <w:bCs/>
          <w:sz w:val="24"/>
          <w:szCs w:val="24"/>
        </w:rPr>
        <w:t xml:space="preserve">12.1. </w:t>
      </w:r>
      <w:r>
        <w:rPr>
          <w:rFonts w:cs="Arial"/>
          <w:sz w:val="24"/>
          <w:szCs w:val="24"/>
        </w:rPr>
        <w:t xml:space="preserve">O procedimento será realizado por meio de Contratação Direta por menor preço por item, onde para seleção do fornecedor será utilizado o critério de julgamento o Menor Preço por Item; </w:t>
      </w:r>
    </w:p>
    <w:p>
      <w:pPr>
        <w:pStyle w:val="ListParagraph"/>
        <w:tabs>
          <w:tab w:val="clear" w:pos="720"/>
          <w:tab w:val="left" w:pos="1276" w:leader="none"/>
        </w:tabs>
        <w:spacing w:lineRule="auto" w:line="360"/>
        <w:ind w:left="390"/>
        <w:jc w:val="both"/>
        <w:rPr>
          <w:rFonts w:ascii="Arial" w:hAnsi="Arial" w:cs="Arial"/>
          <w:color w:val="000000"/>
          <w:sz w:val="24"/>
          <w:szCs w:val="24"/>
        </w:rPr>
      </w:pPr>
      <w:r>
        <w:rPr>
          <w:rFonts w:cs="Arial"/>
          <w:color w:val="000000"/>
          <w:sz w:val="24"/>
          <w:szCs w:val="24"/>
        </w:rPr>
      </w:r>
    </w:p>
    <w:p>
      <w:pPr>
        <w:pStyle w:val="ListParagraph"/>
        <w:tabs>
          <w:tab w:val="clear" w:pos="720"/>
          <w:tab w:val="left" w:pos="1276" w:leader="none"/>
        </w:tabs>
        <w:spacing w:lineRule="auto" w:line="360"/>
        <w:ind w:left="0"/>
        <w:jc w:val="both"/>
        <w:rPr>
          <w:rFonts w:ascii="Arial" w:hAnsi="Arial"/>
          <w:sz w:val="24"/>
          <w:szCs w:val="24"/>
        </w:rPr>
      </w:pPr>
      <w:r>
        <w:rPr>
          <w:rFonts w:cs="Arial"/>
          <w:b/>
          <w:color w:val="000000"/>
          <w:sz w:val="24"/>
          <w:szCs w:val="24"/>
        </w:rPr>
        <w:t xml:space="preserve">13. VALOR ESTIMADO </w:t>
      </w:r>
      <w:r>
        <w:rPr>
          <w:rFonts w:cs="Arial"/>
          <w:color w:val="000000"/>
          <w:sz w:val="24"/>
          <w:szCs w:val="24"/>
        </w:rPr>
        <w:t>(</w:t>
      </w:r>
      <w:r>
        <w:rPr>
          <w:rFonts w:cs="Arial"/>
          <w:color w:val="00B050"/>
          <w:sz w:val="24"/>
          <w:szCs w:val="24"/>
        </w:rPr>
        <w:t>Art. 6º, XXIII, “i” da Lei 14.133/21)</w:t>
      </w:r>
    </w:p>
    <w:p>
      <w:pPr>
        <w:pStyle w:val="ListParagraph"/>
        <w:tabs>
          <w:tab w:val="clear" w:pos="720"/>
          <w:tab w:val="left" w:pos="709" w:leader="none"/>
        </w:tabs>
        <w:ind w:left="0"/>
        <w:jc w:val="both"/>
        <w:rPr>
          <w:rFonts w:ascii="Arial" w:hAnsi="Arial"/>
          <w:sz w:val="24"/>
          <w:szCs w:val="24"/>
        </w:rPr>
      </w:pPr>
      <w:r>
        <w:rPr>
          <w:rFonts w:cs="Arial"/>
          <w:b/>
          <w:bCs/>
          <w:color w:val="000000"/>
          <w:sz w:val="24"/>
          <w:szCs w:val="24"/>
        </w:rPr>
        <w:t xml:space="preserve">13.1. </w:t>
      </w:r>
      <w:r>
        <w:rPr>
          <w:rFonts w:cs="Arial"/>
          <w:color w:val="000000"/>
          <w:sz w:val="24"/>
          <w:szCs w:val="24"/>
        </w:rPr>
        <w:t xml:space="preserve">O valor que a Assistência Social se propõe a pagar pela aquisição do objeto será de </w:t>
      </w:r>
      <w:r>
        <w:rPr>
          <w:rFonts w:cs="Arial"/>
          <w:b/>
          <w:bCs/>
          <w:color w:val="auto"/>
          <w:sz w:val="24"/>
          <w:szCs w:val="24"/>
        </w:rPr>
        <w:t>R$16.935,00 (dezesseis mil, novecentos e trinta e cinco reais)</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numPr>
          <w:ilvl w:val="0"/>
          <w:numId w:val="0"/>
        </w:numPr>
        <w:tabs>
          <w:tab w:val="clear" w:pos="720"/>
          <w:tab w:val="left" w:pos="709" w:leader="none"/>
        </w:tabs>
        <w:ind w:hanging="0" w:left="0"/>
        <w:jc w:val="both"/>
        <w:rPr>
          <w:rFonts w:ascii="Arial" w:hAnsi="Arial"/>
          <w:sz w:val="24"/>
          <w:szCs w:val="24"/>
        </w:rPr>
      </w:pPr>
      <w:r>
        <w:rPr>
          <w:rFonts w:cs="Arial"/>
          <w:b/>
          <w:bCs/>
          <w:color w:val="000000"/>
          <w:sz w:val="24"/>
          <w:szCs w:val="24"/>
        </w:rPr>
        <w:t>13.2.</w:t>
      </w:r>
      <w:r>
        <w:rPr>
          <w:rFonts w:cs="Arial"/>
          <w:sz w:val="24"/>
          <w:szCs w:val="24"/>
        </w:rPr>
        <w:t xml:space="preserve"> A metodologia empregada para estimar os valores unitários será através de menor preço por item, obtidos em relação à pesquisa e coleta de preços de mercado, dentre fornecedores do ramo, que se propuseram a apresentar proposta, que justifica por melhor representar cada um dos itens</w:t>
      </w:r>
      <w:r>
        <w:rPr>
          <w:rFonts w:cs="Arial"/>
          <w:color w:val="000000"/>
          <w:sz w:val="24"/>
          <w:szCs w:val="24"/>
        </w:rPr>
        <w:t>.</w:t>
      </w:r>
    </w:p>
    <w:p>
      <w:pPr>
        <w:pStyle w:val="ListParagraph"/>
        <w:tabs>
          <w:tab w:val="clear" w:pos="720"/>
          <w:tab w:val="left" w:pos="709" w:leader="none"/>
        </w:tabs>
        <w:ind w:hanging="0"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spacing w:lineRule="auto" w:line="276"/>
        <w:ind w:left="0"/>
        <w:jc w:val="both"/>
        <w:rPr>
          <w:rFonts w:ascii="Arial" w:hAnsi="Arial"/>
          <w:sz w:val="24"/>
          <w:szCs w:val="24"/>
        </w:rPr>
      </w:pPr>
      <w:r>
        <w:rPr>
          <w:rFonts w:cs="Arial"/>
          <w:b/>
          <w:bCs/>
          <w:sz w:val="24"/>
          <w:szCs w:val="24"/>
        </w:rPr>
        <w:t xml:space="preserve">13.3. </w:t>
      </w:r>
      <w:r>
        <w:rPr>
          <w:rFonts w:cs="Arial"/>
          <w:sz w:val="24"/>
          <w:szCs w:val="24"/>
        </w:rPr>
        <w:t>Justifico que os valores orçados são os praticados no mercado e o método de escolha do valor estimado em consonância com o art. 13, § 1º do Decreto Municipal nº 278/2023 foi pela:</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hanging="0" w:left="0"/>
        <w:jc w:val="both"/>
        <w:rPr>
          <w:rFonts w:ascii="Arial" w:hAnsi="Arial"/>
          <w:sz w:val="24"/>
          <w:szCs w:val="24"/>
        </w:rPr>
      </w:pPr>
      <w:bookmarkStart w:id="27" w:name="_heading=h.gjdgxs"/>
      <w:bookmarkEnd w:id="27"/>
      <w:r>
        <w:rPr>
          <w:rFonts w:cs="Arial"/>
          <w:b/>
          <w:color w:val="000000"/>
          <w:sz w:val="24"/>
          <w:szCs w:val="24"/>
        </w:rPr>
        <w:t xml:space="preserve">Menor preço </w:t>
      </w:r>
      <w:r>
        <w:rPr>
          <w:rFonts w:cs="Arial"/>
          <w:color w:val="000000"/>
          <w:sz w:val="24"/>
          <w:szCs w:val="24"/>
        </w:rPr>
        <w:t xml:space="preserve">dos valores orçados, uma vez que este método leva em consideração apenas o menor preço dos valores coletados, desconsiderados os valores inexequíveis, inconsistentes e os excessivamente elevados como referendado no </w:t>
      </w:r>
      <w:r>
        <w:rPr>
          <w:rFonts w:cs="Arial"/>
          <w:b/>
          <w:color w:val="000000"/>
          <w:sz w:val="24"/>
          <w:szCs w:val="24"/>
        </w:rPr>
        <w:t>art. 13, caput do Decreto Municipal nº 278/2023</w:t>
      </w:r>
      <w:r>
        <w:rPr>
          <w:rFonts w:cs="Arial"/>
          <w:color w:val="000000"/>
          <w:sz w:val="24"/>
          <w:szCs w:val="24"/>
        </w:rPr>
        <w:t>, sendo a opção que visa o princípio da vantajosidade, já que os demais participantes ainda tem a possibilidade de melhorarem suas ofertas e a Administração já considera o menor valor orçado como a proposta mais vantajosa no procediment</w:t>
      </w:r>
      <w:r>
        <w:rPr>
          <w:rFonts w:cs="Arial"/>
          <w:color w:val="000000"/>
          <w:sz w:val="24"/>
          <w:szCs w:val="24"/>
          <w:shd w:fill="auto" w:val="clear"/>
        </w:rPr>
        <w:t>o;</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left="0"/>
        <w:jc w:val="both"/>
        <w:rPr>
          <w:rFonts w:ascii="Arial" w:hAnsi="Arial"/>
          <w:sz w:val="24"/>
          <w:szCs w:val="24"/>
        </w:rPr>
      </w:pPr>
      <w:r>
        <w:rPr>
          <w:rFonts w:cs="Arial"/>
          <w:b/>
          <w:color w:val="000000"/>
          <w:sz w:val="24"/>
          <w:szCs w:val="24"/>
        </w:rPr>
        <w:t xml:space="preserve">14. CRÉDITOS ORÇAMENTÁRIOS </w:t>
      </w:r>
      <w:r>
        <w:rPr>
          <w:rFonts w:cs="Arial"/>
          <w:color w:val="000000"/>
          <w:sz w:val="24"/>
          <w:szCs w:val="24"/>
        </w:rPr>
        <w:t>(</w:t>
      </w:r>
      <w:r>
        <w:rPr>
          <w:rFonts w:cs="Arial"/>
          <w:color w:val="00B050"/>
          <w:sz w:val="24"/>
          <w:szCs w:val="24"/>
        </w:rPr>
        <w:t>Art. 6º, XXIII, “j” da Lei 14.133/21)</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left="0"/>
        <w:jc w:val="both"/>
        <w:rPr>
          <w:rFonts w:ascii="Arial" w:hAnsi="Arial"/>
          <w:sz w:val="24"/>
          <w:szCs w:val="24"/>
        </w:rPr>
      </w:pPr>
      <w:r>
        <w:rPr>
          <w:rFonts w:cs="Arial"/>
          <w:b/>
          <w:bCs/>
          <w:color w:val="000000"/>
          <w:sz w:val="24"/>
          <w:szCs w:val="24"/>
        </w:rPr>
        <w:t xml:space="preserve">14.1. </w:t>
      </w:r>
      <w:r>
        <w:rPr>
          <w:rFonts w:cs="Arial"/>
          <w:sz w:val="24"/>
          <w:szCs w:val="24"/>
        </w:rPr>
        <w:t>As despesas decorrentes desta contratação correrão por conta da Secretaria Municipal de Assistência Social através da seguinte dotação orçamentária:</w:t>
      </w:r>
    </w:p>
    <w:p>
      <w:pPr>
        <w:pStyle w:val="Normal"/>
        <w:tabs>
          <w:tab w:val="clear" w:pos="720"/>
          <w:tab w:val="left" w:pos="284" w:leader="none"/>
        </w:tabs>
        <w:jc w:val="both"/>
        <w:rPr>
          <w:rFonts w:ascii="Arial" w:hAnsi="Arial" w:cs="Arial"/>
          <w:sz w:val="24"/>
          <w:szCs w:val="24"/>
        </w:rPr>
      </w:pPr>
      <w:r>
        <w:rPr>
          <w:rFonts w:cs="Arial"/>
          <w:sz w:val="24"/>
          <w:szCs w:val="24"/>
        </w:rPr>
      </w:r>
    </w:p>
    <w:p>
      <w:pPr>
        <w:pStyle w:val="Normal"/>
        <w:widowControl/>
        <w:tabs>
          <w:tab w:val="clear" w:pos="720"/>
          <w:tab w:val="left" w:pos="851" w:leader="none"/>
        </w:tabs>
        <w:suppressAutoHyphens w:val="true"/>
        <w:spacing w:lineRule="auto" w:line="276" w:before="0" w:after="0"/>
        <w:jc w:val="both"/>
        <w:rPr>
          <w:rFonts w:ascii="Arial" w:hAnsi="Arial"/>
          <w:sz w:val="24"/>
          <w:szCs w:val="24"/>
        </w:rPr>
      </w:pPr>
      <w:r>
        <w:rPr>
          <w:rFonts w:cs="Arial"/>
          <w:b/>
          <w:color w:val="000000"/>
          <w:sz w:val="24"/>
          <w:szCs w:val="24"/>
          <w:lang w:val="pt-BR"/>
        </w:rPr>
        <w:t>Fundo Municipal de Assistencial Social de Rio das Flores</w:t>
      </w:r>
    </w:p>
    <w:p>
      <w:pPr>
        <w:pStyle w:val="Normal"/>
        <w:widowControl/>
        <w:tabs>
          <w:tab w:val="clear" w:pos="720"/>
          <w:tab w:val="left" w:pos="851" w:leader="none"/>
        </w:tabs>
        <w:suppressAutoHyphens w:val="true"/>
        <w:spacing w:lineRule="auto" w:line="276" w:before="0" w:after="0"/>
        <w:jc w:val="both"/>
        <w:rPr>
          <w:rFonts w:ascii="Arial" w:hAnsi="Arial"/>
          <w:sz w:val="24"/>
          <w:szCs w:val="24"/>
        </w:rPr>
      </w:pPr>
      <w:r>
        <w:rPr>
          <w:rFonts w:cs="Arial"/>
          <w:b/>
          <w:color w:val="000000"/>
          <w:sz w:val="24"/>
          <w:szCs w:val="24"/>
          <w:lang w:val="pt-BR"/>
        </w:rPr>
        <w:t>02.011.08.245.0012.1351 – PROCAD-SUAS</w:t>
      </w:r>
    </w:p>
    <w:p>
      <w:pPr>
        <w:pStyle w:val="Normal"/>
        <w:widowControl/>
        <w:tabs>
          <w:tab w:val="clear" w:pos="720"/>
          <w:tab w:val="left" w:pos="851" w:leader="none"/>
        </w:tabs>
        <w:suppressAutoHyphens w:val="true"/>
        <w:spacing w:lineRule="auto" w:line="276" w:before="0" w:after="0"/>
        <w:jc w:val="both"/>
        <w:rPr>
          <w:rFonts w:ascii="Arial" w:hAnsi="Arial"/>
          <w:sz w:val="24"/>
          <w:szCs w:val="24"/>
        </w:rPr>
      </w:pPr>
      <w:r>
        <w:rPr>
          <w:rFonts w:cs="Arial"/>
          <w:b/>
          <w:color w:val="auto"/>
          <w:sz w:val="24"/>
          <w:szCs w:val="24"/>
          <w:lang w:val="pt-BR"/>
        </w:rPr>
        <w:t>4.4.90.52.00.00.00.01.660 – Equipamentos e Material Permanente</w:t>
      </w:r>
    </w:p>
    <w:p>
      <w:pPr>
        <w:pStyle w:val="Normal"/>
        <w:tabs>
          <w:tab w:val="clear" w:pos="720"/>
          <w:tab w:val="left" w:pos="851" w:leader="none"/>
        </w:tabs>
        <w:spacing w:lineRule="auto" w:line="276"/>
        <w:jc w:val="both"/>
        <w:rPr>
          <w:rFonts w:ascii="Arial" w:hAnsi="Arial" w:cs="Arial"/>
          <w:b/>
          <w:sz w:val="24"/>
          <w:szCs w:val="24"/>
        </w:rPr>
      </w:pPr>
      <w:r>
        <w:rPr>
          <w:rFonts w:cs="Arial"/>
          <w:b/>
          <w:sz w:val="24"/>
          <w:szCs w:val="24"/>
        </w:rPr>
      </w:r>
    </w:p>
    <w:p>
      <w:pPr>
        <w:pStyle w:val="Normal"/>
        <w:tabs>
          <w:tab w:val="clear" w:pos="720"/>
          <w:tab w:val="left" w:pos="851" w:leader="none"/>
        </w:tabs>
        <w:spacing w:lineRule="auto" w:line="276"/>
        <w:jc w:val="both"/>
        <w:rPr>
          <w:rFonts w:ascii="Arial" w:hAnsi="Arial"/>
          <w:sz w:val="24"/>
          <w:szCs w:val="24"/>
        </w:rPr>
      </w:pPr>
      <w:r>
        <w:rPr>
          <w:rFonts w:cs="Arial"/>
          <w:b/>
          <w:sz w:val="24"/>
          <w:szCs w:val="24"/>
        </w:rPr>
        <w:t>15. DISPOSIÇÕES GERAIS</w:t>
      </w:r>
    </w:p>
    <w:p>
      <w:pPr>
        <w:pStyle w:val="ListParagraph"/>
        <w:tabs>
          <w:tab w:val="clear" w:pos="720"/>
          <w:tab w:val="left" w:pos="426" w:leader="none"/>
        </w:tabs>
        <w:ind w:left="390"/>
        <w:jc w:val="both"/>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left="0"/>
        <w:jc w:val="both"/>
        <w:rPr>
          <w:rFonts w:ascii="Arial" w:hAnsi="Arial"/>
          <w:sz w:val="24"/>
          <w:szCs w:val="24"/>
        </w:rPr>
      </w:pPr>
      <w:r>
        <w:rPr>
          <w:rFonts w:cs="Arial"/>
          <w:b/>
          <w:bCs/>
          <w:sz w:val="24"/>
          <w:szCs w:val="24"/>
        </w:rPr>
        <w:t xml:space="preserve">15.1. </w:t>
      </w:r>
      <w:r>
        <w:rPr>
          <w:rFonts w:cs="Arial"/>
          <w:sz w:val="24"/>
          <w:szCs w:val="24"/>
        </w:rPr>
        <w:t>A contratação do objeto deverá ser precedida de análise prévia, fundamentada na Lei Federal nº 14.133/2021 c/c Decreto Federal nº 12.807/2025 e Decreto Municipal nº 278/2023.</w:t>
      </w:r>
    </w:p>
    <w:p>
      <w:pPr>
        <w:pStyle w:val="ListParagraph"/>
        <w:tabs>
          <w:tab w:val="clear" w:pos="720"/>
          <w:tab w:val="left" w:pos="426"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20"/>
          <w:tab w:val="left" w:pos="426" w:leader="none"/>
          <w:tab w:val="left" w:pos="630" w:leader="none"/>
        </w:tabs>
        <w:spacing w:lineRule="auto" w:line="276"/>
        <w:ind w:left="0"/>
        <w:jc w:val="both"/>
        <w:rPr>
          <w:rFonts w:ascii="Arial" w:hAnsi="Arial"/>
          <w:sz w:val="24"/>
          <w:szCs w:val="24"/>
        </w:rPr>
      </w:pPr>
      <w:r>
        <w:rPr>
          <w:rFonts w:cs="Arial"/>
          <w:b/>
          <w:bCs/>
          <w:sz w:val="24"/>
          <w:szCs w:val="24"/>
        </w:rPr>
        <w:t xml:space="preserve">15.2. </w:t>
      </w:r>
      <w:r>
        <w:rPr>
          <w:rFonts w:cs="Arial"/>
          <w:sz w:val="24"/>
          <w:szCs w:val="24"/>
        </w:rPr>
        <w:t>Ratificam-se os orçamentos constantes deste Processo Administrativo;</w:t>
      </w:r>
    </w:p>
    <w:p>
      <w:pPr>
        <w:pStyle w:val="ListParagraph"/>
        <w:tabs>
          <w:tab w:val="clear" w:pos="720"/>
          <w:tab w:val="left" w:pos="426" w:leader="none"/>
          <w:tab w:val="left" w:pos="630"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left="0"/>
        <w:jc w:val="both"/>
        <w:rPr>
          <w:rFonts w:ascii="Arial" w:hAnsi="Arial"/>
          <w:sz w:val="24"/>
          <w:szCs w:val="24"/>
        </w:rPr>
      </w:pPr>
      <w:r>
        <w:rPr>
          <w:rFonts w:cs="Arial"/>
          <w:b/>
          <w:bCs/>
          <w:sz w:val="24"/>
          <w:szCs w:val="24"/>
        </w:rPr>
        <w:t>15.3.</w:t>
      </w:r>
      <w:r>
        <w:rPr>
          <w:rFonts w:cs="Arial"/>
          <w:sz w:val="24"/>
          <w:szCs w:val="24"/>
        </w:rPr>
        <w:t xml:space="preserve"> Justifico que os valores orçados são os praticados no mercado;</w:t>
      </w:r>
    </w:p>
    <w:p>
      <w:pPr>
        <w:pStyle w:val="ListParagraph"/>
        <w:tabs>
          <w:tab w:val="clear" w:pos="720"/>
          <w:tab w:val="left" w:pos="426" w:leader="none"/>
        </w:tabs>
        <w:spacing w:lineRule="auto" w:line="276"/>
        <w:ind w:left="0"/>
        <w:jc w:val="both"/>
        <w:rPr>
          <w:rFonts w:ascii="Arial" w:hAnsi="Arial" w:cs="Arial"/>
          <w:sz w:val="24"/>
          <w:szCs w:val="24"/>
        </w:rPr>
      </w:pPr>
      <w:r>
        <w:rPr>
          <w:rFonts w:cs="Arial"/>
          <w:sz w:val="24"/>
          <w:szCs w:val="24"/>
        </w:rPr>
      </w:r>
    </w:p>
    <w:p>
      <w:pPr>
        <w:pStyle w:val="ListParagraph"/>
        <w:tabs>
          <w:tab w:val="clear" w:pos="720"/>
          <w:tab w:val="left" w:pos="426" w:leader="none"/>
        </w:tabs>
        <w:spacing w:lineRule="auto" w:line="276"/>
        <w:ind w:left="0"/>
        <w:jc w:val="both"/>
        <w:rPr>
          <w:rFonts w:ascii="Arial" w:hAnsi="Arial"/>
          <w:sz w:val="24"/>
          <w:szCs w:val="24"/>
        </w:rPr>
      </w:pPr>
      <w:r>
        <w:rPr>
          <w:rFonts w:cs="Arial"/>
          <w:b/>
          <w:bCs/>
          <w:sz w:val="24"/>
          <w:szCs w:val="24"/>
        </w:rPr>
        <w:t xml:space="preserve">15.4. </w:t>
      </w:r>
      <w:r>
        <w:rPr>
          <w:rFonts w:cs="Arial"/>
          <w:sz w:val="24"/>
          <w:szCs w:val="24"/>
        </w:rPr>
        <w:t>Os contatos para pedidos de orçamento foram realizados através de contato telefônico e foram combatíveis com o prazo de complexidade desta dispensa de licitação.</w:t>
      </w:r>
    </w:p>
    <w:p>
      <w:pPr>
        <w:pStyle w:val="ListParagraph"/>
        <w:tabs>
          <w:tab w:val="clear" w:pos="720"/>
          <w:tab w:val="left" w:pos="426" w:leader="none"/>
        </w:tabs>
        <w:spacing w:lineRule="auto" w:line="276"/>
        <w:ind w:hanging="0" w:left="0"/>
        <w:jc w:val="left"/>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hanging="0" w:left="0"/>
        <w:jc w:val="left"/>
        <w:rPr>
          <w:rFonts w:ascii="Arial" w:hAnsi="Arial"/>
          <w:sz w:val="24"/>
          <w:szCs w:val="24"/>
        </w:rPr>
      </w:pPr>
      <w:r>
        <w:rPr>
          <w:rFonts w:cs="Arial"/>
          <w:b/>
          <w:bCs/>
          <w:sz w:val="24"/>
          <w:szCs w:val="24"/>
        </w:rPr>
        <w:t>15.5</w:t>
      </w:r>
      <w:r>
        <w:rPr>
          <w:rFonts w:cs="Arial"/>
          <w:sz w:val="24"/>
          <w:szCs w:val="24"/>
        </w:rPr>
        <w:t xml:space="preserve"> Informo que todos os fornecedores pesquisados possuem capacidade técnica para comprimento do objeto.</w:t>
      </w:r>
    </w:p>
    <w:p>
      <w:pPr>
        <w:pStyle w:val="ListParagraph"/>
        <w:numPr>
          <w:ilvl w:val="0"/>
          <w:numId w:val="0"/>
        </w:numPr>
        <w:tabs>
          <w:tab w:val="clear" w:pos="720"/>
          <w:tab w:val="left" w:pos="426" w:leader="none"/>
          <w:tab w:val="left" w:pos="630" w:leader="none"/>
        </w:tabs>
        <w:spacing w:lineRule="auto" w:line="276"/>
        <w:ind w:hanging="0" w:left="0"/>
        <w:jc w:val="both"/>
        <w:rPr>
          <w:rFonts w:ascii="Arial" w:hAnsi="Arial" w:cs="Arial"/>
          <w:b/>
          <w:sz w:val="24"/>
          <w:szCs w:val="24"/>
        </w:rPr>
      </w:pPr>
      <w:r>
        <w:rPr>
          <w:rFonts w:cs="Arial"/>
          <w:b/>
          <w:sz w:val="24"/>
          <w:szCs w:val="24"/>
        </w:rPr>
      </w:r>
    </w:p>
    <w:p>
      <w:pPr>
        <w:pStyle w:val="ListParagraph"/>
        <w:numPr>
          <w:ilvl w:val="0"/>
          <w:numId w:val="0"/>
        </w:numPr>
        <w:tabs>
          <w:tab w:val="clear" w:pos="720"/>
          <w:tab w:val="left" w:pos="426" w:leader="none"/>
        </w:tabs>
        <w:spacing w:lineRule="auto" w:line="276"/>
        <w:ind w:hanging="0" w:left="0"/>
        <w:jc w:val="both"/>
        <w:rPr>
          <w:rFonts w:ascii="Arial" w:hAnsi="Arial"/>
          <w:sz w:val="24"/>
          <w:szCs w:val="24"/>
        </w:rPr>
      </w:pPr>
      <w:r>
        <w:rPr>
          <w:rFonts w:eastAsia="Times New Roman" w:cs="Arial"/>
          <w:b/>
          <w:bCs/>
          <w:color w:val="auto"/>
          <w:sz w:val="24"/>
          <w:szCs w:val="24"/>
          <w:lang w:val="pt-BR" w:eastAsia="pt-BR" w:bidi="ar-SA"/>
        </w:rPr>
        <w:t xml:space="preserve">15.6. </w:t>
      </w:r>
      <w:r>
        <w:rPr>
          <w:rFonts w:eastAsia="Times New Roman" w:cs="Arial"/>
          <w:color w:val="auto"/>
          <w:sz w:val="24"/>
          <w:szCs w:val="24"/>
          <w:lang w:val="pt-BR" w:eastAsia="pt-BR" w:bidi="ar-SA"/>
        </w:rPr>
        <w:t>Com referência ao Estudo Técnico Preliminar, de acordo com a art. 8°, inc. I c/c art.43 do Decreto Municipal 278/2023, foi facultado a elaboração do mesmo.</w:t>
      </w:r>
    </w:p>
    <w:p>
      <w:pPr>
        <w:pStyle w:val="ListParagraph"/>
        <w:tabs>
          <w:tab w:val="clear" w:pos="720"/>
          <w:tab w:val="left" w:pos="426" w:leader="none"/>
        </w:tabs>
        <w:spacing w:lineRule="auto" w:line="276"/>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Normal"/>
        <w:numPr>
          <w:ilvl w:val="0"/>
          <w:numId w:val="0"/>
        </w:numPr>
        <w:tabs>
          <w:tab w:val="clear" w:pos="720"/>
          <w:tab w:val="left" w:pos="993" w:leader="none"/>
          <w:tab w:val="left" w:pos="1134" w:leader="none"/>
        </w:tabs>
        <w:spacing w:lineRule="auto" w:line="276"/>
        <w:ind w:hanging="0" w:left="0" w:right="-6"/>
        <w:jc w:val="both"/>
        <w:rPr>
          <w:rFonts w:ascii="Arial" w:hAnsi="Arial"/>
          <w:sz w:val="24"/>
          <w:szCs w:val="24"/>
        </w:rPr>
      </w:pPr>
      <w:r>
        <w:rPr>
          <w:b/>
          <w:bCs/>
          <w:color w:val="auto"/>
          <w:sz w:val="24"/>
          <w:szCs w:val="24"/>
        </w:rPr>
        <w:t>15.7</w:t>
      </w:r>
      <w:r>
        <w:rPr>
          <w:color w:val="auto"/>
          <w:sz w:val="24"/>
          <w:szCs w:val="24"/>
        </w:rPr>
        <w:t>. Foi realizado pesquisa em empresas físicas e no painel de preços:</w:t>
      </w:r>
    </w:p>
    <w:p>
      <w:pPr>
        <w:pStyle w:val="Normal"/>
        <w:widowControl/>
        <w:bidi w:val="0"/>
        <w:spacing w:before="225" w:after="225"/>
        <w:ind w:hanging="0" w:left="0" w:right="0"/>
        <w:jc w:val="both"/>
        <w:rPr>
          <w:rFonts w:ascii="Arial" w:hAnsi="Arial"/>
          <w:sz w:val="24"/>
          <w:szCs w:val="24"/>
        </w:rPr>
      </w:pPr>
      <w:r>
        <w:rPr>
          <w:rFonts w:cs="Arial"/>
          <w:color w:val="auto"/>
          <w:sz w:val="24"/>
          <w:szCs w:val="24"/>
        </w:rPr>
        <w:t xml:space="preserve"> </w:t>
      </w:r>
      <w:r>
        <w:rPr>
          <w:rFonts w:cs="Arial"/>
          <w:color w:val="auto"/>
          <w:sz w:val="24"/>
          <w:szCs w:val="24"/>
        </w:rPr>
        <w:tab/>
        <w:t xml:space="preserve">Declaro para os seguintes fins que foi realizada pesquisa direta com </w:t>
      </w:r>
      <w:r>
        <w:rPr>
          <w:rFonts w:cs="Arial"/>
          <w:b/>
          <w:color w:val="auto"/>
          <w:sz w:val="24"/>
          <w:szCs w:val="24"/>
          <w:u w:val="single"/>
        </w:rPr>
        <w:t>fornecedor físico</w:t>
      </w:r>
      <w:r>
        <w:rPr>
          <w:rFonts w:cs="Arial"/>
          <w:color w:val="auto"/>
          <w:sz w:val="24"/>
          <w:szCs w:val="24"/>
        </w:rPr>
        <w:t xml:space="preserve"> e </w:t>
      </w:r>
      <w:r>
        <w:rPr>
          <w:rFonts w:cs="Arial"/>
          <w:b/>
          <w:color w:val="auto"/>
          <w:sz w:val="24"/>
          <w:szCs w:val="24"/>
          <w:u w:val="single"/>
        </w:rPr>
        <w:t>painel de preços</w:t>
      </w:r>
      <w:r>
        <w:rPr>
          <w:rFonts w:cs="Arial"/>
          <w:color w:val="auto"/>
          <w:sz w:val="24"/>
          <w:szCs w:val="24"/>
        </w:rPr>
        <w:t xml:space="preserve">, mediante solicitação formal de cotação </w:t>
      </w:r>
      <w:r>
        <w:rPr>
          <w:rFonts w:cs="Arial"/>
          <w:b/>
          <w:color w:val="auto"/>
          <w:sz w:val="24"/>
          <w:szCs w:val="24"/>
        </w:rPr>
        <w:t>em anexo</w:t>
      </w:r>
      <w:r>
        <w:rPr>
          <w:rFonts w:cs="Arial"/>
          <w:color w:val="auto"/>
          <w:sz w:val="24"/>
          <w:szCs w:val="24"/>
        </w:rPr>
        <w:t xml:space="preserve"> uma vez que em conformidade com o </w:t>
      </w:r>
      <w:r>
        <w:rPr>
          <w:rFonts w:cs="Arial"/>
          <w:b/>
          <w:color w:val="auto"/>
          <w:sz w:val="24"/>
          <w:szCs w:val="24"/>
        </w:rPr>
        <w:t>art. 23, § 1º, III, IV</w:t>
      </w:r>
      <w:r>
        <w:rPr>
          <w:rFonts w:cs="Arial"/>
          <w:color w:val="auto"/>
          <w:sz w:val="24"/>
          <w:szCs w:val="24"/>
        </w:rPr>
        <w:t>:</w:t>
      </w:r>
    </w:p>
    <w:p>
      <w:pPr>
        <w:pStyle w:val="Normal"/>
        <w:widowControl/>
        <w:bidi w:val="0"/>
        <w:spacing w:before="225" w:after="225"/>
        <w:ind w:hanging="0" w:left="2778" w:right="0"/>
        <w:jc w:val="both"/>
        <w:rPr>
          <w:rFonts w:ascii="Arial" w:hAnsi="Arial"/>
          <w:sz w:val="24"/>
          <w:szCs w:val="24"/>
        </w:rPr>
      </w:pPr>
      <w:r>
        <w:rPr>
          <w:rFonts w:cs="Arial"/>
          <w:color w:val="auto"/>
          <w:sz w:val="24"/>
          <w:szCs w:val="24"/>
        </w:rPr>
        <w:t>“</w:t>
      </w:r>
      <w:r>
        <w:rPr>
          <w:rFonts w:cs="Arial"/>
          <w:color w:val="auto"/>
          <w:sz w:val="24"/>
          <w:szCs w:val="24"/>
        </w:rPr>
        <w:t>Art. 23.</w:t>
      </w:r>
      <w:r>
        <w:rPr>
          <w:rFonts w:cs="Arial"/>
          <w:b/>
          <w:bCs/>
          <w:color w:val="auto"/>
          <w:sz w:val="24"/>
          <w:szCs w:val="24"/>
        </w:rPr>
        <w:t> </w:t>
      </w:r>
      <w:r>
        <w:rPr>
          <w:rFonts w:cs="Arial"/>
          <w:color w:val="auto"/>
          <w:sz w:val="24"/>
          <w:szCs w:val="24"/>
        </w:rPr>
        <w:t xml:space="preserve">O valor previamente estimado da contratação </w:t>
      </w:r>
      <w:r>
        <w:rPr>
          <w:rFonts w:cs="Arial"/>
          <w:b/>
          <w:color w:val="auto"/>
          <w:sz w:val="24"/>
          <w:szCs w:val="24"/>
          <w:u w:val="single"/>
        </w:rPr>
        <w:t>deverá</w:t>
      </w:r>
      <w:r>
        <w:rPr>
          <w:rFonts w:cs="Arial"/>
          <w:color w:val="auto"/>
          <w:sz w:val="24"/>
          <w:szCs w:val="24"/>
        </w:rPr>
        <w:t xml:space="preserve"> ser compatível com os </w:t>
      </w:r>
      <w:r>
        <w:rPr>
          <w:rFonts w:cs="Arial"/>
          <w:b/>
          <w:color w:val="auto"/>
          <w:sz w:val="24"/>
          <w:szCs w:val="24"/>
          <w:u w:val="single"/>
        </w:rPr>
        <w:t>valores praticados pelo mercado</w:t>
      </w:r>
      <w:r>
        <w:rPr>
          <w:rFonts w:cs="Arial"/>
          <w:color w:val="auto"/>
          <w:sz w:val="24"/>
          <w:szCs w:val="24"/>
        </w:rPr>
        <w:t xml:space="preserve">, considerados os preços constantes de bancos de dados públicos e as quantidades a serem contratadas, observadas a potencial economia de escala e as </w:t>
      </w:r>
      <w:r>
        <w:rPr>
          <w:rFonts w:cs="Arial"/>
          <w:b/>
          <w:color w:val="auto"/>
          <w:sz w:val="24"/>
          <w:szCs w:val="24"/>
          <w:u w:val="single"/>
        </w:rPr>
        <w:t>peculiaridades do local de execução do objeto</w:t>
      </w:r>
      <w:r>
        <w:rPr>
          <w:rFonts w:cs="Arial"/>
          <w:color w:val="auto"/>
          <w:sz w:val="24"/>
          <w:szCs w:val="24"/>
        </w:rPr>
        <w:t>.</w:t>
      </w:r>
      <w:bookmarkStart w:id="28" w:name="_GoBack_Copia_1_Copia_1"/>
      <w:bookmarkEnd w:id="28"/>
    </w:p>
    <w:p>
      <w:pPr>
        <w:pStyle w:val="Normal"/>
        <w:widowControl/>
        <w:bidi w:val="0"/>
        <w:spacing w:before="225" w:after="225"/>
        <w:ind w:hanging="0" w:left="2778" w:right="0"/>
        <w:jc w:val="both"/>
        <w:rPr>
          <w:rFonts w:ascii="Arial" w:hAnsi="Arial"/>
          <w:sz w:val="24"/>
          <w:szCs w:val="24"/>
        </w:rPr>
      </w:pPr>
      <w:bookmarkStart w:id="29" w:name="art23§1"/>
      <w:bookmarkEnd w:id="29"/>
      <w:r>
        <w:rPr>
          <w:rFonts w:cs="Arial"/>
          <w:color w:val="auto"/>
          <w:sz w:val="24"/>
          <w:szCs w:val="24"/>
        </w:rPr>
        <w:t xml:space="preserve">§ 1º No processo licitatório para </w:t>
      </w:r>
      <w:r>
        <w:rPr>
          <w:rFonts w:cs="Arial"/>
          <w:b/>
          <w:color w:val="auto"/>
          <w:sz w:val="24"/>
          <w:szCs w:val="24"/>
          <w:u w:val="single"/>
        </w:rPr>
        <w:t>aquisição de bens e contratação de serviços em geral</w:t>
      </w:r>
      <w:r>
        <w:rPr>
          <w:rFonts w:cs="Arial"/>
          <w:color w:val="auto"/>
          <w:sz w:val="24"/>
          <w:szCs w:val="24"/>
        </w:rPr>
        <w:t xml:space="preserve">, </w:t>
      </w:r>
      <w:r>
        <w:rPr>
          <w:rFonts w:cs="Arial"/>
          <w:b/>
          <w:color w:val="auto"/>
          <w:sz w:val="24"/>
          <w:szCs w:val="24"/>
          <w:u w:val="single"/>
        </w:rPr>
        <w:t>conforme regulamento</w:t>
      </w:r>
      <w:r>
        <w:rPr>
          <w:rFonts w:cs="Arial"/>
          <w:color w:val="auto"/>
          <w:sz w:val="24"/>
          <w:szCs w:val="24"/>
        </w:rPr>
        <w:t xml:space="preserve">, </w:t>
      </w:r>
      <w:r>
        <w:rPr>
          <w:rFonts w:cs="Arial"/>
          <w:b/>
          <w:color w:val="auto"/>
          <w:sz w:val="24"/>
          <w:szCs w:val="24"/>
          <w:u w:val="single"/>
        </w:rPr>
        <w:t>o valor estimado</w:t>
      </w:r>
      <w:r>
        <w:rPr>
          <w:rFonts w:cs="Arial"/>
          <w:color w:val="auto"/>
          <w:sz w:val="24"/>
          <w:szCs w:val="24"/>
        </w:rPr>
        <w:t xml:space="preserve"> </w:t>
      </w:r>
      <w:r>
        <w:rPr>
          <w:rFonts w:cs="Arial"/>
          <w:b/>
          <w:color w:val="auto"/>
          <w:sz w:val="24"/>
          <w:szCs w:val="24"/>
          <w:u w:val="single"/>
        </w:rPr>
        <w:t>será</w:t>
      </w:r>
      <w:r>
        <w:rPr>
          <w:rFonts w:cs="Arial"/>
          <w:color w:val="auto"/>
          <w:sz w:val="24"/>
          <w:szCs w:val="24"/>
        </w:rPr>
        <w:t xml:space="preserve"> definido com base no melhor preço aferido por meio da utilização dos </w:t>
      </w:r>
      <w:r>
        <w:rPr>
          <w:rFonts w:cs="Arial"/>
          <w:b/>
          <w:color w:val="auto"/>
          <w:sz w:val="24"/>
          <w:szCs w:val="24"/>
          <w:u w:val="single"/>
        </w:rPr>
        <w:t>seguintes parâmetros</w:t>
      </w:r>
      <w:r>
        <w:rPr>
          <w:rFonts w:cs="Arial"/>
          <w:color w:val="auto"/>
          <w:sz w:val="24"/>
          <w:szCs w:val="24"/>
        </w:rPr>
        <w:t>, adotados de forma combinada ou não:</w:t>
      </w:r>
    </w:p>
    <w:p>
      <w:pPr>
        <w:pStyle w:val="Normal"/>
        <w:spacing w:before="225" w:after="225"/>
        <w:ind w:left="2778" w:right="-737"/>
        <w:jc w:val="both"/>
        <w:rPr>
          <w:rFonts w:ascii="Arial" w:hAnsi="Arial"/>
          <w:sz w:val="24"/>
          <w:szCs w:val="24"/>
        </w:rPr>
      </w:pPr>
      <w:r>
        <w:rPr>
          <w:rFonts w:cs="Arial"/>
          <w:color w:val="auto"/>
          <w:sz w:val="24"/>
          <w:szCs w:val="24"/>
        </w:rPr>
        <w:t xml:space="preserve">III - utilização de dados de pesquisa publicada em mídia especializada, de tabela de referência formalmente aprovada pelo Poder Executivo federal e de </w:t>
      </w:r>
      <w:r>
        <w:rPr>
          <w:rFonts w:cs="Arial"/>
          <w:b/>
          <w:color w:val="auto"/>
          <w:sz w:val="24"/>
          <w:szCs w:val="24"/>
          <w:u w:val="single"/>
        </w:rPr>
        <w:t>sítios eletrônicos especializados ou de domínio amplo</w:t>
      </w:r>
      <w:r>
        <w:rPr>
          <w:rFonts w:cs="Arial"/>
          <w:color w:val="auto"/>
          <w:sz w:val="24"/>
          <w:szCs w:val="24"/>
        </w:rPr>
        <w:t>, desde que contenham a data e hora de acesso;</w:t>
      </w:r>
    </w:p>
    <w:p>
      <w:pPr>
        <w:pStyle w:val="Normal"/>
        <w:spacing w:before="225" w:after="225"/>
        <w:ind w:left="2835" w:right="-737"/>
        <w:jc w:val="both"/>
        <w:rPr>
          <w:rFonts w:ascii="Arial" w:hAnsi="Arial"/>
          <w:sz w:val="24"/>
          <w:szCs w:val="24"/>
        </w:rPr>
      </w:pPr>
      <w:bookmarkStart w:id="30" w:name="art23§1i"/>
      <w:bookmarkStart w:id="31" w:name="art23§1iv"/>
      <w:bookmarkEnd w:id="30"/>
      <w:bookmarkEnd w:id="31"/>
      <w:r>
        <w:rPr>
          <w:rFonts w:cs="Arial"/>
          <w:color w:val="auto"/>
          <w:sz w:val="24"/>
          <w:szCs w:val="24"/>
        </w:rPr>
        <w:t xml:space="preserve">IV - pesquisa direta com no mínimo 03 (três) fornecedores, mediante solicitação formal de cotação, </w:t>
      </w:r>
      <w:r>
        <w:rPr>
          <w:rFonts w:cs="Arial"/>
          <w:b/>
          <w:color w:val="auto"/>
          <w:sz w:val="24"/>
          <w:szCs w:val="24"/>
          <w:u w:val="single"/>
        </w:rPr>
        <w:t>desde que seja apresentada justificativa da escolha desses fornecedores</w:t>
      </w:r>
      <w:r>
        <w:rPr>
          <w:rFonts w:cs="Arial"/>
          <w:color w:val="auto"/>
          <w:sz w:val="24"/>
          <w:szCs w:val="24"/>
        </w:rPr>
        <w:t xml:space="preserve"> e que não tenham sido obtidos os orçamentos com mais de 06 (seis) meses de antecedência da data de divulgação do edital...”</w:t>
      </w:r>
    </w:p>
    <w:p>
      <w:pPr>
        <w:pStyle w:val="Normal"/>
        <w:widowControl/>
        <w:bidi w:val="0"/>
        <w:spacing w:before="225" w:after="225"/>
        <w:ind w:hanging="0" w:left="0" w:right="0"/>
        <w:jc w:val="both"/>
        <w:rPr>
          <w:rFonts w:ascii="Arial" w:hAnsi="Arial"/>
          <w:sz w:val="24"/>
          <w:szCs w:val="24"/>
        </w:rPr>
      </w:pPr>
      <w:r>
        <w:rPr>
          <w:rFonts w:cs="Arial"/>
          <w:color w:val="auto"/>
          <w:sz w:val="24"/>
          <w:szCs w:val="24"/>
        </w:rPr>
        <w:t xml:space="preserve"> </w:t>
      </w:r>
      <w:r>
        <w:rPr>
          <w:rFonts w:cs="Arial"/>
          <w:color w:val="auto"/>
          <w:sz w:val="24"/>
          <w:szCs w:val="24"/>
        </w:rPr>
        <w:tab/>
        <w:t xml:space="preserve">Por se tratar de uma licitação exclusiva para </w:t>
      </w:r>
      <w:r>
        <w:rPr>
          <w:rFonts w:cs="Arial"/>
          <w:b/>
          <w:bCs/>
          <w:color w:val="auto"/>
          <w:sz w:val="24"/>
          <w:szCs w:val="24"/>
        </w:rPr>
        <w:t xml:space="preserve">ME/EPP/EQUIPARADAS </w:t>
      </w:r>
      <w:r>
        <w:rPr>
          <w:rFonts w:cs="Arial"/>
          <w:bCs/>
          <w:color w:val="auto"/>
          <w:sz w:val="24"/>
          <w:szCs w:val="24"/>
        </w:rPr>
        <w:t>e</w:t>
      </w:r>
      <w:r>
        <w:rPr>
          <w:rFonts w:cs="Arial"/>
          <w:b/>
          <w:bCs/>
          <w:color w:val="auto"/>
          <w:sz w:val="24"/>
          <w:szCs w:val="24"/>
        </w:rPr>
        <w:t xml:space="preserve"> </w:t>
      </w:r>
      <w:r>
        <w:rPr>
          <w:rFonts w:cs="Arial"/>
          <w:bCs/>
          <w:color w:val="auto"/>
          <w:sz w:val="24"/>
          <w:szCs w:val="24"/>
        </w:rPr>
        <w:t xml:space="preserve">pelo quantitativo dos itens a serem licitados serem baixos não encontramos </w:t>
      </w:r>
      <w:r>
        <w:rPr>
          <w:rFonts w:cs="Arial"/>
          <w:b/>
          <w:color w:val="auto"/>
          <w:sz w:val="24"/>
          <w:szCs w:val="24"/>
          <w:u w:val="single"/>
        </w:rPr>
        <w:t>contratações similares feitas pela Administração Pública</w:t>
      </w:r>
      <w:r>
        <w:rPr>
          <w:rFonts w:cs="Arial"/>
          <w:color w:val="auto"/>
          <w:sz w:val="24"/>
          <w:szCs w:val="24"/>
        </w:rPr>
        <w:t xml:space="preserve">, em execução ou concluídas no período de 01 (um) ano anterior à data da pesquisa de preços, as quantidades e as Regiões diferem-se da nossa, portanto não há como a usar como base de cálculo para nossa pesquisa mercadológica. </w:t>
      </w:r>
    </w:p>
    <w:p>
      <w:pPr>
        <w:pStyle w:val="Normal"/>
        <w:widowControl/>
        <w:bidi w:val="0"/>
        <w:spacing w:before="225" w:after="225"/>
        <w:ind w:hanging="0" w:left="0" w:right="0"/>
        <w:jc w:val="both"/>
        <w:rPr>
          <w:rFonts w:ascii="Arial" w:hAnsi="Arial"/>
          <w:sz w:val="24"/>
          <w:szCs w:val="24"/>
        </w:rPr>
      </w:pPr>
      <w:r>
        <w:rPr>
          <w:rFonts w:cs="Arial"/>
          <w:color w:val="auto"/>
          <w:sz w:val="24"/>
          <w:szCs w:val="24"/>
        </w:rPr>
        <w:tab/>
        <w:t xml:space="preserve">Já nos </w:t>
      </w:r>
      <w:r>
        <w:rPr>
          <w:rFonts w:cs="Arial"/>
          <w:b/>
          <w:color w:val="auto"/>
          <w:sz w:val="24"/>
          <w:szCs w:val="24"/>
          <w:u w:val="single"/>
        </w:rPr>
        <w:t>sítios eletrônicos especializados ou de domínio amplo</w:t>
      </w:r>
      <w:r>
        <w:rPr>
          <w:rFonts w:cs="Arial"/>
          <w:color w:val="auto"/>
          <w:sz w:val="24"/>
          <w:szCs w:val="24"/>
        </w:rPr>
        <w:t xml:space="preserve"> não conseguimos êxito e por tanto não anexamos os valores destes.</w:t>
      </w:r>
    </w:p>
    <w:p>
      <w:pPr>
        <w:pStyle w:val="Normal"/>
        <w:widowControl/>
        <w:suppressAutoHyphens w:val="false"/>
        <w:bidi w:val="0"/>
        <w:spacing w:lineRule="auto" w:line="276" w:before="225" w:after="225"/>
        <w:ind w:hanging="0" w:left="0" w:right="57"/>
        <w:jc w:val="both"/>
        <w:rPr>
          <w:rFonts w:ascii="Arial" w:hAnsi="Arial"/>
          <w:sz w:val="24"/>
          <w:szCs w:val="24"/>
        </w:rPr>
      </w:pPr>
      <w:r>
        <w:rPr>
          <w:color w:val="auto"/>
          <w:sz w:val="24"/>
          <w:szCs w:val="24"/>
        </w:rPr>
        <w:tab/>
      </w:r>
      <w:r>
        <w:rPr>
          <w:rFonts w:eastAsia="Times New Roman" w:cs="Arial"/>
          <w:color w:val="auto"/>
          <w:kern w:val="0"/>
          <w:sz w:val="24"/>
          <w:szCs w:val="24"/>
          <w:lang w:val="pt-BR" w:eastAsia="pt-BR" w:bidi="ar-SA"/>
        </w:rPr>
        <w:t>Além disso, não foi localizada nenhuma nota fiscal que pudesse servir como referência de pesquisa para atender à nossa necessidade.</w:t>
        <w:tab/>
      </w:r>
    </w:p>
    <w:p>
      <w:pPr>
        <w:pStyle w:val="Normal"/>
        <w:widowControl/>
        <w:bidi w:val="0"/>
        <w:spacing w:before="225" w:after="225"/>
        <w:ind w:hanging="0" w:left="0" w:right="0"/>
        <w:jc w:val="both"/>
        <w:rPr>
          <w:rFonts w:ascii="Arial" w:hAnsi="Arial"/>
          <w:sz w:val="24"/>
          <w:szCs w:val="24"/>
        </w:rPr>
      </w:pPr>
      <w:r>
        <w:rPr>
          <w:rFonts w:cs="Arial"/>
          <w:bCs/>
          <w:color w:val="auto"/>
          <w:sz w:val="24"/>
          <w:szCs w:val="24"/>
        </w:rPr>
        <w:t xml:space="preserve"> </w:t>
      </w:r>
      <w:r>
        <w:rPr>
          <w:rFonts w:cs="Arial"/>
          <w:bCs/>
          <w:color w:val="auto"/>
          <w:sz w:val="24"/>
          <w:szCs w:val="24"/>
        </w:rPr>
        <w:tab/>
        <w:t>Quanto ao fornecedor físico escolhido o mesmo se encontra em nossa</w:t>
      </w:r>
      <w:r>
        <w:rPr>
          <w:rFonts w:cs="Arial"/>
          <w:b/>
          <w:bCs/>
          <w:color w:val="auto"/>
          <w:sz w:val="24"/>
          <w:szCs w:val="24"/>
        </w:rPr>
        <w:t xml:space="preserve"> REGIÃO</w:t>
      </w:r>
      <w:r>
        <w:rPr>
          <w:rFonts w:cs="Arial"/>
          <w:bCs/>
          <w:color w:val="auto"/>
          <w:sz w:val="24"/>
          <w:szCs w:val="24"/>
        </w:rPr>
        <w:t>, digo:</w:t>
      </w:r>
      <w:r>
        <w:rPr>
          <w:rFonts w:cs="Arial"/>
          <w:b/>
          <w:bCs/>
          <w:color w:val="auto"/>
          <w:sz w:val="24"/>
          <w:szCs w:val="24"/>
        </w:rPr>
        <w:t xml:space="preserve"> Yago Dantas da Costa (localizado em Valença/RJ)</w:t>
      </w:r>
      <w:r>
        <w:rPr>
          <w:rFonts w:cs="Arial"/>
          <w:bCs/>
          <w:color w:val="auto"/>
          <w:sz w:val="24"/>
          <w:szCs w:val="24"/>
        </w:rPr>
        <w:t xml:space="preserve">, </w:t>
      </w:r>
      <w:r>
        <w:rPr>
          <w:rFonts w:cs="Arial"/>
          <w:b/>
          <w:bCs/>
          <w:color w:val="000000"/>
          <w:sz w:val="24"/>
          <w:szCs w:val="24"/>
        </w:rPr>
        <w:t>ACR Representações LTDA</w:t>
      </w:r>
      <w:r>
        <w:rPr>
          <w:rFonts w:cs="Arial"/>
          <w:bCs/>
          <w:color w:val="auto"/>
          <w:sz w:val="24"/>
          <w:szCs w:val="24"/>
        </w:rPr>
        <w:t xml:space="preserve"> </w:t>
      </w:r>
      <w:r>
        <w:rPr>
          <w:rFonts w:cs="Arial"/>
          <w:b/>
          <w:bCs/>
          <w:color w:val="auto"/>
          <w:sz w:val="24"/>
          <w:szCs w:val="24"/>
        </w:rPr>
        <w:t>(localizado em Valença/RJ)</w:t>
      </w:r>
      <w:r>
        <w:rPr>
          <w:rFonts w:cs="Arial"/>
          <w:bCs/>
          <w:color w:val="auto"/>
          <w:sz w:val="24"/>
          <w:szCs w:val="24"/>
        </w:rPr>
        <w:t xml:space="preserve"> o que expressa de forma ampla nossa realidade de mercado e como no </w:t>
      </w:r>
      <w:r>
        <w:rPr>
          <w:rFonts w:cs="Arial"/>
          <w:b/>
          <w:bCs/>
          <w:color w:val="auto"/>
          <w:sz w:val="24"/>
          <w:szCs w:val="24"/>
          <w:u w:val="single"/>
        </w:rPr>
        <w:t>painel de consulta de preços</w:t>
      </w:r>
      <w:r>
        <w:rPr>
          <w:rFonts w:cs="Arial"/>
          <w:bCs/>
          <w:color w:val="auto"/>
          <w:sz w:val="24"/>
          <w:szCs w:val="24"/>
        </w:rPr>
        <w:t xml:space="preserve"> e nas </w:t>
      </w:r>
      <w:r>
        <w:rPr>
          <w:rFonts w:cs="Arial"/>
          <w:b/>
          <w:color w:val="auto"/>
          <w:sz w:val="24"/>
          <w:szCs w:val="24"/>
          <w:u w:val="single"/>
        </w:rPr>
        <w:t>contratações similares feitas pela Administração Pública</w:t>
      </w:r>
      <w:r>
        <w:rPr>
          <w:rFonts w:cs="Arial"/>
          <w:color w:val="auto"/>
          <w:sz w:val="24"/>
          <w:szCs w:val="24"/>
        </w:rPr>
        <w:t xml:space="preserve"> os valores já foram reduzidos pela fase de lances e pela fase de negociação estes não expressaram o real valor de comercialização.</w:t>
      </w:r>
    </w:p>
    <w:p>
      <w:pPr>
        <w:pStyle w:val="Normal"/>
        <w:widowControl/>
        <w:bidi w:val="0"/>
        <w:spacing w:before="225" w:after="225"/>
        <w:ind w:hanging="0" w:left="0" w:right="0"/>
        <w:jc w:val="both"/>
        <w:rPr>
          <w:rFonts w:ascii="Arial" w:hAnsi="Arial"/>
          <w:sz w:val="24"/>
          <w:szCs w:val="24"/>
        </w:rPr>
      </w:pPr>
      <w:r>
        <w:rPr>
          <w:color w:val="auto"/>
          <w:sz w:val="24"/>
          <w:szCs w:val="24"/>
        </w:rPr>
        <w:t xml:space="preserve"> </w:t>
      </w:r>
      <w:r>
        <w:rPr>
          <w:color w:val="auto"/>
          <w:sz w:val="24"/>
          <w:szCs w:val="24"/>
        </w:rPr>
        <w:tab/>
        <w:t xml:space="preserve">Concluímos então que a escolha dos </w:t>
      </w:r>
      <w:r>
        <w:rPr>
          <w:b/>
          <w:color w:val="auto"/>
          <w:sz w:val="24"/>
          <w:szCs w:val="24"/>
          <w:u w:val="single"/>
        </w:rPr>
        <w:t>fornecedores físicos</w:t>
      </w:r>
      <w:r>
        <w:rPr>
          <w:b/>
          <w:color w:val="auto"/>
          <w:sz w:val="24"/>
          <w:szCs w:val="24"/>
        </w:rPr>
        <w:t xml:space="preserve"> </w:t>
      </w:r>
      <w:r>
        <w:rPr>
          <w:color w:val="auto"/>
          <w:sz w:val="24"/>
          <w:szCs w:val="24"/>
        </w:rPr>
        <w:t xml:space="preserve">combinados com a </w:t>
      </w:r>
      <w:r>
        <w:rPr>
          <w:b/>
          <w:bCs/>
          <w:color w:val="auto"/>
          <w:sz w:val="24"/>
          <w:szCs w:val="24"/>
          <w:u w:val="single"/>
        </w:rPr>
        <w:t>pesquisa no painel de preços</w:t>
      </w:r>
      <w:r>
        <w:rPr>
          <w:color w:val="auto"/>
          <w:sz w:val="24"/>
          <w:szCs w:val="24"/>
        </w:rPr>
        <w:t xml:space="preserve"> foi a opção possível levando em consideração as quantidades dos produtos, a logística que o fornecedor terá que arcar e os preços não terem sido reduzidos por lances e negociações anteriores. </w:t>
      </w:r>
    </w:p>
    <w:p>
      <w:pPr>
        <w:pStyle w:val="ListParagraph"/>
        <w:widowControl/>
        <w:tabs>
          <w:tab w:val="clear" w:pos="720"/>
          <w:tab w:val="left" w:pos="426" w:leader="none"/>
        </w:tabs>
        <w:bidi w:val="0"/>
        <w:spacing w:lineRule="auto" w:line="276"/>
        <w:ind w:left="0"/>
        <w:jc w:val="both"/>
        <w:rPr>
          <w:rFonts w:ascii="Arial" w:hAnsi="Arial"/>
          <w:sz w:val="24"/>
          <w:szCs w:val="24"/>
        </w:rPr>
      </w:pPr>
      <w:r>
        <w:rPr>
          <w:b/>
          <w:bCs/>
          <w:color w:val="auto"/>
          <w:sz w:val="24"/>
          <w:szCs w:val="24"/>
        </w:rPr>
        <w:t>15.8.</w:t>
      </w:r>
      <w:r>
        <w:rPr>
          <w:color w:val="FF0000"/>
          <w:sz w:val="24"/>
          <w:szCs w:val="24"/>
        </w:rPr>
        <w:t xml:space="preserve"> </w:t>
      </w:r>
      <w:r>
        <w:rPr>
          <w:rFonts w:eastAsia="Times New Roman" w:cs="Arial"/>
          <w:color w:val="auto"/>
          <w:sz w:val="24"/>
          <w:szCs w:val="24"/>
          <w:lang w:val="pt-BR" w:eastAsia="pt-BR" w:bidi="ar-SA"/>
        </w:rPr>
        <w:t>Desde o ano de 2021, conforme a Lei Federal nº 14.133/2021, passou a ser obrigatória a previsão no Plano Anual de Contratações.</w:t>
      </w:r>
    </w:p>
    <w:p>
      <w:pPr>
        <w:pStyle w:val="ListParagraph"/>
        <w:widowControl/>
        <w:tabs>
          <w:tab w:val="clear" w:pos="720"/>
          <w:tab w:val="left" w:pos="426" w:leader="none"/>
        </w:tabs>
        <w:bidi w:val="0"/>
        <w:spacing w:lineRule="auto" w:line="276"/>
        <w:ind w:left="0"/>
        <w:jc w:val="both"/>
        <w:rPr>
          <w:rFonts w:ascii="Arial" w:hAnsi="Arial"/>
          <w:sz w:val="24"/>
          <w:szCs w:val="24"/>
        </w:rPr>
      </w:pPr>
      <w:r>
        <w:rPr>
          <w:rFonts w:eastAsia="Times New Roman" w:cs="Arial"/>
          <w:color w:val="auto"/>
          <w:sz w:val="24"/>
          <w:szCs w:val="24"/>
          <w:lang w:val="pt-BR" w:eastAsia="pt-BR" w:bidi="ar-SA"/>
        </w:rPr>
        <w:tab/>
        <w:t>Neste contexto que apresente a aquisição</w:t>
      </w:r>
      <w:r>
        <w:rPr>
          <w:rFonts w:eastAsia="Times New Roman" w:cs="Arial"/>
          <w:bCs/>
          <w:color w:val="auto"/>
          <w:kern w:val="0"/>
          <w:sz w:val="24"/>
          <w:szCs w:val="24"/>
          <w:lang w:val="pt-BR" w:eastAsia="pt-BR" w:bidi="ar-SA"/>
        </w:rPr>
        <w:t xml:space="preserve"> de bens permanentes (notebooks, tablets e celular) para o </w:t>
      </w:r>
      <w:r>
        <w:rPr>
          <w:rFonts w:eastAsia="Cambria" w:cs="Arial"/>
          <w:bCs/>
          <w:color w:val="000000"/>
          <w:kern w:val="0"/>
          <w:sz w:val="24"/>
          <w:szCs w:val="24"/>
          <w:lang w:val="pt-BR" w:eastAsia="pt-BR" w:bidi="ar-SA"/>
        </w:rPr>
        <w:t>Cadastro Único</w:t>
      </w:r>
      <w:r>
        <w:rPr>
          <w:rFonts w:eastAsia="Times New Roman" w:cs="Arial"/>
          <w:bCs/>
          <w:color w:val="auto"/>
          <w:kern w:val="0"/>
          <w:sz w:val="24"/>
          <w:szCs w:val="24"/>
          <w:lang w:val="pt-BR" w:eastAsia="pt-BR" w:bidi="ar-SA"/>
        </w:rPr>
        <w:t xml:space="preserve">, </w:t>
      </w:r>
      <w:r>
        <w:rPr>
          <w:rFonts w:eastAsia="Times New Roman" w:cs="Arial"/>
          <w:color w:val="auto"/>
          <w:sz w:val="24"/>
          <w:szCs w:val="24"/>
          <w:lang w:val="pt-BR" w:eastAsia="pt-BR" w:bidi="ar-SA"/>
        </w:rPr>
        <w:t xml:space="preserve">não foi devidamente incluída na última revisão realizada no plano, uma vez que a necessidade desses itens somente se evidenciou no exercício corrente. </w:t>
      </w:r>
    </w:p>
    <w:p>
      <w:pPr>
        <w:pStyle w:val="ListParagraph"/>
        <w:widowControl/>
        <w:tabs>
          <w:tab w:val="clear" w:pos="720"/>
          <w:tab w:val="left" w:pos="426" w:leader="none"/>
        </w:tabs>
        <w:bidi w:val="0"/>
        <w:spacing w:lineRule="auto" w:line="276"/>
        <w:ind w:left="0"/>
        <w:jc w:val="both"/>
        <w:rPr>
          <w:rFonts w:ascii="Arial" w:hAnsi="Arial"/>
          <w:sz w:val="24"/>
          <w:szCs w:val="24"/>
        </w:rPr>
      </w:pPr>
      <w:r>
        <w:rPr>
          <w:rFonts w:eastAsia="Times New Roman" w:cs="Arial"/>
          <w:color w:val="auto"/>
          <w:sz w:val="24"/>
          <w:szCs w:val="24"/>
          <w:lang w:val="pt-BR" w:eastAsia="pt-BR" w:bidi="ar-SA"/>
        </w:rPr>
        <w:tab/>
        <w:t>Deve-se observar, portanto, que a referida compra dos itens solicitados ainda carece, no presente momento, de aprovação pela autoridade competente, o que se faz necessário previamente antes da contratação efetiva do objeto.</w:t>
      </w:r>
    </w:p>
    <w:p>
      <w:pPr>
        <w:pStyle w:val="ListParagraph"/>
        <w:widowControl/>
        <w:tabs>
          <w:tab w:val="clear" w:pos="720"/>
          <w:tab w:val="left" w:pos="426" w:leader="none"/>
        </w:tabs>
        <w:bidi w:val="0"/>
        <w:ind w:left="0"/>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ListParagraph"/>
        <w:tabs>
          <w:tab w:val="clear" w:pos="720"/>
          <w:tab w:val="left" w:pos="426" w:leader="none"/>
        </w:tabs>
        <w:ind w:left="0"/>
        <w:jc w:val="both"/>
        <w:rPr>
          <w:rFonts w:ascii="Arial" w:hAnsi="Arial"/>
          <w:sz w:val="24"/>
          <w:szCs w:val="24"/>
        </w:rPr>
      </w:pPr>
      <w:r>
        <w:rPr>
          <w:b/>
          <w:sz w:val="24"/>
          <w:szCs w:val="24"/>
        </w:rPr>
        <w:t xml:space="preserve">15.9. </w:t>
      </w:r>
      <w:r>
        <w:rPr>
          <w:b w:val="false"/>
          <w:bCs w:val="false"/>
          <w:sz w:val="24"/>
          <w:szCs w:val="24"/>
        </w:rPr>
        <w:t>Autorizo a realização do procedimento.</w:t>
      </w:r>
    </w:p>
    <w:p>
      <w:pPr>
        <w:pStyle w:val="Normal"/>
        <w:tabs>
          <w:tab w:val="clear" w:pos="720"/>
          <w:tab w:val="left" w:pos="851" w:leader="none"/>
        </w:tabs>
        <w:spacing w:lineRule="auto" w:line="276"/>
        <w:jc w:val="both"/>
        <w:rPr>
          <w:rFonts w:ascii="Arial" w:hAnsi="Arial" w:cs="Arial"/>
          <w:sz w:val="24"/>
          <w:szCs w:val="24"/>
        </w:rPr>
      </w:pPr>
      <w:r>
        <w:rPr>
          <w:rFonts w:cs="Arial"/>
          <w:sz w:val="24"/>
          <w:szCs w:val="24"/>
        </w:rPr>
      </w:r>
    </w:p>
    <w:p>
      <w:pPr>
        <w:pStyle w:val="ListParagraph"/>
        <w:tabs>
          <w:tab w:val="clear" w:pos="720"/>
          <w:tab w:val="left" w:pos="426" w:leader="none"/>
        </w:tabs>
        <w:jc w:val="both"/>
        <w:rPr>
          <w:rFonts w:ascii="Arial" w:hAnsi="Arial"/>
          <w:sz w:val="24"/>
          <w:szCs w:val="24"/>
        </w:rPr>
      </w:pPr>
      <w:r>
        <w:rPr>
          <w:rFonts w:cs="Arial"/>
          <w:sz w:val="24"/>
          <w:szCs w:val="24"/>
        </w:rPr>
        <w:t xml:space="preserve">                                                                                   </w:t>
      </w:r>
    </w:p>
    <w:p>
      <w:pPr>
        <w:pStyle w:val="Normal"/>
        <w:jc w:val="center"/>
        <w:rPr>
          <w:rFonts w:ascii="Arial" w:hAnsi="Arial"/>
          <w:sz w:val="24"/>
          <w:szCs w:val="24"/>
        </w:rPr>
      </w:pPr>
      <w:r>
        <w:rPr>
          <w:rFonts w:cs="Arial"/>
          <w:sz w:val="24"/>
          <w:szCs w:val="24"/>
        </w:rPr>
        <w:t xml:space="preserve">                                                                   </w:t>
      </w:r>
      <w:r>
        <w:rPr>
          <w:rFonts w:cs="Arial"/>
          <w:sz w:val="24"/>
          <w:szCs w:val="24"/>
        </w:rPr>
        <w:t>Rio das Flôres, 27 de maio de 2026.</w:t>
      </w:r>
    </w:p>
    <w:p>
      <w:pPr>
        <w:pStyle w:val="Normal"/>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spacing w:lineRule="atLeast" w:line="280" w:before="120" w:after="480"/>
        <w:jc w:val="center"/>
        <w:rPr>
          <w:sz w:val="24"/>
          <w:szCs w:val="24"/>
        </w:rPr>
      </w:pPr>
      <w:r>
        <w:rPr>
          <w:b/>
          <w:bCs/>
          <w:sz w:val="24"/>
          <w:szCs w:val="24"/>
        </w:rPr>
        <w:t>ANEXO III - MODELO DE DECLARAÇÃO UNIFICADA</w:t>
      </w:r>
    </w:p>
    <w:p>
      <w:pPr>
        <w:pStyle w:val="Normal"/>
        <w:spacing w:lineRule="atLeast" w:line="280" w:before="0" w:after="0"/>
        <w:rPr>
          <w:sz w:val="24"/>
          <w:szCs w:val="24"/>
        </w:rPr>
      </w:pPr>
      <w:r>
        <w:rPr>
          <w:b/>
          <w:sz w:val="24"/>
          <w:szCs w:val="24"/>
        </w:rPr>
        <w:t>Processo Administrativo nº 3699/2026.</w:t>
      </w:r>
    </w:p>
    <w:p>
      <w:pPr>
        <w:pStyle w:val="Normal"/>
        <w:spacing w:lineRule="atLeast" w:line="280" w:before="0" w:after="0"/>
        <w:rPr>
          <w:sz w:val="24"/>
          <w:szCs w:val="24"/>
        </w:rPr>
      </w:pPr>
      <w:r>
        <w:rPr>
          <w:b/>
          <w:sz w:val="24"/>
          <w:szCs w:val="24"/>
        </w:rPr>
        <w:t>Dispensa Eletrônica nº 003/2026.</w:t>
      </w:r>
    </w:p>
    <w:p>
      <w:pPr>
        <w:pStyle w:val="Normal"/>
        <w:spacing w:lineRule="atLeast" w:line="280" w:before="0" w:after="0"/>
        <w:rPr>
          <w:sz w:val="24"/>
          <w:szCs w:val="24"/>
        </w:rPr>
      </w:pPr>
      <w:r>
        <w:rPr>
          <w:sz w:val="24"/>
          <w:szCs w:val="24"/>
        </w:rPr>
        <w:t xml:space="preserve">Rua Cel. Eurico de Castro, nº 14 – Centro, Rio das Flôres – RJ. </w:t>
      </w:r>
    </w:p>
    <w:p>
      <w:pPr>
        <w:pStyle w:val="BodyText"/>
        <w:spacing w:before="146" w:after="120"/>
        <w:ind w:right="34"/>
        <w:jc w:val="center"/>
        <w:rPr>
          <w:sz w:val="24"/>
          <w:szCs w:val="24"/>
        </w:rPr>
      </w:pPr>
      <w:r>
        <w:rPr>
          <w:sz w:val="24"/>
          <w:szCs w:val="24"/>
        </w:rPr>
        <w:t xml:space="preserve"> </w:t>
      </w:r>
      <w:r>
        <w:rPr>
          <w:sz w:val="24"/>
          <w:szCs w:val="24"/>
        </w:rPr>
        <w:t>(Papel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r>
    </w:p>
    <w:p>
      <w:pPr>
        <w:pStyle w:val="BodyText"/>
        <w:tabs>
          <w:tab w:val="clear" w:pos="720"/>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 empresa</w:t>
      </w:r>
      <w:r>
        <w:rPr>
          <w:sz w:val="24"/>
          <w:szCs w:val="24"/>
          <w:u w:val="single"/>
        </w:rPr>
        <w:t xml:space="preserve"> _____</w:t>
      </w:r>
      <w:r>
        <w:rPr>
          <w:sz w:val="24"/>
          <w:szCs w:val="24"/>
        </w:rPr>
        <w:t>,sediada na Rua</w:t>
      </w:r>
      <w:r>
        <w:rPr>
          <w:sz w:val="24"/>
          <w:szCs w:val="24"/>
          <w:u w:val="single"/>
        </w:rPr>
        <w:t xml:space="preserve"> _______</w:t>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_____</w:t>
      </w:r>
      <w:r>
        <w:rPr>
          <w:sz w:val="24"/>
          <w:szCs w:val="24"/>
        </w:rPr>
        <w:t>,na</w:t>
      </w:r>
      <w:r>
        <w:rPr>
          <w:spacing w:val="65"/>
          <w:sz w:val="24"/>
          <w:szCs w:val="24"/>
        </w:rPr>
        <w:t xml:space="preserve"> </w:t>
      </w:r>
      <w:r>
        <w:rPr>
          <w:sz w:val="24"/>
          <w:szCs w:val="24"/>
        </w:rPr>
        <w:t>cidade de</w:t>
      </w:r>
      <w:r>
        <w:rPr>
          <w:sz w:val="24"/>
          <w:szCs w:val="24"/>
          <w:u w:val="single"/>
        </w:rPr>
        <w:t xml:space="preserve"> ___</w:t>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inscrita no Cadastro N</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tab/>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 xml:space="preserve">o(a) </w:t>
      </w:r>
      <w:r>
        <w:rPr>
          <w:spacing w:val="-59"/>
          <w:sz w:val="24"/>
          <w:szCs w:val="24"/>
        </w:rPr>
        <w:t xml:space="preserve">  </w:t>
      </w:r>
      <w:r>
        <w:rPr>
          <w:sz w:val="24"/>
          <w:szCs w:val="24"/>
        </w:rPr>
        <w:t>Sr(a).</w:t>
      </w:r>
      <w:r>
        <w:rPr>
          <w:sz w:val="24"/>
          <w:szCs w:val="24"/>
          <w:u w:val="single"/>
        </w:rPr>
        <w:tab/>
        <w:t>____________</w:t>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t xml:space="preserve"> </w:t>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sz w:val="24"/>
          <w:szCs w:val="24"/>
        </w:rPr>
        <w:t>- Para cumprimento do disposto no inciso XXXIII do art. 7º da Constituição Federal,</w:t>
      </w:r>
      <w:r>
        <w:rPr>
          <w:spacing w:val="1"/>
          <w:sz w:val="24"/>
          <w:szCs w:val="24"/>
        </w:rPr>
        <w:t xml:space="preserve"> </w:t>
      </w:r>
      <w:r>
        <w:rPr>
          <w:b/>
          <w:sz w:val="24"/>
          <w:szCs w:val="24"/>
        </w:rPr>
        <w:t>NÃO</w:t>
      </w:r>
      <w:r>
        <w:rPr>
          <w:b/>
          <w:spacing w:val="1"/>
          <w:sz w:val="24"/>
          <w:szCs w:val="24"/>
        </w:rPr>
        <w:t xml:space="preserve"> </w:t>
      </w:r>
      <w:r>
        <w:rPr>
          <w:b/>
          <w:sz w:val="24"/>
          <w:szCs w:val="24"/>
        </w:rPr>
        <w:t>EMPREGAMOS</w:t>
      </w:r>
      <w:r>
        <w:rPr>
          <w:b/>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DEZOITO</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TRABALHO</w:t>
      </w:r>
      <w:r>
        <w:rPr>
          <w:b/>
          <w:spacing w:val="1"/>
          <w:sz w:val="24"/>
          <w:szCs w:val="24"/>
        </w:rPr>
        <w:t xml:space="preserve"> </w:t>
      </w:r>
      <w:r>
        <w:rPr>
          <w:b/>
          <w:sz w:val="24"/>
          <w:szCs w:val="24"/>
        </w:rPr>
        <w:t>NOTURNO</w:t>
      </w:r>
      <w:r>
        <w:rPr>
          <w:sz w:val="24"/>
          <w:szCs w:val="24"/>
        </w:rPr>
        <w:t>,</w:t>
      </w:r>
      <w:r>
        <w:rPr>
          <w:spacing w:val="1"/>
          <w:sz w:val="24"/>
          <w:szCs w:val="24"/>
        </w:rPr>
        <w:t xml:space="preserve"> </w:t>
      </w:r>
      <w:r>
        <w:rPr>
          <w:b/>
          <w:sz w:val="24"/>
          <w:szCs w:val="24"/>
        </w:rPr>
        <w:t>PERIGOSO</w:t>
      </w:r>
      <w:r>
        <w:rPr>
          <w:b/>
          <w:spacing w:val="1"/>
          <w:sz w:val="24"/>
          <w:szCs w:val="24"/>
        </w:rPr>
        <w:t xml:space="preserve"> </w:t>
      </w:r>
      <w:r>
        <w:rPr>
          <w:b/>
          <w:sz w:val="24"/>
          <w:szCs w:val="24"/>
        </w:rPr>
        <w:t>OU</w:t>
      </w:r>
      <w:r>
        <w:rPr>
          <w:b/>
          <w:spacing w:val="1"/>
          <w:sz w:val="24"/>
          <w:szCs w:val="24"/>
        </w:rPr>
        <w:t xml:space="preserve"> </w:t>
      </w:r>
      <w:r>
        <w:rPr>
          <w:b/>
          <w:sz w:val="24"/>
          <w:szCs w:val="24"/>
        </w:rPr>
        <w:t>INSALUBRE</w:t>
      </w:r>
      <w:r>
        <w:rPr>
          <w:spacing w:val="1"/>
          <w:sz w:val="24"/>
          <w:szCs w:val="24"/>
        </w:rPr>
        <w:t xml:space="preserve"> </w:t>
      </w:r>
      <w:r>
        <w:rPr>
          <w:sz w:val="24"/>
          <w:szCs w:val="24"/>
        </w:rPr>
        <w:t>E</w:t>
      </w:r>
      <w:r>
        <w:rPr>
          <w:spacing w:val="1"/>
          <w:sz w:val="24"/>
          <w:szCs w:val="24"/>
        </w:rPr>
        <w:t xml:space="preserve"> </w:t>
      </w:r>
      <w:r>
        <w:rPr>
          <w:sz w:val="24"/>
          <w:szCs w:val="24"/>
        </w:rPr>
        <w:t>NEM</w:t>
      </w:r>
      <w:r>
        <w:rPr>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DEZESSEIS</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QUALQUER</w:t>
      </w:r>
      <w:r>
        <w:rPr>
          <w:b/>
          <w:spacing w:val="1"/>
          <w:sz w:val="24"/>
          <w:szCs w:val="24"/>
        </w:rPr>
        <w:t xml:space="preserve"> </w:t>
      </w:r>
      <w:r>
        <w:rPr>
          <w:b/>
          <w:sz w:val="24"/>
          <w:szCs w:val="24"/>
        </w:rPr>
        <w:t>TRABALHO,</w:t>
      </w:r>
      <w:r>
        <w:rPr>
          <w:b/>
          <w:spacing w:val="1"/>
          <w:sz w:val="24"/>
          <w:szCs w:val="24"/>
        </w:rPr>
        <w:t xml:space="preserve"> </w:t>
      </w:r>
      <w:r>
        <w:rPr>
          <w:b/>
          <w:sz w:val="24"/>
          <w:szCs w:val="24"/>
        </w:rPr>
        <w:t>SALVO</w:t>
      </w:r>
      <w:r>
        <w:rPr>
          <w:b/>
          <w:spacing w:val="1"/>
          <w:sz w:val="24"/>
          <w:szCs w:val="24"/>
        </w:rPr>
        <w:t xml:space="preserve"> </w:t>
      </w:r>
      <w:r>
        <w:rPr>
          <w:b/>
          <w:sz w:val="24"/>
          <w:szCs w:val="24"/>
        </w:rPr>
        <w:t>NA</w:t>
      </w:r>
      <w:r>
        <w:rPr>
          <w:b/>
          <w:spacing w:val="1"/>
          <w:sz w:val="24"/>
          <w:szCs w:val="24"/>
        </w:rPr>
        <w:t xml:space="preserve"> </w:t>
      </w:r>
      <w:r>
        <w:rPr>
          <w:b/>
          <w:sz w:val="24"/>
          <w:szCs w:val="24"/>
        </w:rPr>
        <w:t>CONDIÇÃO DE APRENDIZ</w:t>
      </w:r>
      <w:r>
        <w:rPr>
          <w:sz w:val="24"/>
          <w:szCs w:val="24"/>
        </w:rPr>
        <w:t>, a partir dos quatorze anos de idade, em cumprimento ao</w:t>
      </w:r>
      <w:r>
        <w:rPr>
          <w:spacing w:val="1"/>
          <w:sz w:val="24"/>
          <w:szCs w:val="24"/>
        </w:rPr>
        <w:t xml:space="preserve"> </w:t>
      </w:r>
      <w:r>
        <w:rPr>
          <w:sz w:val="24"/>
          <w:szCs w:val="24"/>
        </w:rPr>
        <w:t>que</w:t>
      </w:r>
      <w:r>
        <w:rPr>
          <w:spacing w:val="-2"/>
          <w:sz w:val="24"/>
          <w:szCs w:val="24"/>
        </w:rPr>
        <w:t xml:space="preserve"> </w:t>
      </w:r>
      <w:r>
        <w:rPr>
          <w:sz w:val="24"/>
          <w:szCs w:val="24"/>
        </w:rPr>
        <w:t>determina</w:t>
      </w:r>
      <w:r>
        <w:rPr>
          <w:spacing w:val="-2"/>
          <w:sz w:val="24"/>
          <w:szCs w:val="24"/>
        </w:rPr>
        <w:t xml:space="preserve"> </w:t>
      </w:r>
      <w:r>
        <w:rPr>
          <w:sz w:val="24"/>
          <w:szCs w:val="24"/>
        </w:rPr>
        <w:t>o</w:t>
      </w:r>
      <w:r>
        <w:rPr>
          <w:spacing w:val="-3"/>
          <w:sz w:val="24"/>
          <w:szCs w:val="24"/>
        </w:rPr>
        <w:t xml:space="preserve"> </w:t>
      </w:r>
      <w:r>
        <w:rPr>
          <w:sz w:val="24"/>
          <w:szCs w:val="24"/>
        </w:rPr>
        <w:t>inciso</w:t>
      </w:r>
      <w:r>
        <w:rPr>
          <w:spacing w:val="-1"/>
          <w:sz w:val="24"/>
          <w:szCs w:val="24"/>
        </w:rPr>
        <w:t xml:space="preserve"> </w:t>
      </w:r>
      <w:r>
        <w:rPr>
          <w:sz w:val="24"/>
          <w:szCs w:val="24"/>
        </w:rPr>
        <w:t>V</w:t>
      </w:r>
      <w:r>
        <w:rPr>
          <w:spacing w:val="-5"/>
          <w:sz w:val="24"/>
          <w:szCs w:val="24"/>
        </w:rPr>
        <w:t xml:space="preserve"> </w:t>
      </w:r>
      <w:r>
        <w:rPr>
          <w:sz w:val="24"/>
          <w:szCs w:val="24"/>
        </w:rPr>
        <w:t>do</w:t>
      </w:r>
      <w:r>
        <w:rPr>
          <w:spacing w:val="-3"/>
          <w:sz w:val="24"/>
          <w:szCs w:val="24"/>
        </w:rPr>
        <w:t xml:space="preserve"> </w:t>
      </w:r>
      <w:r>
        <w:rPr>
          <w:sz w:val="24"/>
          <w:szCs w:val="24"/>
        </w:rPr>
        <w:t>art.</w:t>
      </w:r>
      <w:r>
        <w:rPr>
          <w:spacing w:val="-4"/>
          <w:sz w:val="24"/>
          <w:szCs w:val="24"/>
        </w:rPr>
        <w:t xml:space="preserve"> </w:t>
      </w:r>
      <w:r>
        <w:rPr>
          <w:sz w:val="24"/>
          <w:szCs w:val="24"/>
        </w:rPr>
        <w:t>27</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8.666/93,</w:t>
      </w:r>
      <w:r>
        <w:rPr>
          <w:spacing w:val="-4"/>
          <w:sz w:val="24"/>
          <w:szCs w:val="24"/>
        </w:rPr>
        <w:t xml:space="preserve"> </w:t>
      </w:r>
      <w:r>
        <w:rPr>
          <w:sz w:val="24"/>
          <w:szCs w:val="24"/>
        </w:rPr>
        <w:t>acrescida</w:t>
      </w:r>
      <w:r>
        <w:rPr>
          <w:spacing w:val="-1"/>
          <w:sz w:val="24"/>
          <w:szCs w:val="24"/>
        </w:rPr>
        <w:t xml:space="preserve"> </w:t>
      </w:r>
      <w:r>
        <w:rPr>
          <w:sz w:val="24"/>
          <w:szCs w:val="24"/>
        </w:rPr>
        <w:t>pela</w:t>
      </w:r>
      <w:r>
        <w:rPr>
          <w:spacing w:val="-4"/>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9.854/99;</w:t>
      </w:r>
    </w:p>
    <w:p>
      <w:pPr>
        <w:pStyle w:val="ListParagraph"/>
        <w:widowControl w:val="false"/>
        <w:tabs>
          <w:tab w:val="clear" w:pos="720"/>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b/>
          <w:sz w:val="24"/>
          <w:szCs w:val="24"/>
        </w:rPr>
        <w:t xml:space="preserve">Não POSSUÍMOS POSSUO </w:t>
      </w:r>
      <w:r>
        <w:rPr>
          <w:rFonts w:eastAsia="Calibri" w:eastAsiaTheme="minorHAnsi"/>
          <w:b/>
          <w:sz w:val="24"/>
          <w:szCs w:val="24"/>
          <w:lang w:eastAsia="en-US"/>
        </w:rPr>
        <w:t>MATRIMÔNIO OU PARENTESCO, A FIM OU CONSANGUÍNEO, ATÉ O SEGUNDO GRAU, OU POR ADOÇÃO</w:t>
      </w:r>
      <w:r>
        <w:rPr>
          <w:sz w:val="24"/>
          <w:szCs w:val="24"/>
        </w:rPr>
        <w:t xml:space="preserve">, com o </w:t>
      </w:r>
      <w:r>
        <w:rPr>
          <w:rFonts w:eastAsia="Calibri"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p>
    <w:p>
      <w:pPr>
        <w:pStyle w:val="ListParagraph"/>
        <w:widowControl w:val="false"/>
        <w:tabs>
          <w:tab w:val="clear" w:pos="720"/>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b/>
          <w:sz w:val="24"/>
          <w:szCs w:val="24"/>
          <w:u w:val="single"/>
        </w:rPr>
        <w:t>Se</w:t>
      </w:r>
      <w:r>
        <w:rPr>
          <w:sz w:val="24"/>
          <w:szCs w:val="24"/>
          <w:u w:val="single"/>
        </w:rPr>
        <w:t xml:space="preserve"> </w:t>
      </w:r>
      <w:r>
        <w:rPr>
          <w:b/>
          <w:sz w:val="24"/>
          <w:szCs w:val="24"/>
          <w:u w:val="single"/>
        </w:rPr>
        <w:t>ENQUADRA NA</w:t>
      </w:r>
      <w:r>
        <w:rPr>
          <w:b/>
          <w:spacing w:val="1"/>
          <w:sz w:val="24"/>
          <w:szCs w:val="24"/>
          <w:u w:val="single"/>
        </w:rPr>
        <w:t xml:space="preserve"> </w:t>
      </w:r>
      <w:r>
        <w:rPr>
          <w:b/>
          <w:sz w:val="24"/>
          <w:szCs w:val="24"/>
          <w:u w:val="single"/>
        </w:rPr>
        <w:t>SITUAÇÃO DE MICROEMPRESA, EMPRESA DE PEQUENO PORTE OU COOPERATIVA, NOS TERMOS</w:t>
      </w:r>
      <w:r>
        <w:rPr>
          <w:b/>
          <w:spacing w:val="1"/>
          <w:sz w:val="24"/>
          <w:szCs w:val="24"/>
          <w:u w:val="single"/>
        </w:rPr>
        <w:t xml:space="preserve"> </w:t>
      </w:r>
      <w:r>
        <w:rPr>
          <w:b/>
          <w:sz w:val="24"/>
          <w:szCs w:val="24"/>
          <w:u w:val="single"/>
        </w:rPr>
        <w:t>DA LEI COMPLEMENTAR Nº 123/06, ALTERADA PELA LEI COMPLEMENTAR Nº 147/14</w:t>
      </w:r>
      <w:r>
        <w:rPr>
          <w:sz w:val="24"/>
          <w:szCs w:val="24"/>
        </w:rPr>
        <w:t>, sob as penas do artigo 299 do Código Penal bem</w:t>
      </w:r>
      <w:r>
        <w:rPr>
          <w:spacing w:val="1"/>
          <w:sz w:val="24"/>
          <w:szCs w:val="24"/>
        </w:rPr>
        <w:t xml:space="preserve"> </w:t>
      </w:r>
      <w:r>
        <w:rPr>
          <w:sz w:val="24"/>
          <w:szCs w:val="24"/>
        </w:rPr>
        <w:t xml:space="preserve">assim que inexistem fatos supervenientes que conduzam ao seu desenquadramento </w:t>
      </w:r>
      <w:r>
        <w:rPr>
          <w:spacing w:val="-58"/>
          <w:sz w:val="24"/>
          <w:szCs w:val="24"/>
        </w:rPr>
        <w:t xml:space="preserve"> </w:t>
      </w:r>
      <w:r>
        <w:rPr>
          <w:sz w:val="24"/>
          <w:szCs w:val="24"/>
        </w:rPr>
        <w:t>desta</w:t>
      </w:r>
      <w:r>
        <w:rPr>
          <w:spacing w:val="-3"/>
          <w:sz w:val="24"/>
          <w:szCs w:val="24"/>
        </w:rPr>
        <w:t xml:space="preserve"> </w:t>
      </w:r>
      <w:r>
        <w:rPr>
          <w:sz w:val="24"/>
          <w:szCs w:val="24"/>
        </w:rPr>
        <w:t>situação.</w:t>
      </w:r>
    </w:p>
    <w:p>
      <w:pPr>
        <w:pStyle w:val="ListParagraph"/>
        <w:rPr>
          <w:sz w:val="24"/>
          <w:szCs w:val="24"/>
        </w:rPr>
      </w:pPr>
      <w:r>
        <w:rPr>
          <w:sz w:val="24"/>
          <w:szCs w:val="24"/>
        </w:rPr>
      </w:r>
    </w:p>
    <w:p>
      <w:pPr>
        <w:pStyle w:val="ListParagraph"/>
        <w:widowControl w:val="false"/>
        <w:tabs>
          <w:tab w:val="clear" w:pos="720"/>
          <w:tab w:val="left" w:pos="1092" w:leader="none"/>
        </w:tabs>
        <w:spacing w:before="21" w:after="120"/>
        <w:ind w:left="0"/>
        <w:contextualSpacing w:val="false"/>
        <w:rPr>
          <w:sz w:val="24"/>
          <w:szCs w:val="24"/>
        </w:rPr>
      </w:pPr>
      <w:r>
        <w:rPr>
          <w:b/>
          <w:sz w:val="24"/>
          <w:szCs w:val="24"/>
        </w:rPr>
        <w:t>Obs¹:</w:t>
      </w:r>
      <w:r>
        <w:rPr>
          <w:sz w:val="24"/>
          <w:szCs w:val="24"/>
        </w:rPr>
        <w:t xml:space="preserve"> </w:t>
      </w:r>
      <w:r>
        <w:rPr>
          <w:b/>
          <w:sz w:val="24"/>
          <w:szCs w:val="24"/>
          <w:u w:val="single"/>
        </w:rPr>
        <w:t>Manter o item III, caso se enquadre na situação de microempresa, empresa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pPr>
        <w:pStyle w:val="ListParagraph"/>
        <w:widowControl w:val="false"/>
        <w:tabs>
          <w:tab w:val="clear" w:pos="720"/>
          <w:tab w:val="left" w:pos="1092" w:leader="none"/>
        </w:tabs>
        <w:spacing w:before="21" w:after="120"/>
        <w:ind w:left="0" w:right="111"/>
        <w:contextualSpacing w:val="false"/>
        <w:rPr>
          <w:sz w:val="24"/>
          <w:szCs w:val="24"/>
        </w:rPr>
      </w:pPr>
      <w:r>
        <w:rPr>
          <w:sz w:val="24"/>
          <w:szCs w:val="24"/>
        </w:rPr>
        <w:t>Por ser expressão da verdade, firmamos o presente,</w:t>
      </w:r>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t>Rio das Flôres/RJ, .....de..........de 2026.</w:t>
      </w:r>
    </w:p>
    <w:p>
      <w:pPr>
        <w:pStyle w:val="BodyText"/>
        <w:tabs>
          <w:tab w:val="clear" w:pos="720"/>
          <w:tab w:val="left" w:pos="1928" w:leader="none"/>
          <w:tab w:val="left" w:pos="2617" w:leader="none"/>
          <w:tab w:val="left" w:pos="3289" w:leader="none"/>
          <w:tab w:val="left" w:pos="5295" w:leader="none"/>
        </w:tabs>
        <w:jc w:val="center"/>
        <w:rPr>
          <w:sz w:val="24"/>
          <w:szCs w:val="24"/>
        </w:rPr>
      </w:pPr>
      <w:r>
        <w:rPr>
          <w:sz w:val="24"/>
          <w:szCs w:val="24"/>
        </w:rPr>
      </w:r>
    </w:p>
    <w:p>
      <w:pPr>
        <w:pStyle w:val="BodyText"/>
        <w:tabs>
          <w:tab w:val="clear" w:pos="720"/>
          <w:tab w:val="left" w:pos="1928" w:leader="none"/>
          <w:tab w:val="left" w:pos="2617" w:leader="none"/>
          <w:tab w:val="left" w:pos="3289" w:leader="none"/>
          <w:tab w:val="left" w:pos="5295" w:leader="none"/>
        </w:tabs>
        <w:jc w:val="center"/>
        <w:rPr>
          <w:sz w:val="24"/>
          <w:szCs w:val="24"/>
        </w:rPr>
      </w:pPr>
      <w:r>
        <w:rPr>
          <w:sz w:val="24"/>
          <w:szCs w:val="24"/>
        </w:rPr>
        <w:t>Assinatura do Representante Legal</w:t>
      </w:r>
    </w:p>
    <w:p>
      <w:pPr>
        <w:pStyle w:val="Normal"/>
        <w:numPr>
          <w:ilvl w:val="0"/>
          <w:numId w:val="0"/>
        </w:numPr>
        <w:ind w:hanging="0" w:left="0"/>
        <w:jc w:val="center"/>
        <w:outlineLvl w:val="0"/>
        <w:rPr>
          <w:sz w:val="24"/>
          <w:szCs w:val="24"/>
        </w:rPr>
      </w:pPr>
      <w:r>
        <w:rPr>
          <w:rFonts w:eastAsia="Arial Unicode MS" w:cs="Arial"/>
          <w:b/>
          <w:sz w:val="24"/>
          <w:szCs w:val="24"/>
        </w:rPr>
        <w:t>ANEXO V – MINUTA DO FUTURO CONTRATO</w:t>
      </w:r>
    </w:p>
    <w:p>
      <w:pPr>
        <w:pStyle w:val="Normal"/>
        <w:jc w:val="center"/>
        <w:rPr>
          <w:rFonts w:cs="Arial"/>
          <w:sz w:val="24"/>
          <w:szCs w:val="24"/>
        </w:rPr>
      </w:pPr>
      <w:r>
        <w:rPr>
          <w:rFonts w:cs="Arial"/>
          <w:sz w:val="24"/>
          <w:szCs w:val="24"/>
        </w:rPr>
      </w:r>
    </w:p>
    <w:p>
      <w:pPr>
        <w:pStyle w:val="Normal"/>
        <w:numPr>
          <w:ilvl w:val="0"/>
          <w:numId w:val="0"/>
        </w:numPr>
        <w:ind w:hanging="0" w:left="0"/>
        <w:jc w:val="center"/>
        <w:outlineLvl w:val="0"/>
        <w:rPr>
          <w:sz w:val="24"/>
          <w:szCs w:val="24"/>
        </w:rPr>
      </w:pPr>
      <w:r>
        <w:rPr>
          <w:rFonts w:eastAsia="Arial Unicode MS" w:cs="Arial"/>
          <w:b/>
          <w:sz w:val="24"/>
          <w:szCs w:val="24"/>
        </w:rPr>
        <w:t>CONTRATO Nº 000/2026</w:t>
      </w:r>
    </w:p>
    <w:p>
      <w:pPr>
        <w:pStyle w:val="Normal"/>
        <w:numPr>
          <w:ilvl w:val="0"/>
          <w:numId w:val="0"/>
        </w:numPr>
        <w:ind w:hanging="0" w:left="0"/>
        <w:jc w:val="center"/>
        <w:outlineLvl w:val="0"/>
        <w:rPr>
          <w:rFonts w:eastAsia="Arial Unicode MS" w:cs="Arial"/>
          <w:b/>
          <w:sz w:val="24"/>
          <w:szCs w:val="24"/>
        </w:rPr>
      </w:pPr>
      <w:r>
        <w:rPr>
          <w:rFonts w:eastAsia="Arial Unicode MS" w:cs="Arial"/>
          <w:b/>
          <w:sz w:val="24"/>
          <w:szCs w:val="24"/>
        </w:rPr>
      </w:r>
    </w:p>
    <w:p>
      <w:pPr>
        <w:pStyle w:val="Normal"/>
        <w:spacing w:before="0" w:after="0"/>
        <w:rPr>
          <w:sz w:val="24"/>
          <w:szCs w:val="24"/>
        </w:rPr>
      </w:pPr>
      <w:r>
        <w:rPr>
          <w:rFonts w:eastAsia="Arial Unicode MS" w:cs="Arial"/>
          <w:b/>
          <w:sz w:val="24"/>
          <w:szCs w:val="24"/>
        </w:rPr>
        <w:t>PROCESSO N º 3699/2026</w:t>
      </w:r>
    </w:p>
    <w:p>
      <w:pPr>
        <w:pStyle w:val="Normal"/>
        <w:spacing w:before="0" w:after="0"/>
        <w:rPr>
          <w:sz w:val="24"/>
          <w:szCs w:val="24"/>
        </w:rPr>
      </w:pPr>
      <w:r>
        <w:rPr>
          <w:rFonts w:eastAsia="Arial Unicode MS" w:cs="Arial"/>
          <w:b/>
          <w:sz w:val="24"/>
          <w:szCs w:val="24"/>
        </w:rPr>
        <w:t>DISPENSA DE LICITAÇÃO 003/2026</w:t>
      </w:r>
    </w:p>
    <w:p>
      <w:pPr>
        <w:pStyle w:val="Normal"/>
        <w:ind w:left="4395"/>
        <w:rPr>
          <w:sz w:val="24"/>
          <w:szCs w:val="24"/>
        </w:rPr>
      </w:pPr>
      <w:r>
        <w:rPr>
          <w:rFonts w:cs="Arial"/>
          <w:sz w:val="24"/>
          <w:szCs w:val="24"/>
        </w:rPr>
        <w:t>TERMO DE CONTRATO DE QUE ENTRE SI CELEBRAM O MUNICÍPIO DE RIO DAS FLÔRES E A EMPRESA .................................</w:t>
      </w:r>
    </w:p>
    <w:p>
      <w:pPr>
        <w:pStyle w:val="Normal"/>
        <w:rPr>
          <w:rFonts w:eastAsia="Arial Unicode MS" w:cs="Arial"/>
          <w:sz w:val="24"/>
          <w:szCs w:val="24"/>
          <w:highlight w:val="yellow"/>
        </w:rPr>
      </w:pPr>
      <w:r>
        <w:rPr>
          <w:rFonts w:eastAsia="Arial Unicode MS" w:cs="Arial"/>
          <w:sz w:val="24"/>
          <w:szCs w:val="24"/>
          <w:highlight w:val="yellow"/>
        </w:rPr>
      </w:r>
    </w:p>
    <w:p>
      <w:pPr>
        <w:pStyle w:val="Normal"/>
        <w:spacing w:lineRule="auto" w:line="276"/>
        <w:ind w:firstLine="1418"/>
        <w:rPr/>
      </w:pPr>
      <w:r>
        <w:rPr>
          <w:rFonts w:eastAsia="Arial" w:cs="Arial"/>
          <w:i/>
          <w:iCs/>
          <w:sz w:val="24"/>
          <w:szCs w:val="24"/>
        </w:rPr>
        <w:t>A Prefeitura Municipal de Rio das Flôres/RJ</w:t>
      </w:r>
      <w:r>
        <w:rPr>
          <w:rFonts w:eastAsia="Arial" w:cs="Arial"/>
          <w:sz w:val="24"/>
          <w:szCs w:val="24"/>
        </w:rPr>
        <w:t xml:space="preserve"> por intermédio do Fundo Municipal de Assistência Social, com sede na Rua Coronel Ladislau Guedes, 03 - Centro, na cidade de Rio das Flôres/RJ, inscrito no CNPJ sob o nº 13.774.491/0001-70, neste ato representado(a) pelo Secretário Municipal de Assistência Social – João Paulo Resende Cardoso, nomeado pela Portaria nº 016 de 02 de janeiro de 2026, publicada no</w:t>
      </w:r>
      <w:r>
        <w:rPr>
          <w:rFonts w:eastAsia="Arial" w:cs="Arial"/>
          <w:i/>
          <w:iCs/>
          <w:sz w:val="24"/>
          <w:szCs w:val="24"/>
        </w:rPr>
        <w:t xml:space="preserve"> Boletim Oficial do Município nº 003 </w:t>
      </w:r>
      <w:r>
        <w:rPr>
          <w:rFonts w:eastAsia="Arial" w:cs="Arial"/>
          <w:sz w:val="24"/>
          <w:szCs w:val="24"/>
        </w:rPr>
        <w:t xml:space="preserve">de 02 de janeiro de 2026, portador da Matrícula Funcional nº 7549 doravante denominado CONTRATANTE, e o(a) .............................., </w:t>
      </w:r>
      <w:r>
        <w:rPr>
          <w:rFonts w:eastAsia="Arial" w:cs="Arial"/>
          <w:i/>
          <w:iCs/>
          <w:sz w:val="24"/>
          <w:szCs w:val="24"/>
        </w:rPr>
        <w:t>inscrito(a) no CNPJ/MF sob o nº ............................, sediado(a) na</w:t>
      </w:r>
      <w:r>
        <w:rPr>
          <w:rFonts w:eastAsia="Arial" w:cs="Arial"/>
          <w:sz w:val="24"/>
          <w:szCs w:val="24"/>
        </w:rPr>
        <w:t xml:space="preserve"> ..................................., doravante designado CONTRATADO, </w:t>
      </w:r>
      <w:r>
        <w:rPr>
          <w:rFonts w:eastAsia="Arial" w:cs="Arial"/>
          <w:i/>
          <w:iCs/>
          <w:sz w:val="24"/>
          <w:szCs w:val="24"/>
        </w:rPr>
        <w:t>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0" w:tooltip="http://www.planalto.gov.br/ccivil_03/_ato2019-2022/2021/lei/L14133.htm">
        <w:r>
          <w:rPr>
            <w:rStyle w:val="Style"/>
            <w:rFonts w:eastAsia="Arial"/>
            <w:color w:val="auto"/>
            <w:sz w:val="24"/>
            <w:szCs w:val="24"/>
            <w:u w:val="single"/>
          </w:rPr>
          <w:t>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da DISPENSA ELETRÔNICA n. 002/2026</w:t>
      </w:r>
      <w:r>
        <w:rPr>
          <w:rFonts w:eastAsia="Arial" w:cs="Arial"/>
          <w:sz w:val="24"/>
          <w:szCs w:val="24"/>
        </w:rPr>
        <w:t>, mediante as cláusulas e condições a seguir enunciadas.</w:t>
      </w:r>
    </w:p>
    <w:p>
      <w:pPr>
        <w:pStyle w:val="Nivel01"/>
        <w:numPr>
          <w:ilvl w:val="0"/>
          <w:numId w:val="20"/>
        </w:numPr>
        <w:rPr/>
      </w:pPr>
      <w:r>
        <w:rPr/>
        <w:t>CLÁUSULA PRIMEIRA – OBJETO (</w:t>
      </w:r>
      <w:hyperlink r:id="rId41" w:tooltip="http://www.planalto.gov.br/ccivil_03/_ato2019-2022/2021/lei/L14133.htm#art92&quot; l &quot;art92">
        <w:r>
          <w:rPr>
            <w:rStyle w:val="Style"/>
            <w:color w:val="auto"/>
            <w:u w:val="single"/>
          </w:rPr>
          <w:t>art. 92, I e II</w:t>
        </w:r>
      </w:hyperlink>
      <w:r>
        <w:rPr/>
        <w:t>)</w:t>
      </w:r>
    </w:p>
    <w:p>
      <w:pPr>
        <w:pStyle w:val="Nivel2"/>
        <w:numPr>
          <w:ilvl w:val="1"/>
          <w:numId w:val="18"/>
        </w:numPr>
        <w:ind w:hanging="0" w:left="0"/>
        <w:rPr>
          <w:sz w:val="24"/>
          <w:szCs w:val="24"/>
        </w:rPr>
      </w:pPr>
      <w:r>
        <w:rPr>
          <w:color w:val="auto"/>
          <w:sz w:val="24"/>
          <w:szCs w:val="24"/>
        </w:rPr>
        <w:t xml:space="preserve">O objeto do presente instrumento é a </w:t>
      </w:r>
      <w:r>
        <w:rPr>
          <w:sz w:val="24"/>
          <w:szCs w:val="24"/>
        </w:rPr>
        <w:t xml:space="preserve">Escolha da proposta mais vantajosa para </w:t>
      </w:r>
      <w:r>
        <w:rPr>
          <w:rFonts w:eastAsia="Cambria" w:cs="Arial"/>
          <w:bCs/>
          <w:color w:val="000000"/>
          <w:sz w:val="24"/>
          <w:szCs w:val="24"/>
          <w:lang w:eastAsia="zh-CN"/>
        </w:rPr>
        <w:t>aquisição conjunta de materiais didáticos e recreativos para os projetos dos CRAS</w:t>
      </w:r>
      <w:r>
        <w:rPr>
          <w:rFonts w:cs="Arial"/>
          <w:color w:val="auto"/>
          <w:sz w:val="24"/>
          <w:szCs w:val="24"/>
        </w:rPr>
        <w:t>, conforme condições, quantidades e exigências estabelecidas no Termo de Referência.</w:t>
      </w:r>
    </w:p>
    <w:p>
      <w:pPr>
        <w:pStyle w:val="Nivel2"/>
        <w:numPr>
          <w:ilvl w:val="1"/>
          <w:numId w:val="18"/>
        </w:numPr>
        <w:ind w:hanging="0" w:left="0"/>
        <w:rPr>
          <w:sz w:val="24"/>
          <w:szCs w:val="24"/>
        </w:rPr>
      </w:pPr>
      <w:r>
        <w:rPr>
          <w:color w:val="auto"/>
          <w:sz w:val="24"/>
          <w:szCs w:val="24"/>
        </w:rPr>
        <w:t>Objeto da contratação:</w:t>
      </w:r>
    </w:p>
    <w:tbl>
      <w:tblPr>
        <w:tblW w:w="9072"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713"/>
        <w:gridCol w:w="2718"/>
        <w:gridCol w:w="567"/>
        <w:gridCol w:w="987"/>
        <w:gridCol w:w="1281"/>
        <w:gridCol w:w="1417"/>
        <w:gridCol w:w="1389"/>
      </w:tblGrid>
      <w:tr>
        <w:trPr/>
        <w:tc>
          <w:tcPr>
            <w:tcW w:w="9072" w:type="dxa"/>
            <w:gridSpan w:val="7"/>
            <w:tcBorders/>
            <w:shd w:color="auto" w:fill="D9D9D9" w:themeFill="background1" w:themeFillShade="d9" w:val="clear"/>
          </w:tcPr>
          <w:p>
            <w:pPr>
              <w:pStyle w:val="Normal"/>
              <w:spacing w:before="120" w:after="120"/>
              <w:ind w:right="-852"/>
              <w:rPr>
                <w:sz w:val="24"/>
                <w:szCs w:val="24"/>
              </w:rPr>
            </w:pPr>
            <w:r>
              <w:rPr>
                <w:rFonts w:eastAsia="Arial" w:cs="Arial"/>
                <w:b/>
                <w:sz w:val="24"/>
                <w:szCs w:val="24"/>
              </w:rPr>
              <w:t>Fornecedor:</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Item</w:t>
            </w:r>
          </w:p>
        </w:tc>
        <w:tc>
          <w:tcPr>
            <w:tcW w:w="2718" w:type="dxa"/>
            <w:tcBorders/>
            <w:vAlign w:val="center"/>
          </w:tcPr>
          <w:p>
            <w:pPr>
              <w:pStyle w:val="Normal"/>
              <w:spacing w:before="120" w:after="120"/>
              <w:ind w:right="-852"/>
              <w:jc w:val="left"/>
              <w:rPr>
                <w:sz w:val="24"/>
                <w:szCs w:val="24"/>
              </w:rPr>
            </w:pPr>
            <w:r>
              <w:rPr>
                <w:rFonts w:eastAsia="Arial" w:cs="Arial"/>
                <w:sz w:val="24"/>
                <w:szCs w:val="24"/>
              </w:rPr>
              <w:t xml:space="preserve">         </w:t>
            </w:r>
            <w:r>
              <w:rPr>
                <w:rFonts w:eastAsia="Arial" w:cs="Arial"/>
                <w:sz w:val="24"/>
                <w:szCs w:val="24"/>
              </w:rPr>
              <w:t>Especificação</w:t>
            </w:r>
          </w:p>
        </w:tc>
        <w:tc>
          <w:tcPr>
            <w:tcW w:w="567" w:type="dxa"/>
            <w:tcBorders/>
            <w:vAlign w:val="center"/>
          </w:tcPr>
          <w:p>
            <w:pPr>
              <w:pStyle w:val="Normal"/>
              <w:spacing w:before="120" w:after="120"/>
              <w:ind w:right="-852"/>
              <w:jc w:val="left"/>
              <w:rPr>
                <w:sz w:val="24"/>
                <w:szCs w:val="24"/>
              </w:rPr>
            </w:pPr>
            <w:r>
              <w:rPr>
                <w:rFonts w:eastAsia="Arial" w:cs="Arial"/>
                <w:sz w:val="24"/>
                <w:szCs w:val="24"/>
              </w:rPr>
              <w:t>UN.</w:t>
            </w:r>
          </w:p>
        </w:tc>
        <w:tc>
          <w:tcPr>
            <w:tcW w:w="987" w:type="dxa"/>
            <w:tcBorders/>
            <w:vAlign w:val="center"/>
          </w:tcPr>
          <w:p>
            <w:pPr>
              <w:pStyle w:val="Normal"/>
              <w:spacing w:before="120" w:after="120"/>
              <w:ind w:right="-852"/>
              <w:jc w:val="left"/>
              <w:rPr>
                <w:sz w:val="24"/>
                <w:szCs w:val="24"/>
              </w:rPr>
            </w:pPr>
            <w:r>
              <w:rPr>
                <w:rFonts w:eastAsia="Arial" w:cs="Arial"/>
                <w:sz w:val="24"/>
                <w:szCs w:val="24"/>
              </w:rPr>
              <w:t xml:space="preserve">    </w:t>
            </w:r>
            <w:r>
              <w:rPr>
                <w:rFonts w:eastAsia="Arial" w:cs="Arial"/>
                <w:sz w:val="24"/>
                <w:szCs w:val="24"/>
              </w:rPr>
              <w:t>Marca</w:t>
            </w:r>
          </w:p>
        </w:tc>
        <w:tc>
          <w:tcPr>
            <w:tcW w:w="1281" w:type="dxa"/>
            <w:tcBorders/>
            <w:vAlign w:val="center"/>
          </w:tcPr>
          <w:p>
            <w:pPr>
              <w:pStyle w:val="Normal"/>
              <w:spacing w:before="120" w:after="120"/>
              <w:ind w:right="-852"/>
              <w:jc w:val="left"/>
              <w:rPr>
                <w:sz w:val="24"/>
                <w:szCs w:val="24"/>
              </w:rPr>
            </w:pPr>
            <w:r>
              <w:rPr>
                <w:rFonts w:eastAsia="Arial" w:cs="Arial"/>
                <w:sz w:val="24"/>
                <w:szCs w:val="24"/>
              </w:rPr>
              <w:t>Quantidade</w:t>
            </w:r>
          </w:p>
        </w:tc>
        <w:tc>
          <w:tcPr>
            <w:tcW w:w="1417" w:type="dxa"/>
            <w:tcBorders/>
            <w:vAlign w:val="center"/>
          </w:tcPr>
          <w:p>
            <w:pPr>
              <w:pStyle w:val="Normal"/>
              <w:spacing w:before="120" w:after="120"/>
              <w:ind w:right="-852"/>
              <w:jc w:val="left"/>
              <w:rPr>
                <w:sz w:val="24"/>
                <w:szCs w:val="24"/>
              </w:rPr>
            </w:pPr>
            <w:r>
              <w:rPr>
                <w:rFonts w:eastAsia="Arial" w:cs="Arial"/>
                <w:sz w:val="24"/>
                <w:szCs w:val="24"/>
              </w:rPr>
              <w:t>Preço Unitário</w:t>
            </w:r>
          </w:p>
        </w:tc>
        <w:tc>
          <w:tcPr>
            <w:tcW w:w="1389" w:type="dxa"/>
            <w:tcBorders/>
            <w:vAlign w:val="center"/>
          </w:tcPr>
          <w:p>
            <w:pPr>
              <w:pStyle w:val="Normal"/>
              <w:spacing w:before="0" w:after="0"/>
              <w:ind w:right="-852"/>
              <w:jc w:val="left"/>
              <w:rPr>
                <w:sz w:val="24"/>
                <w:szCs w:val="24"/>
              </w:rPr>
            </w:pPr>
            <w:r>
              <w:rPr>
                <w:rFonts w:eastAsia="Arial" w:cs="Arial"/>
                <w:sz w:val="24"/>
                <w:szCs w:val="24"/>
              </w:rPr>
              <w:t>Preço Total</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01</w:t>
            </w:r>
          </w:p>
        </w:tc>
        <w:tc>
          <w:tcPr>
            <w:tcW w:w="2718" w:type="dxa"/>
            <w:tcBorders/>
            <w:vAlign w:val="center"/>
          </w:tcPr>
          <w:p>
            <w:pPr>
              <w:pStyle w:val="Normal"/>
              <w:spacing w:before="0" w:after="0"/>
              <w:rPr>
                <w:rFonts w:eastAsia="Calibri" w:cs="ArialMT" w:eastAsiaTheme="minorHAnsi"/>
                <w:sz w:val="24"/>
                <w:szCs w:val="24"/>
                <w:lang w:eastAsia="en-US"/>
              </w:rPr>
            </w:pPr>
            <w:r>
              <w:rPr>
                <w:rFonts w:eastAsia="Calibri" w:cs="ArialMT" w:eastAsiaTheme="minorHAnsi"/>
                <w:sz w:val="24"/>
                <w:szCs w:val="24"/>
                <w:lang w:eastAsia="en-US"/>
              </w:rPr>
            </w:r>
          </w:p>
        </w:tc>
        <w:tc>
          <w:tcPr>
            <w:tcW w:w="567"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987"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281"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417" w:type="dxa"/>
            <w:tcBorders/>
            <w:vAlign w:val="center"/>
          </w:tcPr>
          <w:p>
            <w:pPr>
              <w:pStyle w:val="Normal"/>
              <w:spacing w:before="120" w:after="120"/>
              <w:ind w:right="-852"/>
              <w:jc w:val="left"/>
              <w:rPr>
                <w:sz w:val="24"/>
                <w:szCs w:val="24"/>
              </w:rPr>
            </w:pPr>
            <w:r>
              <w:rPr>
                <w:rFonts w:eastAsia="Arial" w:cs="Arial"/>
                <w:sz w:val="24"/>
                <w:szCs w:val="24"/>
              </w:rPr>
              <w:t>R$</w:t>
            </w:r>
          </w:p>
        </w:tc>
        <w:tc>
          <w:tcPr>
            <w:tcW w:w="1389" w:type="dxa"/>
            <w:tcBorders/>
            <w:vAlign w:val="center"/>
          </w:tcPr>
          <w:p>
            <w:pPr>
              <w:pStyle w:val="Normal"/>
              <w:spacing w:before="0" w:after="0"/>
              <w:ind w:right="-852"/>
              <w:jc w:val="left"/>
              <w:rPr>
                <w:sz w:val="24"/>
                <w:szCs w:val="24"/>
              </w:rPr>
            </w:pPr>
            <w:r>
              <w:rPr>
                <w:rFonts w:eastAsia="Arial" w:cs="Arial"/>
                <w:sz w:val="24"/>
                <w:szCs w:val="24"/>
              </w:rPr>
              <w:t>R$</w:t>
            </w:r>
          </w:p>
        </w:tc>
      </w:tr>
    </w:tbl>
    <w:p>
      <w:pPr>
        <w:pStyle w:val="Nivel2"/>
        <w:numPr>
          <w:ilvl w:val="1"/>
          <w:numId w:val="18"/>
        </w:numPr>
        <w:ind w:hanging="0" w:left="0"/>
        <w:rPr>
          <w:sz w:val="24"/>
          <w:szCs w:val="24"/>
        </w:rPr>
      </w:pPr>
      <w:r>
        <w:rPr>
          <w:color w:val="auto"/>
          <w:sz w:val="24"/>
          <w:szCs w:val="24"/>
        </w:rPr>
        <w:t>Vinculam esta contratação, independentemente de transcrição:</w:t>
      </w:r>
    </w:p>
    <w:p>
      <w:pPr>
        <w:pStyle w:val="Nivel3"/>
        <w:numPr>
          <w:ilvl w:val="2"/>
          <w:numId w:val="18"/>
        </w:numPr>
        <w:ind w:hanging="0" w:left="284"/>
        <w:rPr>
          <w:sz w:val="24"/>
          <w:szCs w:val="24"/>
        </w:rPr>
      </w:pPr>
      <w:r>
        <w:rPr>
          <w:color w:val="auto"/>
          <w:sz w:val="24"/>
          <w:szCs w:val="24"/>
        </w:rPr>
        <w:t>O Termo de Referência;</w:t>
      </w:r>
    </w:p>
    <w:p>
      <w:pPr>
        <w:pStyle w:val="Nivel3"/>
        <w:numPr>
          <w:ilvl w:val="2"/>
          <w:numId w:val="18"/>
        </w:numPr>
        <w:ind w:hanging="0" w:left="284"/>
        <w:rPr>
          <w:sz w:val="24"/>
          <w:szCs w:val="24"/>
        </w:rPr>
      </w:pPr>
      <w:r>
        <w:rPr>
          <w:color w:val="auto"/>
          <w:sz w:val="24"/>
          <w:szCs w:val="24"/>
        </w:rPr>
        <w:t>O Aviso de Contratação Direta;</w:t>
      </w:r>
    </w:p>
    <w:p>
      <w:pPr>
        <w:pStyle w:val="Nivel3"/>
        <w:numPr>
          <w:ilvl w:val="2"/>
          <w:numId w:val="18"/>
        </w:numPr>
        <w:ind w:hanging="0" w:left="284"/>
        <w:rPr>
          <w:sz w:val="24"/>
          <w:szCs w:val="24"/>
        </w:rPr>
      </w:pPr>
      <w:r>
        <w:rPr>
          <w:color w:val="auto"/>
          <w:sz w:val="24"/>
          <w:szCs w:val="24"/>
        </w:rPr>
        <w:t>A Proposta do contratado;</w:t>
      </w:r>
    </w:p>
    <w:p>
      <w:pPr>
        <w:pStyle w:val="Nivel3"/>
        <w:numPr>
          <w:ilvl w:val="2"/>
          <w:numId w:val="18"/>
        </w:numPr>
        <w:ind w:hanging="0" w:left="284"/>
        <w:rPr>
          <w:sz w:val="24"/>
          <w:szCs w:val="24"/>
        </w:rPr>
      </w:pPr>
      <w:r>
        <w:rPr>
          <w:color w:val="auto"/>
          <w:sz w:val="24"/>
          <w:szCs w:val="24"/>
        </w:rPr>
        <w:t>Eventuais anexos dos documentos supracitados.</w:t>
      </w:r>
    </w:p>
    <w:p>
      <w:pPr>
        <w:pStyle w:val="Nivel01"/>
        <w:numPr>
          <w:ilvl w:val="0"/>
          <w:numId w:val="18"/>
        </w:numPr>
        <w:rPr/>
      </w:pPr>
      <w:r>
        <w:rPr/>
        <w:t>CLÁUSULA SEGUNDA – VIGÊNCIA E PRORROGAÇÃO</w:t>
      </w:r>
    </w:p>
    <w:p>
      <w:pPr>
        <w:pStyle w:val="Nvel2-Red"/>
        <w:numPr>
          <w:ilvl w:val="1"/>
          <w:numId w:val="18"/>
        </w:numPr>
        <w:ind w:hanging="0" w:left="0"/>
        <w:rPr/>
      </w:pPr>
      <w:r>
        <w:rPr>
          <w:i w:val="false"/>
          <w:color w:val="auto"/>
          <w:sz w:val="24"/>
          <w:szCs w:val="24"/>
        </w:rPr>
        <w:t xml:space="preserve">O prazo de vigência da contratação é de </w:t>
      </w:r>
      <w:r>
        <w:rPr>
          <w:rFonts w:cs="Arial"/>
          <w:i w:val="false"/>
          <w:color w:val="auto"/>
          <w:sz w:val="24"/>
          <w:szCs w:val="24"/>
        </w:rPr>
        <w:t>30 (trinta) dias</w:t>
      </w:r>
      <w:r>
        <w:rPr>
          <w:i w:val="false"/>
          <w:color w:val="auto"/>
          <w:sz w:val="24"/>
          <w:szCs w:val="24"/>
        </w:rPr>
        <w:t xml:space="preserve"> contados da emissão da Solicitação de Fornecimento (S.F.), prorrogável por até 05 (cinco) anos, na forma dos </w:t>
      </w:r>
      <w:hyperlink r:id="rId42" w:tooltip="http://www.planalto.gov.br/ccivil_03/_ato2019-2022/2021/lei/L14133.htm#art106&quot; l &quot;art106">
        <w:r>
          <w:rPr>
            <w:rStyle w:val="Style"/>
            <w:color w:val="auto"/>
            <w:sz w:val="24"/>
            <w:szCs w:val="24"/>
            <w:u w:val="single"/>
          </w:rPr>
          <w:t>artigos 106 e 107 da Lei n° 14.133, de 2021</w:t>
        </w:r>
      </w:hyperlink>
      <w:r>
        <w:rPr>
          <w:i w:val="false"/>
          <w:color w:val="auto"/>
          <w:sz w:val="24"/>
          <w:szCs w:val="24"/>
        </w:rPr>
        <w:t>.</w:t>
      </w:r>
    </w:p>
    <w:p>
      <w:pPr>
        <w:pStyle w:val="Nvel3-R"/>
        <w:numPr>
          <w:ilvl w:val="2"/>
          <w:numId w:val="18"/>
        </w:numPr>
        <w:ind w:hanging="0" w:left="284"/>
        <w:rPr>
          <w:sz w:val="24"/>
          <w:szCs w:val="24"/>
        </w:rPr>
      </w:pPr>
      <w:r>
        <w:rPr>
          <w:i w:val="false"/>
          <w:color w:val="auto"/>
          <w:sz w:val="24"/>
          <w:szCs w:val="24"/>
        </w:rPr>
        <w:t>A prorrogação de que trata este item é condicionada ao ateste, pela autoridade competente, de que as condições e os preços permanecem vantajosos para a Administração, permitida a negociação com o contratado.</w:t>
      </w:r>
    </w:p>
    <w:p>
      <w:pPr>
        <w:pStyle w:val="Nvel3-R"/>
        <w:numPr>
          <w:ilvl w:val="2"/>
          <w:numId w:val="18"/>
        </w:numPr>
        <w:ind w:hanging="0" w:left="284"/>
        <w:rPr>
          <w:color w:val="auto"/>
          <w:sz w:val="24"/>
          <w:szCs w:val="24"/>
        </w:rPr>
      </w:pPr>
      <w:r>
        <w:rPr>
          <w:i w:val="false"/>
          <w:color w:val="auto"/>
          <w:sz w:val="24"/>
          <w:szCs w:val="24"/>
        </w:rPr>
        <w:t>O somatório das prorrogações deste procedimento está condicionada ao limite do valor previsto na legislação vigente para realização do procedimento de Dispensa de Licitação.</w:t>
      </w:r>
    </w:p>
    <w:p>
      <w:pPr>
        <w:pStyle w:val="Nvel2-Red"/>
        <w:numPr>
          <w:ilvl w:val="1"/>
          <w:numId w:val="18"/>
        </w:numPr>
        <w:ind w:hanging="0" w:left="0"/>
        <w:rPr>
          <w:sz w:val="24"/>
          <w:szCs w:val="24"/>
        </w:rPr>
      </w:pPr>
      <w:r>
        <w:rPr>
          <w:i w:val="false"/>
          <w:color w:val="auto"/>
          <w:sz w:val="24"/>
          <w:szCs w:val="24"/>
        </w:rPr>
        <w:t>O contratado não tem direito subjetivo à prorrogação contratual.</w:t>
      </w:r>
    </w:p>
    <w:p>
      <w:pPr>
        <w:pStyle w:val="Nvel2-Red"/>
        <w:numPr>
          <w:ilvl w:val="1"/>
          <w:numId w:val="18"/>
        </w:numPr>
        <w:ind w:hanging="0" w:left="0"/>
        <w:rPr>
          <w:sz w:val="24"/>
          <w:szCs w:val="24"/>
        </w:rPr>
      </w:pPr>
      <w:r>
        <w:rPr>
          <w:i w:val="false"/>
          <w:color w:val="auto"/>
          <w:sz w:val="24"/>
          <w:szCs w:val="24"/>
        </w:rPr>
        <w:t>A prorrogação de contrato deverá ser promovida mediante celebração de termo aditivo.</w:t>
      </w:r>
    </w:p>
    <w:p>
      <w:pPr>
        <w:pStyle w:val="Nvel2-Red"/>
        <w:numPr>
          <w:ilvl w:val="1"/>
          <w:numId w:val="18"/>
        </w:numPr>
        <w:ind w:hanging="0" w:left="0"/>
        <w:rPr>
          <w:sz w:val="24"/>
          <w:szCs w:val="24"/>
        </w:rPr>
      </w:pPr>
      <w:r>
        <w:rPr>
          <w:i w:val="false"/>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18"/>
        </w:numPr>
        <w:rPr/>
      </w:pPr>
      <w:r>
        <w:rPr/>
        <w:t>CLÁUSULA TERCEIRA – MODELOS DE EXECUÇÃO E GESTÃO CONTRATUAIS (</w:t>
      </w:r>
      <w:hyperlink r:id="rId43" w:tooltip="http://www.planalto.gov.br/ccivil_03/_ato2019-2022/2021/lei/L14133.htm#art92&quot; l &quot;art92">
        <w:r>
          <w:rPr>
            <w:rStyle w:val="Style"/>
            <w:color w:val="auto"/>
            <w:u w:val="single"/>
          </w:rPr>
          <w:t>art. 92, IV, VII e XVIII)</w:t>
        </w:r>
      </w:hyperlink>
    </w:p>
    <w:p>
      <w:pPr>
        <w:pStyle w:val="Nivel2"/>
        <w:numPr>
          <w:ilvl w:val="1"/>
          <w:numId w:val="18"/>
        </w:numPr>
        <w:ind w:hanging="0" w:left="0"/>
        <w:rPr>
          <w:sz w:val="24"/>
          <w:szCs w:val="24"/>
        </w:rPr>
      </w:pPr>
      <w:r>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8"/>
        </w:numPr>
        <w:rPr/>
      </w:pPr>
      <w:r>
        <w:rPr/>
        <w:t>CLÁUSULA QUARTA – SUBCONTRATAÇÃO</w:t>
      </w:r>
    </w:p>
    <w:p>
      <w:pPr>
        <w:pStyle w:val="Nvel2-Red"/>
        <w:numPr>
          <w:ilvl w:val="1"/>
          <w:numId w:val="18"/>
        </w:numPr>
        <w:ind w:hanging="0" w:left="0"/>
        <w:rPr>
          <w:sz w:val="24"/>
          <w:szCs w:val="24"/>
        </w:rPr>
      </w:pPr>
      <w:r>
        <w:rPr>
          <w:color w:val="auto"/>
          <w:sz w:val="24"/>
          <w:szCs w:val="24"/>
        </w:rPr>
        <w:t>Não será admitida a subcontratação do objeto contratual.</w:t>
      </w:r>
    </w:p>
    <w:p>
      <w:pPr>
        <w:pStyle w:val="Nivel01"/>
        <w:numPr>
          <w:ilvl w:val="0"/>
          <w:numId w:val="18"/>
        </w:numPr>
        <w:rPr/>
      </w:pPr>
      <w:r>
        <w:rPr/>
        <w:t>CLÁUSULA QUINTA – PREÇO (</w:t>
      </w:r>
      <w:hyperlink r:id="rId44" w:tooltip="http://www.planalto.gov.br/ccivil_03/_ato2019-2022/2021/lei/L14133.htm#art92&quot; l &quot;art92">
        <w:r>
          <w:rPr>
            <w:rStyle w:val="Style"/>
            <w:color w:val="auto"/>
            <w:u w:val="single"/>
          </w:rPr>
          <w:t>art. 92, V)</w:t>
        </w:r>
      </w:hyperlink>
    </w:p>
    <w:p>
      <w:pPr>
        <w:pStyle w:val="Nvel2-Red"/>
        <w:numPr>
          <w:ilvl w:val="1"/>
          <w:numId w:val="18"/>
        </w:numPr>
        <w:ind w:hanging="0" w:left="0"/>
        <w:rPr>
          <w:sz w:val="24"/>
          <w:szCs w:val="24"/>
        </w:rPr>
      </w:pPr>
      <w:r>
        <w:rPr>
          <w:color w:val="auto"/>
          <w:sz w:val="24"/>
          <w:szCs w:val="24"/>
        </w:rPr>
        <w:t>O valor total da contratação é de R$.......... (.....)</w:t>
      </w:r>
    </w:p>
    <w:p>
      <w:pPr>
        <w:pStyle w:val="Nivel2"/>
        <w:numPr>
          <w:ilvl w:val="1"/>
          <w:numId w:val="18"/>
        </w:numPr>
        <w:ind w:hanging="0" w:left="0"/>
        <w:rPr>
          <w:sz w:val="24"/>
          <w:szCs w:val="24"/>
        </w:rPr>
      </w:pPr>
      <w:r>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8"/>
        </w:numPr>
        <w:ind w:hanging="0" w:left="0"/>
        <w:rPr>
          <w:sz w:val="24"/>
          <w:szCs w:val="24"/>
        </w:rPr>
      </w:pPr>
      <w:r>
        <w:rPr>
          <w:color w:val="auto"/>
          <w:sz w:val="24"/>
          <w:szCs w:val="24"/>
        </w:rPr>
        <w:t>O valor acima é meramente estimativo, de forma que os pagamentos devidos ao contratado dependerão dos quantitativos efetivamente fornecidos.</w:t>
      </w:r>
    </w:p>
    <w:p>
      <w:pPr>
        <w:pStyle w:val="Nivel01"/>
        <w:numPr>
          <w:ilvl w:val="0"/>
          <w:numId w:val="18"/>
        </w:numPr>
        <w:rPr/>
      </w:pPr>
      <w:r>
        <w:rPr/>
        <w:t>CLÁUSULA SEXTA - PAGAMENTO (</w:t>
      </w:r>
      <w:hyperlink r:id="rId45" w:tooltip="http://www.planalto.gov.br/ccivil_03/_ato2019-2022/2021/lei/L14133.htm#art92&quot; l &quot;art92">
        <w:r>
          <w:rPr>
            <w:rStyle w:val="Style"/>
            <w:color w:val="auto"/>
            <w:u w:val="single"/>
          </w:rPr>
          <w:t>art. 92, V e VI</w:t>
        </w:r>
      </w:hyperlink>
      <w:r>
        <w:rPr/>
        <w:t>)</w:t>
      </w:r>
    </w:p>
    <w:p>
      <w:pPr>
        <w:pStyle w:val="Nivel2"/>
        <w:numPr>
          <w:ilvl w:val="1"/>
          <w:numId w:val="18"/>
        </w:numPr>
        <w:ind w:hanging="0" w:left="0"/>
        <w:rPr>
          <w:sz w:val="24"/>
          <w:szCs w:val="24"/>
        </w:rPr>
      </w:pPr>
      <w:r>
        <w:rPr>
          <w:color w:val="auto"/>
          <w:sz w:val="24"/>
          <w:szCs w:val="24"/>
        </w:rPr>
        <w:t xml:space="preserve">O prazo para pagamento </w:t>
      </w:r>
      <w:r>
        <w:rPr>
          <w:color w:val="auto"/>
          <w:sz w:val="24"/>
          <w:szCs w:val="24"/>
          <w:lang w:eastAsia="en-US"/>
        </w:rPr>
        <w:t>ao contratado</w:t>
      </w:r>
      <w:r>
        <w:rPr>
          <w:color w:val="auto"/>
          <w:sz w:val="24"/>
          <w:szCs w:val="24"/>
        </w:rPr>
        <w:t xml:space="preserve"> e demais condições a ele referentes encontram-se definidos no Termo de Referência, anexo a este Contrato.</w:t>
      </w:r>
    </w:p>
    <w:p>
      <w:pPr>
        <w:pStyle w:val="Nivel01"/>
        <w:numPr>
          <w:ilvl w:val="0"/>
          <w:numId w:val="18"/>
        </w:numPr>
        <w:rPr/>
      </w:pPr>
      <w:r>
        <w:rPr/>
        <w:t>CLÁUSULA SÉTIMA - REAJUSTE (</w:t>
      </w:r>
      <w:hyperlink r:id="rId46" w:tooltip="http://www.planalto.gov.br/ccivil_03/_ato2019-2022/2021/lei/L14133.htm#art92&quot; l &quot;art92">
        <w:r>
          <w:rPr>
            <w:rStyle w:val="Style"/>
            <w:color w:val="auto"/>
            <w:u w:val="single"/>
          </w:rPr>
          <w:t>art. 92, V)</w:t>
        </w:r>
      </w:hyperlink>
    </w:p>
    <w:p>
      <w:pPr>
        <w:pStyle w:val="Nivel2"/>
        <w:numPr>
          <w:ilvl w:val="1"/>
          <w:numId w:val="18"/>
        </w:numPr>
        <w:ind w:hanging="0" w:left="0"/>
        <w:rPr>
          <w:sz w:val="24"/>
          <w:szCs w:val="24"/>
        </w:rPr>
      </w:pPr>
      <w:r>
        <w:rPr>
          <w:color w:val="auto"/>
          <w:sz w:val="24"/>
          <w:szCs w:val="24"/>
        </w:rPr>
        <w:t xml:space="preserve">Durante a vigência do CONTRATO, os valores serão </w:t>
      </w:r>
      <w:r>
        <w:rPr>
          <w:b/>
          <w:color w:val="auto"/>
          <w:sz w:val="24"/>
          <w:szCs w:val="24"/>
        </w:rPr>
        <w:t>fixos e irreajustáveis</w:t>
      </w:r>
      <w:r>
        <w:rPr>
          <w:color w:val="auto"/>
          <w:sz w:val="24"/>
          <w:szCs w:val="24"/>
        </w:rPr>
        <w:t xml:space="preserve">, </w:t>
      </w:r>
      <w:r>
        <w:rPr>
          <w:b/>
          <w:color w:val="auto"/>
          <w:sz w:val="24"/>
          <w:szCs w:val="24"/>
          <w:u w:val="single"/>
        </w:rPr>
        <w:t>exceto</w:t>
      </w:r>
      <w:r>
        <w:rPr>
          <w:color w:val="auto"/>
          <w:sz w:val="24"/>
          <w:szCs w:val="24"/>
        </w:rPr>
        <w:t xml:space="preserve"> nas hipóteses, devidamente comprovadas, de ocorrência de situação prevista na </w:t>
      </w:r>
      <w:r>
        <w:rPr>
          <w:b/>
          <w:color w:val="auto"/>
          <w:sz w:val="24"/>
          <w:szCs w:val="24"/>
        </w:rPr>
        <w:t>alínea “d” do inciso II do art. 124 da Lei Federal nº 14.133, de 2021</w:t>
      </w:r>
      <w:r>
        <w:rPr>
          <w:color w:val="auto"/>
          <w:sz w:val="24"/>
          <w:szCs w:val="24"/>
        </w:rPr>
        <w:t xml:space="preserve"> ou de redução dos valores praticados no mercado.</w:t>
      </w:r>
    </w:p>
    <w:p>
      <w:pPr>
        <w:pStyle w:val="Nivel2"/>
        <w:numPr>
          <w:ilvl w:val="1"/>
          <w:numId w:val="18"/>
        </w:numPr>
        <w:ind w:hanging="0" w:left="0"/>
        <w:rPr>
          <w:sz w:val="24"/>
          <w:szCs w:val="24"/>
        </w:rPr>
      </w:pPr>
      <w:r>
        <w:rPr>
          <w:color w:val="auto"/>
          <w:sz w:val="24"/>
          <w:szCs w:val="24"/>
        </w:rPr>
        <w:t>No critério de reajuste poderá ser utilizado: índices de variação de preços como o Índice de Preços ao Consumidor (</w:t>
      </w:r>
      <w:r>
        <w:rPr>
          <w:b/>
          <w:color w:val="auto"/>
          <w:sz w:val="24"/>
          <w:szCs w:val="24"/>
        </w:rPr>
        <w:t>IPC</w:t>
      </w:r>
      <w:r>
        <w:rPr>
          <w:color w:val="auto"/>
          <w:sz w:val="24"/>
          <w:szCs w:val="24"/>
        </w:rPr>
        <w:t>), Índice Geral de Preços do Mercado (</w:t>
      </w:r>
      <w:r>
        <w:rPr>
          <w:b/>
          <w:color w:val="auto"/>
          <w:sz w:val="24"/>
          <w:szCs w:val="24"/>
        </w:rPr>
        <w:t>IGP-M</w:t>
      </w:r>
      <w:r>
        <w:rPr>
          <w:color w:val="auto"/>
          <w:sz w:val="24"/>
          <w:szCs w:val="24"/>
        </w:rPr>
        <w:t>) ou outro mecanismo de recomposição dos preços pactuados.</w:t>
      </w:r>
    </w:p>
    <w:p>
      <w:pPr>
        <w:pStyle w:val="Nivel2"/>
        <w:numPr>
          <w:ilvl w:val="1"/>
          <w:numId w:val="18"/>
        </w:numPr>
        <w:ind w:hanging="0" w:left="0"/>
        <w:rPr>
          <w:sz w:val="24"/>
          <w:szCs w:val="24"/>
        </w:rPr>
      </w:pPr>
      <w:r>
        <w:rPr>
          <w:color w:val="auto"/>
          <w:sz w:val="24"/>
          <w:szCs w:val="24"/>
        </w:rPr>
        <w:t xml:space="preserve">Mesmo comprovada a ocorrência de situação prevista na </w:t>
      </w:r>
      <w:r>
        <w:rPr>
          <w:b/>
          <w:color w:val="auto"/>
          <w:sz w:val="24"/>
          <w:szCs w:val="24"/>
        </w:rPr>
        <w:t>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p>
    <w:p>
      <w:pPr>
        <w:pStyle w:val="Nivel2"/>
        <w:numPr>
          <w:ilvl w:val="1"/>
          <w:numId w:val="18"/>
        </w:numPr>
        <w:ind w:hanging="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negociação para adequação ao praticado pelo mercado</w:t>
      </w:r>
      <w:r>
        <w:rPr>
          <w:color w:val="auto"/>
          <w:sz w:val="24"/>
          <w:szCs w:val="24"/>
        </w:rPr>
        <w:t>. Frustrada a negociação, o fornecedor será liberado do compromisso assumido, e convocado(s) outro(s) fornecedor (es) na ordem de classificação instituída na fase de recebimentos das propostas no Certame;</w:t>
      </w:r>
    </w:p>
    <w:p>
      <w:pPr>
        <w:pStyle w:val="Nivel2"/>
        <w:numPr>
          <w:ilvl w:val="1"/>
          <w:numId w:val="18"/>
        </w:numPr>
        <w:ind w:hanging="0" w:left="0"/>
        <w:rPr>
          <w:sz w:val="24"/>
          <w:szCs w:val="24"/>
        </w:rPr>
      </w:pPr>
      <w:r>
        <w:rPr>
          <w:color w:val="auto"/>
          <w:sz w:val="24"/>
          <w:szCs w:val="24"/>
        </w:rPr>
        <w:t xml:space="preserve">O(s) fornecedor (es) fica(m) obrigado(s) a comunicar (em) a </w:t>
      </w:r>
      <w:r>
        <w:rPr>
          <w:b/>
          <w:color w:val="auto"/>
          <w:sz w:val="24"/>
          <w:szCs w:val="24"/>
        </w:rPr>
        <w:t>variação de preços</w:t>
      </w:r>
      <w:r>
        <w:rPr>
          <w:color w:val="auto"/>
          <w:sz w:val="24"/>
          <w:szCs w:val="24"/>
        </w:rPr>
        <w:t xml:space="preserve"> quando este se posicionar abaixo do preço de mercado;</w:t>
      </w:r>
    </w:p>
    <w:p>
      <w:pPr>
        <w:pStyle w:val="Nivel2"/>
        <w:numPr>
          <w:ilvl w:val="1"/>
          <w:numId w:val="18"/>
        </w:numPr>
        <w:ind w:hanging="0" w:left="0"/>
        <w:rPr>
          <w:sz w:val="24"/>
          <w:szCs w:val="24"/>
        </w:rPr>
      </w:pPr>
      <w:r>
        <w:rPr>
          <w:color w:val="auto"/>
          <w:sz w:val="24"/>
          <w:szCs w:val="24"/>
        </w:rPr>
        <w:t xml:space="preserve">Quando o(s) </w:t>
      </w:r>
      <w:r>
        <w:rPr>
          <w:b/>
          <w:color w:val="auto"/>
          <w:sz w:val="24"/>
          <w:szCs w:val="24"/>
        </w:rPr>
        <w:t>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pPr>
        <w:pStyle w:val="Nivel2"/>
        <w:numPr>
          <w:ilvl w:val="1"/>
          <w:numId w:val="18"/>
        </w:numPr>
        <w:ind w:hanging="0" w:left="0"/>
        <w:rPr>
          <w:sz w:val="24"/>
          <w:szCs w:val="24"/>
        </w:rPr>
      </w:pPr>
      <w:r>
        <w:rPr>
          <w:b/>
          <w:color w:val="auto"/>
          <w:sz w:val="24"/>
          <w:szCs w:val="24"/>
        </w:rPr>
        <w:t>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do item do CONTRATO e adotará as medidas para obter contratação mais vantajosa;</w:t>
      </w:r>
    </w:p>
    <w:p>
      <w:pPr>
        <w:pStyle w:val="Nivel3"/>
        <w:numPr>
          <w:ilvl w:val="2"/>
          <w:numId w:val="18"/>
        </w:numPr>
        <w:ind w:hanging="504" w:left="426"/>
        <w:rPr>
          <w:sz w:val="24"/>
          <w:szCs w:val="24"/>
        </w:rPr>
      </w:pPr>
      <w:r>
        <w:rPr>
          <w:b/>
          <w:color w:val="auto"/>
          <w:sz w:val="24"/>
          <w:szCs w:val="24"/>
        </w:rPr>
        <w:t>O(s) valor (es) revisado(s) será(ão) publicado(s)</w:t>
      </w:r>
      <w:r>
        <w:rPr>
          <w:color w:val="auto"/>
          <w:sz w:val="24"/>
          <w:szCs w:val="24"/>
        </w:rPr>
        <w:t xml:space="preserve"> no Informativo Oficial do Município de Rio das Flores.</w:t>
      </w:r>
    </w:p>
    <w:p>
      <w:pPr>
        <w:pStyle w:val="Nivel01"/>
        <w:numPr>
          <w:ilvl w:val="0"/>
          <w:numId w:val="18"/>
        </w:numPr>
        <w:rPr/>
      </w:pPr>
      <w:r>
        <w:rPr/>
        <w:t>CLÁUSULA OITAVA - OBRIGAÇÕES DO CONTRATANTE (</w:t>
      </w:r>
      <w:hyperlink r:id="rId47" w:tooltip="http://www.planalto.gov.br/ccivil_03/_ato2019-2022/2021/lei/L14133.htm#art92&quot; l &quot;art92">
        <w:r>
          <w:rPr>
            <w:rStyle w:val="Style"/>
            <w:color w:val="auto"/>
            <w:u w:val="single"/>
          </w:rPr>
          <w:t>art. 92, X, XI e XIV</w:t>
        </w:r>
      </w:hyperlink>
      <w:r>
        <w:rPr/>
        <w:t>)</w:t>
      </w:r>
    </w:p>
    <w:p>
      <w:pPr>
        <w:pStyle w:val="Nivel2"/>
        <w:numPr>
          <w:ilvl w:val="1"/>
          <w:numId w:val="18"/>
        </w:numPr>
        <w:ind w:hanging="0" w:left="0"/>
        <w:rPr>
          <w:sz w:val="24"/>
          <w:szCs w:val="24"/>
        </w:rPr>
      </w:pPr>
      <w:r>
        <w:rPr>
          <w:color w:val="auto"/>
          <w:sz w:val="24"/>
          <w:szCs w:val="24"/>
        </w:rPr>
        <w:t>São obrigações do Contratante:</w:t>
      </w:r>
    </w:p>
    <w:p>
      <w:pPr>
        <w:pStyle w:val="Nivel2"/>
        <w:numPr>
          <w:ilvl w:val="1"/>
          <w:numId w:val="18"/>
        </w:numPr>
        <w:ind w:hanging="0" w:left="0"/>
        <w:rPr>
          <w:sz w:val="24"/>
          <w:szCs w:val="24"/>
        </w:rPr>
      </w:pPr>
      <w:r>
        <w:rPr>
          <w:color w:val="auto"/>
          <w:sz w:val="24"/>
          <w:szCs w:val="24"/>
        </w:rPr>
        <w:t>Exigir o cumprimento de todas as obrigações assumidas pelo Contratado, de acordo com o contrato e seus anexos;</w:t>
      </w:r>
    </w:p>
    <w:p>
      <w:pPr>
        <w:pStyle w:val="Nivel2"/>
        <w:numPr>
          <w:ilvl w:val="1"/>
          <w:numId w:val="18"/>
        </w:numPr>
        <w:ind w:hanging="0" w:left="0"/>
        <w:rPr>
          <w:sz w:val="24"/>
          <w:szCs w:val="24"/>
        </w:rPr>
      </w:pPr>
      <w:r>
        <w:rPr>
          <w:color w:val="auto"/>
          <w:sz w:val="24"/>
          <w:szCs w:val="24"/>
        </w:rPr>
        <w:t>Receber o objeto no prazo e condições estabelecidas no Termo de Referência;</w:t>
      </w:r>
    </w:p>
    <w:p>
      <w:pPr>
        <w:pStyle w:val="Nivel2"/>
        <w:numPr>
          <w:ilvl w:val="1"/>
          <w:numId w:val="18"/>
        </w:numPr>
        <w:ind w:hanging="0" w:left="0"/>
        <w:rPr>
          <w:sz w:val="24"/>
          <w:szCs w:val="24"/>
        </w:rPr>
      </w:pPr>
      <w:r>
        <w:rPr>
          <w:color w:val="auto"/>
          <w:sz w:val="24"/>
          <w:szCs w:val="24"/>
        </w:rPr>
        <w:t>Notificar o Contratado, por escrito, sobre vícios, defeitos ou incorreções verificadas no objeto fornecido, para que seja por ele substituído, reparado ou corrigido, no total ou em parte, às suas expensas;</w:t>
      </w:r>
    </w:p>
    <w:p>
      <w:pPr>
        <w:pStyle w:val="Nivel2"/>
        <w:numPr>
          <w:ilvl w:val="1"/>
          <w:numId w:val="18"/>
        </w:numPr>
        <w:ind w:hanging="0" w:left="0"/>
        <w:rPr>
          <w:sz w:val="24"/>
          <w:szCs w:val="24"/>
        </w:rPr>
      </w:pPr>
      <w:r>
        <w:rPr>
          <w:color w:val="auto"/>
          <w:sz w:val="24"/>
          <w:szCs w:val="24"/>
        </w:rPr>
        <w:t>Acompanhar e fiscalizar a execução do contrato e o cumprimento das obrigações pelo Contratado;</w:t>
      </w:r>
    </w:p>
    <w:p>
      <w:pPr>
        <w:pStyle w:val="Nivel2"/>
        <w:numPr>
          <w:ilvl w:val="1"/>
          <w:numId w:val="18"/>
        </w:numPr>
        <w:ind w:hanging="0" w:left="0"/>
        <w:rPr>
          <w:sz w:val="24"/>
          <w:szCs w:val="24"/>
        </w:rPr>
      </w:pPr>
      <w:r>
        <w:rPr>
          <w:color w:val="auto"/>
          <w:sz w:val="24"/>
          <w:szCs w:val="24"/>
        </w:rPr>
        <w:t>Efetuar o pagamento ao Contratado do valor correspondente ao fornecimento do objeto, no prazo, forma e condições estabelecidos no presente Contrato e no Termo de Referência.</w:t>
      </w:r>
    </w:p>
    <w:p>
      <w:pPr>
        <w:pStyle w:val="Nivel2"/>
        <w:numPr>
          <w:ilvl w:val="1"/>
          <w:numId w:val="18"/>
        </w:numPr>
        <w:ind w:hanging="0" w:left="0"/>
        <w:rPr>
          <w:sz w:val="24"/>
          <w:szCs w:val="24"/>
        </w:rPr>
      </w:pPr>
      <w:r>
        <w:rPr>
          <w:color w:val="auto"/>
          <w:sz w:val="24"/>
          <w:szCs w:val="24"/>
        </w:rPr>
        <w:t xml:space="preserve">Aplicar ao Contratado as sanções previstas na lei e neste Contrato; </w:t>
      </w:r>
    </w:p>
    <w:p>
      <w:pPr>
        <w:pStyle w:val="Nivel2"/>
        <w:numPr>
          <w:ilvl w:val="1"/>
          <w:numId w:val="18"/>
        </w:numPr>
        <w:ind w:hanging="0" w:left="0"/>
        <w:rPr>
          <w:sz w:val="24"/>
          <w:szCs w:val="24"/>
        </w:rPr>
      </w:pPr>
      <w:r>
        <w:rPr>
          <w:color w:val="auto"/>
          <w:sz w:val="24"/>
          <w:szCs w:val="24"/>
        </w:rPr>
        <w:t>Cientificar o órgão de representação judicial da Advocacia-Geral da União para adoção das medidas cabíveis quando do descumprimento de obrigações pelo Contratado;</w:t>
      </w:r>
    </w:p>
    <w:p>
      <w:pPr>
        <w:pStyle w:val="Nivel2"/>
        <w:numPr>
          <w:ilvl w:val="1"/>
          <w:numId w:val="18"/>
        </w:numPr>
        <w:ind w:hanging="0" w:left="0"/>
        <w:rPr>
          <w:sz w:val="24"/>
          <w:szCs w:val="24"/>
        </w:rPr>
      </w:pPr>
      <w:r>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1"/>
          <w:numId w:val="18"/>
        </w:numPr>
        <w:ind w:hanging="0" w:left="0"/>
        <w:rPr>
          <w:sz w:val="24"/>
          <w:szCs w:val="24"/>
        </w:rPr>
      </w:pPr>
      <w:r>
        <w:rPr>
          <w:color w:val="auto"/>
          <w:sz w:val="24"/>
          <w:szCs w:val="24"/>
        </w:rPr>
        <w:t xml:space="preserve"> </w:t>
      </w:r>
      <w:r>
        <w:rPr>
          <w:color w:val="auto"/>
          <w:sz w:val="24"/>
          <w:szCs w:val="24"/>
        </w:rPr>
        <w:t xml:space="preserve">A Administração terá o prazo de </w:t>
      </w:r>
      <w:r>
        <w:rPr>
          <w:rFonts w:cs="Arial"/>
          <w:b/>
          <w:bCs/>
          <w:color w:val="auto"/>
          <w:sz w:val="24"/>
          <w:szCs w:val="24"/>
        </w:rPr>
        <w:t>12 (doze) meses</w:t>
      </w:r>
      <w:r>
        <w:rPr>
          <w:color w:val="auto"/>
          <w:sz w:val="24"/>
          <w:szCs w:val="24"/>
        </w:rPr>
        <w:t xml:space="preserve">, a contar da data do protocolo do requerimento para decidir, admitida a prorrogação motivada, por igual período. </w:t>
      </w:r>
    </w:p>
    <w:p>
      <w:pPr>
        <w:pStyle w:val="Nivel2"/>
        <w:numPr>
          <w:ilvl w:val="1"/>
          <w:numId w:val="18"/>
        </w:numPr>
        <w:ind w:hanging="0" w:left="0"/>
        <w:rPr>
          <w:sz w:val="24"/>
          <w:szCs w:val="24"/>
        </w:rPr>
      </w:pPr>
      <w:r>
        <w:rPr>
          <w:color w:val="auto"/>
          <w:sz w:val="24"/>
          <w:szCs w:val="24"/>
        </w:rPr>
        <w:t xml:space="preserve">Responder eventuais pedidos de reestabelecimento do equilíbrio econômico-financeiro feitos pelo contratado no prazo máximo de </w:t>
      </w:r>
      <w:r>
        <w:rPr>
          <w:rFonts w:cs="Arial"/>
          <w:b/>
          <w:bCs/>
          <w:color w:val="auto"/>
          <w:sz w:val="24"/>
          <w:szCs w:val="24"/>
        </w:rPr>
        <w:t>12 (doze) meses.</w:t>
      </w:r>
    </w:p>
    <w:p>
      <w:pPr>
        <w:pStyle w:val="Nvel2-Red"/>
        <w:numPr>
          <w:ilvl w:val="1"/>
          <w:numId w:val="18"/>
        </w:numPr>
        <w:ind w:hanging="0" w:left="0"/>
        <w:rPr>
          <w:sz w:val="24"/>
          <w:szCs w:val="24"/>
        </w:rPr>
      </w:pPr>
      <w:r>
        <w:rPr>
          <w:color w:val="auto"/>
          <w:sz w:val="24"/>
          <w:szCs w:val="24"/>
        </w:rPr>
        <w:t>Notificar os emitentes das garantias quanto ao início de processo administrativo para apuração de descumprimento de cláusulas contratuais.</w:t>
      </w:r>
    </w:p>
    <w:p>
      <w:pPr>
        <w:pStyle w:val="Nivel2"/>
        <w:numPr>
          <w:ilvl w:val="1"/>
          <w:numId w:val="18"/>
        </w:numPr>
        <w:ind w:hanging="0" w:left="0"/>
        <w:rPr>
          <w:sz w:val="24"/>
          <w:szCs w:val="24"/>
        </w:rPr>
      </w:pPr>
      <w:r>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8"/>
        </w:numPr>
        <w:rPr/>
      </w:pPr>
      <w:r>
        <w:rPr/>
        <w:t>CLÁUSULA NONA - OBRIGAÇÕES DO CONTRATADO (</w:t>
      </w:r>
      <w:hyperlink r:id="rId48" w:tooltip="http://www.planalto.gov.br/ccivil_03/_ato2019-2022/2021/lei/L14133.htm#art92&quot; l &quot;art92">
        <w:r>
          <w:rPr>
            <w:rStyle w:val="Style"/>
            <w:color w:val="auto"/>
            <w:u w:val="single"/>
          </w:rPr>
          <w:t>art. 92, XIV, XVI e XVII)</w:t>
        </w:r>
      </w:hyperlink>
    </w:p>
    <w:p>
      <w:pPr>
        <w:pStyle w:val="Nivel2"/>
        <w:numPr>
          <w:ilvl w:val="1"/>
          <w:numId w:val="18"/>
        </w:numPr>
        <w:ind w:hanging="0" w:left="0"/>
        <w:rPr>
          <w:sz w:val="24"/>
          <w:szCs w:val="24"/>
        </w:rPr>
      </w:pPr>
      <w:r>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vel2-Red"/>
        <w:numPr>
          <w:ilvl w:val="1"/>
          <w:numId w:val="18"/>
        </w:numPr>
        <w:ind w:hanging="0" w:left="0"/>
        <w:rPr>
          <w:sz w:val="24"/>
          <w:szCs w:val="24"/>
        </w:rPr>
      </w:pPr>
      <w:r>
        <w:rPr>
          <w:i w:val="false"/>
          <w:color w:val="auto"/>
          <w:sz w:val="24"/>
          <w:szCs w:val="24"/>
        </w:rPr>
        <w:t>Entregar o objeto acompanhado do manual do usuário, com uma versão em português, e da relação da rede de assistência técnica autorizada;</w:t>
      </w:r>
    </w:p>
    <w:p>
      <w:pPr>
        <w:pStyle w:val="Nivel2"/>
        <w:numPr>
          <w:ilvl w:val="1"/>
          <w:numId w:val="18"/>
        </w:numPr>
        <w:ind w:hanging="0" w:left="0"/>
        <w:rPr/>
      </w:pPr>
      <w:r>
        <w:rPr>
          <w:color w:val="auto"/>
          <w:sz w:val="24"/>
          <w:szCs w:val="24"/>
        </w:rPr>
        <w:t>Responsabilizar-se pelos vícios e danos decorrentes do objeto, de acordo com o Código de Defesa do Consumidor (</w:t>
      </w:r>
      <w:hyperlink r:id="rId49" w:tooltip="https://www.planalto.gov.br/ccivil_03/leis/l8078compilado.htm">
        <w:r>
          <w:rPr>
            <w:rStyle w:val="Style"/>
            <w:color w:val="auto"/>
            <w:sz w:val="24"/>
            <w:szCs w:val="24"/>
            <w:u w:val="single"/>
          </w:rPr>
          <w:t>Lei nº 8.078, de 1990</w:t>
        </w:r>
      </w:hyperlink>
      <w:r>
        <w:rPr>
          <w:color w:val="auto"/>
          <w:sz w:val="24"/>
          <w:szCs w:val="24"/>
        </w:rPr>
        <w:t>);</w:t>
      </w:r>
    </w:p>
    <w:p>
      <w:pPr>
        <w:pStyle w:val="Nivel2"/>
        <w:numPr>
          <w:ilvl w:val="1"/>
          <w:numId w:val="18"/>
        </w:numPr>
        <w:ind w:hanging="0" w:left="0"/>
        <w:rPr>
          <w:sz w:val="24"/>
          <w:szCs w:val="24"/>
        </w:rPr>
      </w:pPr>
      <w:r>
        <w:rPr>
          <w:color w:val="auto"/>
          <w:sz w:val="24"/>
          <w:szCs w:val="24"/>
        </w:rPr>
        <w:t>Comunicar ao contratante, no prazo máximo de 24 (vinte e quatro) horas que antecede a data da entrega, os motivos que impossibilitem o cumprimento do prazo previsto, com a devida comprovação;</w:t>
      </w:r>
    </w:p>
    <w:p>
      <w:pPr>
        <w:pStyle w:val="Nivel2"/>
        <w:numPr>
          <w:ilvl w:val="1"/>
          <w:numId w:val="18"/>
        </w:numPr>
        <w:ind w:hanging="0" w:left="0"/>
        <w:rPr/>
      </w:pPr>
      <w:r>
        <w:rPr>
          <w:color w:val="auto"/>
          <w:sz w:val="24"/>
          <w:szCs w:val="24"/>
        </w:rPr>
        <w:t>Atender às determinações regulares emitidas pelo fiscal ou gestor do contrato ou autoridade superior (</w:t>
      </w:r>
      <w:hyperlink r:id="rId50" w:tooltip="http://www.planalto.gov.br/ccivil_03/_ato2019-2022/2021/lei/L14133.htm#art137&quot; l &quot;art137">
        <w:r>
          <w:rPr>
            <w:rStyle w:val="Style"/>
            <w:color w:val="auto"/>
            <w:sz w:val="24"/>
            <w:szCs w:val="24"/>
            <w:u w:val="single"/>
          </w:rPr>
          <w:t>art. 137, II, da Lei n.º 14.133, de 2021</w:t>
        </w:r>
      </w:hyperlink>
      <w:r>
        <w:rPr>
          <w:color w:val="auto"/>
          <w:sz w:val="24"/>
          <w:szCs w:val="24"/>
        </w:rPr>
        <w:t>) e prestar todo esclarecimento ou informação por eles solicitados;</w:t>
      </w:r>
    </w:p>
    <w:p>
      <w:pPr>
        <w:pStyle w:val="Nivel2"/>
        <w:numPr>
          <w:ilvl w:val="1"/>
          <w:numId w:val="18"/>
        </w:numPr>
        <w:ind w:hanging="0" w:left="0"/>
        <w:rPr>
          <w:sz w:val="24"/>
          <w:szCs w:val="24"/>
        </w:rPr>
      </w:pPr>
      <w:r>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1"/>
          <w:numId w:val="18"/>
        </w:numPr>
        <w:ind w:hanging="0" w:left="0"/>
        <w:rPr>
          <w:sz w:val="24"/>
          <w:szCs w:val="24"/>
        </w:rPr>
      </w:pPr>
      <w:r>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8"/>
        </w:numPr>
        <w:ind w:hanging="0" w:left="0"/>
        <w:rPr>
          <w:sz w:val="24"/>
          <w:szCs w:val="24"/>
        </w:rPr>
      </w:pPr>
      <w:r>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pStyle w:val="Nivel2"/>
        <w:numPr>
          <w:ilvl w:val="1"/>
          <w:numId w:val="18"/>
        </w:numPr>
        <w:ind w:hanging="0" w:left="0"/>
        <w:rPr>
          <w:sz w:val="24"/>
          <w:szCs w:val="24"/>
        </w:rPr>
      </w:pPr>
      <w:r>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1"/>
          <w:numId w:val="18"/>
        </w:numPr>
        <w:ind w:hanging="0" w:left="0"/>
        <w:rPr>
          <w:sz w:val="24"/>
          <w:szCs w:val="24"/>
        </w:rPr>
      </w:pPr>
      <w:r>
        <w:rPr>
          <w:color w:val="auto"/>
          <w:sz w:val="24"/>
          <w:szCs w:val="24"/>
        </w:rPr>
        <w:t>Comunicar ao Fiscal do contrato, no prazo de 24 (vinte e quatro) horas, qualquer ocorrência anormal ou acidente que se verifique no local da execução do objeto contratual.</w:t>
      </w:r>
    </w:p>
    <w:p>
      <w:pPr>
        <w:pStyle w:val="Nivel2"/>
        <w:numPr>
          <w:ilvl w:val="1"/>
          <w:numId w:val="18"/>
        </w:numPr>
        <w:ind w:hanging="0" w:left="0"/>
        <w:rPr>
          <w:sz w:val="24"/>
          <w:szCs w:val="24"/>
        </w:rPr>
      </w:pPr>
      <w:r>
        <w:rPr>
          <w:color w:val="auto"/>
          <w:sz w:val="24"/>
          <w:szCs w:val="24"/>
        </w:rPr>
        <w:t>Paralisar, por determinação do contratante, qualquer atividade que não esteja sendo executada de acordo com a boa técnica ou que ponha em risco a segurança de pessoas ou bens de terceiros.</w:t>
      </w:r>
    </w:p>
    <w:p>
      <w:pPr>
        <w:pStyle w:val="Nivel2"/>
        <w:numPr>
          <w:ilvl w:val="1"/>
          <w:numId w:val="18"/>
        </w:numPr>
        <w:ind w:hanging="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p>
    <w:p>
      <w:pPr>
        <w:pStyle w:val="Nivel2"/>
        <w:numPr>
          <w:ilvl w:val="1"/>
          <w:numId w:val="18"/>
        </w:numPr>
        <w:ind w:hanging="0" w:left="0"/>
        <w:rPr/>
      </w:pPr>
      <w:r>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tooltip="http://www.planalto.gov.br/ccivil_03/_ato2019-2022/2021/lei/L14133.htm#art116&quot; l &quot;art116">
        <w:r>
          <w:rPr>
            <w:rStyle w:val="Style"/>
            <w:color w:val="auto"/>
            <w:sz w:val="24"/>
            <w:szCs w:val="24"/>
            <w:u w:val="single"/>
          </w:rPr>
          <w:t>art. 116, da Lei n.º 14.133, de 2021</w:t>
        </w:r>
      </w:hyperlink>
      <w:r>
        <w:rPr>
          <w:color w:val="auto"/>
          <w:sz w:val="24"/>
          <w:szCs w:val="24"/>
        </w:rPr>
        <w:t>);</w:t>
      </w:r>
    </w:p>
    <w:p>
      <w:pPr>
        <w:pStyle w:val="Nivel2"/>
        <w:numPr>
          <w:ilvl w:val="1"/>
          <w:numId w:val="18"/>
        </w:numPr>
        <w:ind w:hanging="0" w:left="0"/>
        <w:rPr/>
      </w:pPr>
      <w:r>
        <w:rPr>
          <w:color w:val="auto"/>
          <w:sz w:val="24"/>
          <w:szCs w:val="24"/>
        </w:rPr>
        <w:t>Comprovar a reserva de cargos a que se refere a cláusula acima, no prazo fixado pelo fiscal do contrato, com a indicação dos empregados que preencheram as referidas vagas (</w:t>
      </w:r>
      <w:hyperlink r:id="rId52" w:tooltip="http://www.planalto.gov.br/ccivil_03/_ato2019-2022/2021/lei/L14133.htm#art116&quot; l &quot;art116">
        <w:r>
          <w:rPr>
            <w:rStyle w:val="Style"/>
            <w:color w:val="auto"/>
            <w:sz w:val="24"/>
            <w:szCs w:val="24"/>
            <w:u w:val="single"/>
          </w:rPr>
          <w:t>art. 116, parágrafo único, da Lei n.º 14.133, de 2021</w:t>
        </w:r>
      </w:hyperlink>
      <w:r>
        <w:rPr>
          <w:color w:val="auto"/>
          <w:sz w:val="24"/>
          <w:szCs w:val="24"/>
        </w:rPr>
        <w:t>);</w:t>
      </w:r>
    </w:p>
    <w:p>
      <w:pPr>
        <w:pStyle w:val="Nivel2"/>
        <w:numPr>
          <w:ilvl w:val="1"/>
          <w:numId w:val="18"/>
        </w:numPr>
        <w:ind w:hanging="0" w:left="0"/>
        <w:rPr>
          <w:sz w:val="24"/>
          <w:szCs w:val="24"/>
        </w:rPr>
      </w:pPr>
      <w:r>
        <w:rPr>
          <w:color w:val="auto"/>
          <w:sz w:val="24"/>
          <w:szCs w:val="24"/>
        </w:rPr>
        <w:t xml:space="preserve">Guardar sigilo sobre todas as informações obtidas em decorrência do cumprimento do contrato; </w:t>
      </w:r>
    </w:p>
    <w:p>
      <w:pPr>
        <w:pStyle w:val="Nivel2"/>
        <w:numPr>
          <w:ilvl w:val="1"/>
          <w:numId w:val="18"/>
        </w:numPr>
        <w:ind w:hanging="0" w:left="0"/>
        <w:rPr/>
      </w:pPr>
      <w:r>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tooltip="http://www.planalto.gov.br/ccivil_03/_ato2019-2022/2021/lei/L14133.htm#art124&quot; l &quot;art124">
        <w:r>
          <w:rPr>
            <w:rStyle w:val="Style"/>
            <w:color w:val="auto"/>
            <w:sz w:val="24"/>
            <w:szCs w:val="24"/>
            <w:u w:val="single"/>
          </w:rPr>
          <w:t>art. 124, II, d, da Lei nº 14.133, de 2021.</w:t>
        </w:r>
      </w:hyperlink>
    </w:p>
    <w:p>
      <w:pPr>
        <w:pStyle w:val="Nivel2"/>
        <w:numPr>
          <w:ilvl w:val="1"/>
          <w:numId w:val="18"/>
        </w:numPr>
        <w:ind w:hanging="0" w:left="0"/>
        <w:rPr>
          <w:sz w:val="24"/>
          <w:szCs w:val="24"/>
        </w:rPr>
      </w:pPr>
      <w:r>
        <w:rPr>
          <w:color w:val="auto"/>
          <w:sz w:val="24"/>
          <w:szCs w:val="24"/>
        </w:rPr>
        <w:t>Cumprir, além dos postulados legais vigentes de âmbito federal, estadual ou municipal, as normas de segurança do contratante;</w:t>
      </w:r>
    </w:p>
    <w:p>
      <w:pPr>
        <w:pStyle w:val="Nvel2-Red"/>
        <w:numPr>
          <w:ilvl w:val="1"/>
          <w:numId w:val="18"/>
        </w:numPr>
        <w:ind w:hanging="0" w:left="0"/>
        <w:rPr>
          <w:sz w:val="24"/>
          <w:szCs w:val="24"/>
        </w:rPr>
      </w:pPr>
      <w:r>
        <w:rPr>
          <w:i w:val="false"/>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vel2-Red"/>
        <w:numPr>
          <w:ilvl w:val="1"/>
          <w:numId w:val="18"/>
        </w:numPr>
        <w:ind w:hanging="0" w:left="0"/>
        <w:rPr>
          <w:sz w:val="24"/>
          <w:szCs w:val="24"/>
        </w:rPr>
      </w:pPr>
      <w:r>
        <w:rPr>
          <w:i w:val="false"/>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pPr>
        <w:pStyle w:val="Nvel2-Red"/>
        <w:numPr>
          <w:ilvl w:val="1"/>
          <w:numId w:val="18"/>
        </w:numPr>
        <w:ind w:hanging="0" w:left="0"/>
        <w:rPr>
          <w:sz w:val="24"/>
          <w:szCs w:val="24"/>
        </w:rPr>
      </w:pPr>
      <w:r>
        <w:rPr>
          <w:i w:val="false"/>
          <w:color w:val="auto"/>
          <w:sz w:val="24"/>
          <w:szCs w:val="24"/>
        </w:rPr>
        <w:t>Conduzir os trabalhos com estrita observância às normas da legislação pertinente, cumprindo as determinações dos Poderes Públicos, mantendo sempre limpo o local d</w:t>
      </w:r>
      <w:r>
        <w:rPr>
          <w:i w:val="false"/>
          <w:color w:val="auto"/>
          <w:sz w:val="24"/>
          <w:szCs w:val="24"/>
          <w:lang w:eastAsia="en-US"/>
        </w:rPr>
        <w:t>e execução do objeto</w:t>
      </w:r>
      <w:r>
        <w:rPr>
          <w:i w:val="false"/>
          <w:color w:val="auto"/>
          <w:sz w:val="24"/>
          <w:szCs w:val="24"/>
        </w:rPr>
        <w:t xml:space="preserve"> e nas melhores condições de segurança, higiene e disciplina.</w:t>
      </w:r>
    </w:p>
    <w:p>
      <w:pPr>
        <w:pStyle w:val="Nvel2-Red"/>
        <w:numPr>
          <w:ilvl w:val="1"/>
          <w:numId w:val="18"/>
        </w:numPr>
        <w:ind w:hanging="0" w:left="0"/>
        <w:rPr>
          <w:sz w:val="24"/>
          <w:szCs w:val="24"/>
        </w:rPr>
      </w:pPr>
      <w:r>
        <w:rPr>
          <w:i w:val="false"/>
          <w:color w:val="auto"/>
          <w:sz w:val="24"/>
          <w:szCs w:val="24"/>
        </w:rPr>
        <w:t>Submeter previamente, por escrito, ao contratante, para análise e aprovação, quaisquer mudanças nos métodos executivos que fujam às especificações do memorial descritivo ou instrumento congênere.</w:t>
      </w:r>
    </w:p>
    <w:p>
      <w:pPr>
        <w:pStyle w:val="Nvel2-Red"/>
        <w:numPr>
          <w:ilvl w:val="1"/>
          <w:numId w:val="18"/>
        </w:numPr>
        <w:ind w:hanging="0" w:left="0"/>
        <w:rPr>
          <w:sz w:val="24"/>
          <w:szCs w:val="24"/>
        </w:rPr>
      </w:pPr>
      <w:r>
        <w:rPr>
          <w:i w:val="false"/>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01"/>
        <w:numPr>
          <w:ilvl w:val="0"/>
          <w:numId w:val="18"/>
        </w:numPr>
        <w:rPr/>
      </w:pPr>
      <w:r>
        <w:rPr/>
        <w:t>CLÁUSULA DÉCIMA– GARANTIA DE EXECUÇÃO (</w:t>
      </w:r>
      <w:hyperlink r:id="rId54" w:tooltip="http://www.planalto.gov.br/ccivil_03/_ato2019-2022/2021/lei/L14133.htm#art92&quot; l &quot;art92">
        <w:r>
          <w:rPr>
            <w:rStyle w:val="Style"/>
            <w:color w:val="auto"/>
            <w:u w:val="single"/>
          </w:rPr>
          <w:t>art. 92, XII</w:t>
        </w:r>
      </w:hyperlink>
      <w:r>
        <w:rPr/>
        <w:t>)</w:t>
      </w:r>
    </w:p>
    <w:p>
      <w:pPr>
        <w:pStyle w:val="Nvel2-Red"/>
        <w:numPr>
          <w:ilvl w:val="1"/>
          <w:numId w:val="18"/>
        </w:numPr>
        <w:ind w:hanging="0" w:left="0"/>
        <w:rPr>
          <w:sz w:val="24"/>
          <w:szCs w:val="24"/>
        </w:rPr>
      </w:pPr>
      <w:r>
        <w:rPr>
          <w:i w:val="false"/>
          <w:color w:val="auto"/>
          <w:sz w:val="24"/>
          <w:szCs w:val="24"/>
        </w:rPr>
        <w:t xml:space="preserve">  </w:t>
      </w:r>
      <w:r>
        <w:rPr>
          <w:i w:val="false"/>
          <w:color w:val="auto"/>
          <w:sz w:val="24"/>
          <w:szCs w:val="24"/>
        </w:rPr>
        <w:t>Não haverá exigência de garantia contratual da execução.</w:t>
      </w:r>
    </w:p>
    <w:p>
      <w:pPr>
        <w:pStyle w:val="Nivel01"/>
        <w:numPr>
          <w:ilvl w:val="0"/>
          <w:numId w:val="18"/>
        </w:numPr>
        <w:rPr/>
      </w:pPr>
      <w:r>
        <w:rPr/>
        <w:t>CLÁUSULA DÉCIMA PRIMEIRA – INFRAÇÕES E SANÇÕES ADMINISTRATIVAS (</w:t>
      </w:r>
      <w:hyperlink r:id="rId55" w:tooltip="http://www.planalto.gov.br/ccivil_03/_ato2019-2022/2021/lei/L14133.htm#art92&quot; l &quot;art92">
        <w:r>
          <w:rPr>
            <w:rStyle w:val="Style"/>
            <w:color w:val="auto"/>
            <w:u w:val="single"/>
          </w:rPr>
          <w:t>art. 92, XIV</w:t>
        </w:r>
      </w:hyperlink>
      <w:r>
        <w:rPr/>
        <w:t>)</w:t>
      </w:r>
    </w:p>
    <w:p>
      <w:pPr>
        <w:pStyle w:val="Nivel2"/>
        <w:numPr>
          <w:ilvl w:val="1"/>
          <w:numId w:val="18"/>
        </w:numPr>
        <w:ind w:hanging="0" w:left="0"/>
        <w:rPr/>
      </w:pPr>
      <w:r>
        <w:rPr>
          <w:color w:val="auto"/>
          <w:sz w:val="24"/>
          <w:szCs w:val="24"/>
        </w:rPr>
        <w:t xml:space="preserve">Comete infração administrativa, nos termos da </w:t>
      </w:r>
      <w:hyperlink r:id="rId56" w:tooltip="http://www.planalto.gov.br/ccivil_03/_ato2019-2022/2021/lei/L14133.htm">
        <w:r>
          <w:rPr>
            <w:rStyle w:val="Style"/>
            <w:color w:val="auto"/>
            <w:sz w:val="24"/>
            <w:szCs w:val="24"/>
            <w:u w:val="single"/>
          </w:rPr>
          <w:t>Lei nº 14.133, de 2021</w:t>
        </w:r>
      </w:hyperlink>
      <w:r>
        <w:rPr>
          <w:color w:val="auto"/>
          <w:sz w:val="24"/>
          <w:szCs w:val="24"/>
        </w:rPr>
        <w:t>, o contratado que:</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 que cause grave dano à Administração ou ao funcionamento dos serviços públicos ou ao interesse coletivo;</w:t>
      </w:r>
    </w:p>
    <w:p>
      <w:pPr>
        <w:pStyle w:val="Normal"/>
        <w:numPr>
          <w:ilvl w:val="2"/>
          <w:numId w:val="10"/>
        </w:numPr>
        <w:spacing w:lineRule="auto" w:line="276"/>
        <w:ind w:hanging="0" w:left="284"/>
        <w:rPr>
          <w:sz w:val="24"/>
          <w:szCs w:val="24"/>
        </w:rPr>
      </w:pPr>
      <w:r>
        <w:rPr>
          <w:rFonts w:eastAsia="Arial" w:cs="Arial"/>
          <w:sz w:val="24"/>
          <w:szCs w:val="24"/>
        </w:rPr>
        <w:t>der causa à inexecução total do contrato;</w:t>
      </w:r>
    </w:p>
    <w:p>
      <w:pPr>
        <w:pStyle w:val="Normal"/>
        <w:numPr>
          <w:ilvl w:val="2"/>
          <w:numId w:val="10"/>
        </w:numPr>
        <w:spacing w:lineRule="auto" w:line="276"/>
        <w:ind w:hanging="0" w:left="284"/>
        <w:rPr>
          <w:sz w:val="24"/>
          <w:szCs w:val="24"/>
        </w:rPr>
      </w:pPr>
      <w:r>
        <w:rPr>
          <w:rFonts w:eastAsia="Arial" w:cs="Arial"/>
          <w:sz w:val="24"/>
          <w:szCs w:val="24"/>
        </w:rPr>
        <w:t>ensejar o retardamento da execução ou da entrega do objeto da contratação sem motivo justificado;</w:t>
      </w:r>
    </w:p>
    <w:p>
      <w:pPr>
        <w:pStyle w:val="Normal"/>
        <w:numPr>
          <w:ilvl w:val="2"/>
          <w:numId w:val="10"/>
        </w:numPr>
        <w:spacing w:lineRule="auto" w:line="276"/>
        <w:ind w:hanging="0" w:left="284"/>
        <w:rPr>
          <w:sz w:val="24"/>
          <w:szCs w:val="24"/>
        </w:rPr>
      </w:pPr>
      <w:r>
        <w:rPr>
          <w:rFonts w:eastAsia="Arial" w:cs="Arial"/>
          <w:sz w:val="24"/>
          <w:szCs w:val="24"/>
        </w:rPr>
        <w:t>apresentar documentação falsa ou prestar declaração falsa durante a execução do contrato;</w:t>
      </w:r>
    </w:p>
    <w:p>
      <w:pPr>
        <w:pStyle w:val="Normal"/>
        <w:numPr>
          <w:ilvl w:val="2"/>
          <w:numId w:val="10"/>
        </w:numPr>
        <w:spacing w:lineRule="auto" w:line="276"/>
        <w:ind w:hanging="0" w:left="284"/>
        <w:rPr>
          <w:sz w:val="24"/>
          <w:szCs w:val="24"/>
        </w:rPr>
      </w:pPr>
      <w:r>
        <w:rPr>
          <w:rFonts w:eastAsia="Arial" w:cs="Arial"/>
          <w:sz w:val="24"/>
          <w:szCs w:val="24"/>
        </w:rPr>
        <w:t>praticar ato fraudulento na execução do contrato;</w:t>
      </w:r>
    </w:p>
    <w:p>
      <w:pPr>
        <w:pStyle w:val="Normal"/>
        <w:numPr>
          <w:ilvl w:val="2"/>
          <w:numId w:val="10"/>
        </w:numPr>
        <w:spacing w:lineRule="auto" w:line="276"/>
        <w:ind w:hanging="0" w:left="284"/>
        <w:rPr>
          <w:sz w:val="24"/>
          <w:szCs w:val="24"/>
        </w:rPr>
      </w:pPr>
      <w:r>
        <w:rPr>
          <w:rFonts w:eastAsia="Arial" w:cs="Arial"/>
          <w:sz w:val="24"/>
          <w:szCs w:val="24"/>
        </w:rPr>
        <w:t>comportar-se de modo inidôneo ou cometer fraude de qualquer natureza;</w:t>
      </w:r>
    </w:p>
    <w:p>
      <w:pPr>
        <w:pStyle w:val="Normal"/>
        <w:numPr>
          <w:ilvl w:val="2"/>
          <w:numId w:val="10"/>
        </w:numPr>
        <w:spacing w:lineRule="auto" w:line="276"/>
        <w:ind w:hanging="0" w:left="284"/>
        <w:rPr/>
      </w:pPr>
      <w:r>
        <w:rPr>
          <w:rFonts w:eastAsia="Arial" w:cs="Arial"/>
          <w:sz w:val="24"/>
          <w:szCs w:val="24"/>
        </w:rPr>
        <w:t xml:space="preserve">praticar ato lesivo previsto no </w:t>
      </w:r>
      <w:hyperlink r:id="rId57" w:tooltip="https://www.planalto.gov.br/ccivil_03/_ato2011-2014/2013/lei/l12846.htm#art5&quot; l &quot;art5">
        <w:r>
          <w:rPr>
            <w:rStyle w:val="Style"/>
            <w:rFonts w:eastAsia="Arial"/>
            <w:color w:val="auto"/>
            <w:sz w:val="24"/>
            <w:szCs w:val="24"/>
            <w:u w:val="single"/>
          </w:rPr>
          <w:t>art. 5º da Lei nº 12.846, de 1º de agosto de 2013</w:t>
        </w:r>
      </w:hyperlink>
      <w:r>
        <w:rPr>
          <w:rFonts w:eastAsia="Arial" w:cs="Arial"/>
          <w:sz w:val="24"/>
          <w:szCs w:val="24"/>
        </w:rPr>
        <w:t>.</w:t>
      </w:r>
    </w:p>
    <w:p>
      <w:pPr>
        <w:pStyle w:val="Nivel2"/>
        <w:numPr>
          <w:ilvl w:val="1"/>
          <w:numId w:val="18"/>
        </w:numPr>
        <w:ind w:hanging="0" w:left="0"/>
        <w:rPr>
          <w:sz w:val="24"/>
          <w:szCs w:val="24"/>
        </w:rPr>
      </w:pPr>
      <w:r>
        <w:rPr>
          <w:color w:val="auto"/>
          <w:sz w:val="24"/>
          <w:szCs w:val="24"/>
        </w:rPr>
        <w:t>Serão aplicadas ao contratado que incorrer nas infrações acima descritas as seguintes sanções:</w:t>
      </w:r>
    </w:p>
    <w:p>
      <w:pPr>
        <w:pStyle w:val="ListParagraph"/>
        <w:numPr>
          <w:ilvl w:val="0"/>
          <w:numId w:val="11"/>
        </w:numPr>
        <w:spacing w:lineRule="auto" w:line="276"/>
        <w:ind w:hanging="0" w:left="284"/>
        <w:rPr/>
      </w:pPr>
      <w:r>
        <w:rPr>
          <w:rFonts w:eastAsia="Arial" w:cs="Arial"/>
          <w:b/>
          <w:bCs/>
          <w:sz w:val="24"/>
          <w:szCs w:val="24"/>
        </w:rPr>
        <w:t>Advertência</w:t>
      </w:r>
      <w:r>
        <w:rPr>
          <w:rFonts w:eastAsia="Arial" w:cs="Arial"/>
          <w:sz w:val="24"/>
          <w:szCs w:val="24"/>
        </w:rPr>
        <w:t>, quando o contratado der causa à inexecução parcial do contrato, sempre que não se justificar a imposição de penalidade mais grave (</w:t>
      </w:r>
      <w:hyperlink r:id="rId58" w:tooltip="http://www.planalto.gov.br/ccivil_03/_ato2019-2022/2021/lei/L14133.htm#art156§2&quot; l &quot;art156§2">
        <w:r>
          <w:rPr>
            <w:rStyle w:val="Style"/>
            <w:rFonts w:eastAsia="Arial"/>
            <w:color w:val="auto"/>
            <w:sz w:val="24"/>
            <w:szCs w:val="24"/>
            <w:u w:val="single"/>
          </w:rPr>
          <w:t xml:space="preserve">art. 156, §2º, da </w:t>
        </w:r>
      </w:hyperlink>
      <w:r>
        <w:rPr>
          <w:rStyle w:val="Hyperlink1"/>
          <w:rFonts w:eastAsia="Arial"/>
          <w:color w:val="auto"/>
          <w:sz w:val="24"/>
          <w:szCs w:val="24"/>
        </w:rPr>
        <w:t>Lei nº 14.133, de 2021</w:t>
      </w:r>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59" w:tooltip="http://www.planalto.gov.br/ccivil_03/_ato2019-2022/2021/lei/L14133.htm#art156§4&quot; l &quot;art156§4">
        <w:r>
          <w:rPr>
            <w:rStyle w:val="Style"/>
            <w:rFonts w:eastAsia="Arial"/>
            <w:color w:val="auto"/>
            <w:sz w:val="24"/>
            <w:szCs w:val="24"/>
            <w:u w:val="single"/>
          </w:rPr>
          <w:t>art. 156, § 4º, da Lei nº 14.133, de 2021</w:t>
        </w:r>
      </w:hyperlink>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60" w:tooltip="http://www.planalto.gov.br/ccivil_03/_ato2019-2022/2021/lei/L14133.htm#art156§5&quot; l &quot;art156§5">
        <w:r>
          <w:rPr>
            <w:rStyle w:val="Style"/>
            <w:rFonts w:eastAsia="Arial"/>
            <w:color w:val="auto"/>
            <w:sz w:val="24"/>
            <w:szCs w:val="24"/>
            <w:u w:val="single"/>
          </w:rPr>
          <w:t>art. 156, §5º, da Lei nº 14.133, de 2021</w:t>
        </w:r>
      </w:hyperlink>
      <w:r>
        <w:rPr>
          <w:rFonts w:eastAsia="Arial" w:cs="Arial"/>
          <w:sz w:val="24"/>
          <w:szCs w:val="24"/>
        </w:rPr>
        <w:t>).</w:t>
      </w:r>
    </w:p>
    <w:p>
      <w:pPr>
        <w:pStyle w:val="ListParagraph"/>
        <w:numPr>
          <w:ilvl w:val="0"/>
          <w:numId w:val="11"/>
        </w:numPr>
        <w:spacing w:lineRule="auto" w:line="276"/>
        <w:ind w:hanging="0" w:left="284"/>
        <w:rPr>
          <w:sz w:val="24"/>
          <w:szCs w:val="24"/>
        </w:rPr>
      </w:pPr>
      <w:r>
        <w:rPr>
          <w:rFonts w:eastAsia="Arial" w:cs="Arial"/>
          <w:b/>
          <w:bCs/>
          <w:sz w:val="24"/>
          <w:szCs w:val="24"/>
        </w:rPr>
        <w:t>Multa:</w:t>
      </w:r>
    </w:p>
    <w:p>
      <w:pPr>
        <w:pStyle w:val="ListParagraph"/>
        <w:numPr>
          <w:ilvl w:val="1"/>
          <w:numId w:val="11"/>
        </w:numPr>
        <w:spacing w:lineRule="auto" w:line="276"/>
        <w:ind w:hanging="0" w:left="567"/>
        <w:rPr>
          <w:sz w:val="24"/>
          <w:szCs w:val="24"/>
        </w:rPr>
      </w:pPr>
      <w:r>
        <w:rPr>
          <w:rFonts w:eastAsia="Arial" w:cs="Arial"/>
          <w:sz w:val="24"/>
          <w:szCs w:val="24"/>
        </w:rPr>
        <w:t xml:space="preserve">Moratória de </w:t>
      </w:r>
      <w:r>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Pr>
          <w:rFonts w:eastAsia="Arial" w:cs="Arial"/>
          <w:b/>
          <w:sz w:val="24"/>
          <w:szCs w:val="24"/>
        </w:rPr>
        <w:t>60 (sessenta) dias</w:t>
      </w:r>
      <w:r>
        <w:rPr>
          <w:rFonts w:eastAsia="Arial" w:cs="Arial"/>
          <w:sz w:val="24"/>
          <w:szCs w:val="24"/>
        </w:rPr>
        <w:t>;</w:t>
      </w:r>
    </w:p>
    <w:p>
      <w:pPr>
        <w:pStyle w:val="ListParagraph"/>
        <w:numPr>
          <w:ilvl w:val="2"/>
          <w:numId w:val="11"/>
        </w:numPr>
        <w:spacing w:lineRule="auto" w:line="276"/>
        <w:ind w:hanging="0" w:left="851"/>
        <w:rPr>
          <w:sz w:val="24"/>
          <w:szCs w:val="24"/>
        </w:rPr>
      </w:pPr>
      <w:r>
        <w:rPr>
          <w:rFonts w:eastAsia="Arial" w:cs="Arial"/>
          <w:i/>
          <w:iCs/>
          <w:sz w:val="24"/>
          <w:szCs w:val="24"/>
        </w:rPr>
        <w:t xml:space="preserve">O atraso superior a </w:t>
      </w:r>
      <w:r>
        <w:rPr>
          <w:rFonts w:eastAsia="Arial" w:cs="Arial"/>
          <w:b/>
          <w:i/>
          <w:iCs/>
          <w:sz w:val="24"/>
          <w:szCs w:val="24"/>
        </w:rPr>
        <w:t>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9% a 10%</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p>
    <w:p>
      <w:pPr>
        <w:pStyle w:val="ListParagraph"/>
        <w:numPr>
          <w:ilvl w:val="1"/>
          <w:numId w:val="11"/>
        </w:numPr>
        <w:spacing w:lineRule="auto" w:line="276"/>
        <w:ind w:hanging="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5% a 6%</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3% a 4%</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1% a 2%</w:t>
      </w:r>
      <w:r>
        <w:rPr>
          <w:rFonts w:eastAsia="Arial" w:cs="Arial"/>
          <w:sz w:val="24"/>
          <w:szCs w:val="24"/>
        </w:rPr>
        <w:t xml:space="preserve"> do valor do Contrato, ressalvadas as seguintes infrações:</w:t>
      </w:r>
    </w:p>
    <w:p>
      <w:pPr>
        <w:pStyle w:val="Nivel2"/>
        <w:numPr>
          <w:ilvl w:val="1"/>
          <w:numId w:val="18"/>
        </w:numPr>
        <w:ind w:hanging="0" w:left="0"/>
        <w:rPr/>
      </w:pPr>
      <w:r>
        <w:rPr>
          <w:color w:val="auto"/>
          <w:sz w:val="24"/>
          <w:szCs w:val="24"/>
        </w:rPr>
        <w:t>A aplicação das sanções previstas neste Contrato não exclui, em hipótese alguma, a obrigação de reparação integral do dano causado ao Contratante (</w:t>
      </w:r>
      <w:hyperlink r:id="rId61" w:tooltip="http://www.planalto.gov.br/ccivil_03/_ato2019-2022/2021/lei/L14133.htm#art156§9&quot; l &quot;art156§9">
        <w:r>
          <w:rPr>
            <w:rStyle w:val="Style"/>
            <w:color w:val="auto"/>
            <w:sz w:val="24"/>
            <w:szCs w:val="24"/>
            <w:u w:val="single"/>
          </w:rPr>
          <w:t>art. 156, §9º, da Lei nº 14.133, de 2021</w:t>
        </w:r>
      </w:hyperlink>
      <w:r>
        <w:rPr>
          <w:color w:val="auto"/>
          <w:sz w:val="24"/>
          <w:szCs w:val="24"/>
        </w:rPr>
        <w:t>)</w:t>
      </w:r>
    </w:p>
    <w:p>
      <w:pPr>
        <w:pStyle w:val="Nivel3"/>
        <w:numPr>
          <w:ilvl w:val="2"/>
          <w:numId w:val="18"/>
        </w:numPr>
        <w:ind w:hanging="0" w:left="284"/>
        <w:rPr/>
      </w:pPr>
      <w:r>
        <w:rPr>
          <w:color w:val="auto"/>
          <w:sz w:val="24"/>
          <w:szCs w:val="24"/>
        </w:rPr>
        <w:t>Todas as sanções previstas neste Contrato poderão ser aplicadas cumulativamente com a multa (</w:t>
      </w:r>
      <w:hyperlink r:id="rId62" w:tooltip="http://www.planalto.gov.br/ccivil_03/_ato2019-2022/2021/lei/L14133.htm#art156§7&quot; l &quot;art156§7">
        <w:r>
          <w:rPr>
            <w:rStyle w:val="Style"/>
            <w:color w:val="auto"/>
            <w:sz w:val="24"/>
            <w:szCs w:val="24"/>
            <w:u w:val="single"/>
          </w:rPr>
          <w:t>art. 156, §7º, da Lei nº 14.133, de 2021</w:t>
        </w:r>
      </w:hyperlink>
      <w:r>
        <w:rPr>
          <w:color w:val="auto"/>
          <w:sz w:val="24"/>
          <w:szCs w:val="24"/>
        </w:rPr>
        <w:t>).</w:t>
      </w:r>
    </w:p>
    <w:p>
      <w:pPr>
        <w:pStyle w:val="Nivel3"/>
        <w:numPr>
          <w:ilvl w:val="2"/>
          <w:numId w:val="18"/>
        </w:numPr>
        <w:ind w:hanging="0" w:left="284"/>
        <w:rPr/>
      </w:pPr>
      <w:r>
        <w:rPr>
          <w:color w:val="auto"/>
          <w:sz w:val="24"/>
          <w:szCs w:val="24"/>
        </w:rPr>
        <w:t xml:space="preserve">Antes da aplicação da multa será facultada a defesa do interessado no prazo de </w:t>
      </w:r>
      <w:r>
        <w:rPr>
          <w:b/>
          <w:color w:val="auto"/>
          <w:sz w:val="24"/>
          <w:szCs w:val="24"/>
        </w:rPr>
        <w:t>15 (quinze) dias úteis</w:t>
      </w:r>
      <w:r>
        <w:rPr>
          <w:color w:val="auto"/>
          <w:sz w:val="24"/>
          <w:szCs w:val="24"/>
        </w:rPr>
        <w:t>, contado da data de sua intimação (</w:t>
      </w:r>
      <w:hyperlink r:id="rId63" w:tooltip="http://www.planalto.gov.br/ccivil_03/_ato2019-2022/2021/lei/L14133.htm#art157&quot; l &quot;art157">
        <w:r>
          <w:rPr>
            <w:rStyle w:val="Style"/>
            <w:color w:val="auto"/>
            <w:sz w:val="24"/>
            <w:szCs w:val="24"/>
            <w:u w:val="single"/>
          </w:rPr>
          <w:t>art. 157, da Lei nº 14.133, de 2021</w:t>
        </w:r>
      </w:hyperlink>
      <w:r>
        <w:rPr>
          <w:color w:val="auto"/>
          <w:sz w:val="24"/>
          <w:szCs w:val="24"/>
        </w:rPr>
        <w:t>)</w:t>
      </w:r>
    </w:p>
    <w:p>
      <w:pPr>
        <w:pStyle w:val="Nivel3"/>
        <w:numPr>
          <w:ilvl w:val="2"/>
          <w:numId w:val="18"/>
        </w:numPr>
        <w:ind w:hanging="0" w:left="284"/>
        <w:rPr/>
      </w:pPr>
      <w:r>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tooltip="http://www.planalto.gov.br/ccivil_03/_ato2019-2022/2021/lei/L14133.htm#art156§8&quot; l &quot;art156§8">
        <w:r>
          <w:rPr>
            <w:rStyle w:val="Style"/>
            <w:color w:val="auto"/>
            <w:sz w:val="24"/>
            <w:szCs w:val="24"/>
            <w:u w:val="single"/>
          </w:rPr>
          <w:t>art. 156, §8º, da Lei nº 14.133, de 2021</w:t>
        </w:r>
      </w:hyperlink>
      <w:r>
        <w:rPr>
          <w:color w:val="auto"/>
          <w:sz w:val="24"/>
          <w:szCs w:val="24"/>
        </w:rPr>
        <w:t>).</w:t>
      </w:r>
    </w:p>
    <w:p>
      <w:pPr>
        <w:pStyle w:val="Nivel3"/>
        <w:numPr>
          <w:ilvl w:val="2"/>
          <w:numId w:val="18"/>
        </w:numPr>
        <w:ind w:hanging="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30</w:t>
      </w:r>
      <w:r>
        <w:rPr>
          <w:b/>
          <w:i/>
          <w:iCs/>
          <w:color w:val="auto"/>
          <w:sz w:val="24"/>
          <w:szCs w:val="24"/>
        </w:rPr>
        <w:t xml:space="preserve"> </w:t>
      </w:r>
      <w:r>
        <w:rPr>
          <w:b/>
          <w:iCs/>
          <w:color w:val="auto"/>
          <w:sz w:val="24"/>
          <w:szCs w:val="24"/>
        </w:rPr>
        <w:t>(trinta)</w:t>
      </w:r>
      <w:r>
        <w:rPr>
          <w:b/>
          <w:i/>
          <w:iCs/>
          <w:color w:val="auto"/>
          <w:sz w:val="24"/>
          <w:szCs w:val="24"/>
        </w:rPr>
        <w:t xml:space="preserve"> </w:t>
      </w:r>
      <w:r>
        <w:rPr>
          <w:b/>
          <w:color w:val="auto"/>
          <w:sz w:val="24"/>
          <w:szCs w:val="24"/>
        </w:rPr>
        <w:t>dias</w:t>
      </w:r>
      <w:r>
        <w:rPr>
          <w:color w:val="auto"/>
          <w:sz w:val="24"/>
          <w:szCs w:val="24"/>
        </w:rPr>
        <w:t>, a contar da data do recebimento da comunicação enviada pela autoridade competente.</w:t>
      </w:r>
    </w:p>
    <w:p>
      <w:pPr>
        <w:pStyle w:val="Nivel2"/>
        <w:numPr>
          <w:ilvl w:val="1"/>
          <w:numId w:val="18"/>
        </w:numPr>
        <w:ind w:hanging="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65" w:tooltip="http://www.planalto.gov.br/ccivil_03/_ato2019-2022/2021/lei/L14133.htm#art158&quot; l &quot;art158">
        <w:r>
          <w:rPr>
            <w:rStyle w:val="Style"/>
            <w:color w:val="auto"/>
            <w:sz w:val="24"/>
            <w:szCs w:val="24"/>
            <w:u w:val="single"/>
          </w:rPr>
          <w:t>art. 158 da Lei nº 14.133, de 2021</w:t>
        </w:r>
      </w:hyperlink>
      <w:r>
        <w:rPr>
          <w:color w:val="auto"/>
          <w:sz w:val="24"/>
          <w:szCs w:val="24"/>
        </w:rPr>
        <w:t>, para as penalidades de impedimento de licitar e contratar e de declaração de inidoneidade para licitar ou contratar.</w:t>
      </w:r>
    </w:p>
    <w:p>
      <w:pPr>
        <w:pStyle w:val="Nivel2"/>
        <w:numPr>
          <w:ilvl w:val="1"/>
          <w:numId w:val="18"/>
        </w:numPr>
        <w:ind w:hanging="0" w:left="0"/>
        <w:rPr/>
      </w:pPr>
      <w:r>
        <w:rPr>
          <w:color w:val="auto"/>
          <w:sz w:val="24"/>
          <w:szCs w:val="24"/>
        </w:rPr>
        <w:t>Na aplicação das sanções serão considerados (</w:t>
      </w:r>
      <w:hyperlink r:id="rId66" w:tooltip="http://www.planalto.gov.br/ccivil_03/_ato2019-2022/2021/lei/L14133.htm#art156§1&quot; l &quot;art156§1">
        <w:r>
          <w:rPr>
            <w:rStyle w:val="Style"/>
            <w:color w:val="auto"/>
            <w:sz w:val="24"/>
            <w:szCs w:val="24"/>
            <w:u w:val="single"/>
          </w:rPr>
          <w:t>art. 156, §1º, da Lei nº 14.133, de 2021</w:t>
        </w:r>
      </w:hyperlink>
      <w:r>
        <w:rPr>
          <w:color w:val="auto"/>
          <w:sz w:val="24"/>
          <w:szCs w:val="24"/>
        </w:rPr>
        <w:t>):</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natureza e a gravidade da infração cometida;</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peculiaridades do caso concreto;</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circunstâncias agravantes ou atenuantes;</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os danos que dela provierem para o Contratante;</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implantação ou o aperfeiçoamento de programa de integridade, conforme normas e orientações dos órgãos de controle.</w:t>
      </w:r>
    </w:p>
    <w:p>
      <w:pPr>
        <w:pStyle w:val="Nivel2"/>
        <w:numPr>
          <w:ilvl w:val="1"/>
          <w:numId w:val="18"/>
        </w:numPr>
        <w:ind w:hanging="0" w:left="0"/>
        <w:rPr/>
      </w:pPr>
      <w:r>
        <w:rPr>
          <w:color w:val="auto"/>
          <w:sz w:val="24"/>
          <w:szCs w:val="24"/>
        </w:rPr>
        <w:t xml:space="preserve">Os atos previstos como infrações administrativas na </w:t>
      </w:r>
      <w:hyperlink r:id="rId67" w:tooltip="http://www.planalto.gov.br/ccivil_03/_ato2019-2022/2021/lei/L14133.htm">
        <w:r>
          <w:rPr>
            <w:rStyle w:val="Style"/>
            <w:color w:val="auto"/>
            <w:sz w:val="24"/>
            <w:szCs w:val="24"/>
            <w:u w:val="single"/>
          </w:rPr>
          <w:t>Lei nº 14.133, de 2021</w:t>
        </w:r>
      </w:hyperlink>
      <w:r>
        <w:rPr>
          <w:color w:val="auto"/>
          <w:sz w:val="24"/>
          <w:szCs w:val="24"/>
        </w:rPr>
        <w:t xml:space="preserve">, ou em outras leis de licitações e contratos da Administração Pública que também sejam tipificados como atos lesivos na </w:t>
      </w:r>
      <w:hyperlink r:id="rId68" w:tooltip="https://www.planalto.gov.br/ccivil_03/_ato2011-2014/2013/lei/l12846.htm">
        <w:r>
          <w:rPr>
            <w:rStyle w:val="Style"/>
            <w:color w:val="auto"/>
            <w:sz w:val="24"/>
            <w:szCs w:val="24"/>
            <w:u w:val="single"/>
          </w:rPr>
          <w:t>Lei nº 12.846, de 2013</w:t>
        </w:r>
      </w:hyperlink>
      <w:r>
        <w:rPr>
          <w:color w:val="auto"/>
          <w:sz w:val="24"/>
          <w:szCs w:val="24"/>
        </w:rPr>
        <w:t>, serão apurados e julgados conjuntamente, nos mesmos autos, observados o rito procedimental e autoridade competente definidos na referida Lei (</w:t>
      </w:r>
      <w:hyperlink r:id="rId69" w:tooltip="http://www.planalto.gov.br/ccivil_03/_ato2019-2022/2021/lei/L14133.htm%25art159">
        <w:r>
          <w:rPr>
            <w:rStyle w:val="Style"/>
            <w:color w:val="auto"/>
            <w:sz w:val="24"/>
            <w:szCs w:val="24"/>
            <w:u w:val="single"/>
          </w:rPr>
          <w:t>art. 159</w:t>
        </w:r>
      </w:hyperlink>
      <w:r>
        <w:rPr>
          <w:color w:val="auto"/>
          <w:sz w:val="24"/>
          <w:szCs w:val="24"/>
        </w:rPr>
        <w:t>).</w:t>
      </w:r>
    </w:p>
    <w:p>
      <w:pPr>
        <w:pStyle w:val="Nivel2"/>
        <w:numPr>
          <w:ilvl w:val="1"/>
          <w:numId w:val="18"/>
        </w:numPr>
        <w:ind w:hanging="0" w:left="0"/>
        <w:rPr/>
      </w:pPr>
      <w:r>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tooltip="http://www.planalto.gov.br/ccivil_03/_ato2019-2022/2021/lei/L14133.htm#art160&quot; l &quot;art160">
        <w:r>
          <w:rPr>
            <w:rStyle w:val="Style"/>
            <w:color w:val="auto"/>
            <w:sz w:val="24"/>
            <w:szCs w:val="24"/>
            <w:u w:val="single"/>
          </w:rPr>
          <w:t>art. 160, da Lei nº 14.133, de 2021</w:t>
        </w:r>
      </w:hyperlink>
      <w:r>
        <w:rPr>
          <w:color w:val="auto"/>
          <w:sz w:val="24"/>
          <w:szCs w:val="24"/>
        </w:rPr>
        <w:t>).</w:t>
      </w:r>
    </w:p>
    <w:p>
      <w:pPr>
        <w:pStyle w:val="Nivel2"/>
        <w:numPr>
          <w:ilvl w:val="1"/>
          <w:numId w:val="18"/>
        </w:numPr>
        <w:ind w:hanging="0" w:left="0"/>
        <w:rPr/>
      </w:pPr>
      <w:r>
        <w:rPr>
          <w:color w:val="auto"/>
          <w:sz w:val="24"/>
          <w:szCs w:val="24"/>
        </w:rPr>
        <w:t xml:space="preserve"> </w:t>
      </w:r>
      <w:r>
        <w:rPr>
          <w:color w:val="auto"/>
          <w:sz w:val="24"/>
          <w:szCs w:val="24"/>
        </w:rPr>
        <w:t xml:space="preserve">O Contratante deverá, no prazo máximo de </w:t>
      </w:r>
      <w:r>
        <w:rPr>
          <w:b/>
          <w:color w:val="auto"/>
          <w:sz w:val="24"/>
          <w:szCs w:val="24"/>
        </w:rPr>
        <w:t>15 (quinze) dias úteis</w:t>
      </w:r>
      <w:r>
        <w:rPr>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tooltip="http://www.planalto.gov.br/ccivil_03/_ato2019-2022/2021/lei/L14133.htm#art161&quot; l &quot;art161">
        <w:r>
          <w:rPr>
            <w:rStyle w:val="Style"/>
            <w:color w:val="auto"/>
            <w:sz w:val="24"/>
            <w:szCs w:val="24"/>
            <w:u w:val="single"/>
          </w:rPr>
          <w:t>Art. 161, da Lei nº 14.133, de 2021</w:t>
        </w:r>
      </w:hyperlink>
      <w:r>
        <w:rPr>
          <w:color w:val="auto"/>
          <w:sz w:val="24"/>
          <w:szCs w:val="24"/>
        </w:rPr>
        <w:t>).</w:t>
      </w:r>
    </w:p>
    <w:p>
      <w:pPr>
        <w:pStyle w:val="Nivel2"/>
        <w:numPr>
          <w:ilvl w:val="1"/>
          <w:numId w:val="18"/>
        </w:numPr>
        <w:ind w:hanging="0" w:left="0"/>
        <w:rPr/>
      </w:pPr>
      <w:r>
        <w:rPr>
          <w:color w:val="auto"/>
          <w:sz w:val="24"/>
          <w:szCs w:val="24"/>
        </w:rPr>
        <w:t xml:space="preserve">As sanções de impedimento de licitar e contratar e declaração de inidoneidade para licitar ou contratar são passíveis de reabilitação na forma do </w:t>
      </w:r>
      <w:hyperlink r:id="rId72" w:tooltip="http://www.planalto.gov.br/ccivil_03/_ato2019-2022/2021/lei/L14133.htm#163&quot; l &quot;163">
        <w:r>
          <w:rPr>
            <w:rStyle w:val="Style"/>
            <w:color w:val="auto"/>
            <w:sz w:val="24"/>
            <w:szCs w:val="24"/>
            <w:u w:val="single"/>
          </w:rPr>
          <w:t>art. 163 da Lei nº 14.133/21</w:t>
        </w:r>
      </w:hyperlink>
      <w:r>
        <w:rPr>
          <w:color w:val="auto"/>
          <w:sz w:val="24"/>
          <w:szCs w:val="24"/>
        </w:rPr>
        <w:t>.</w:t>
      </w:r>
    </w:p>
    <w:p>
      <w:pPr>
        <w:pStyle w:val="Nivel2"/>
        <w:numPr>
          <w:ilvl w:val="1"/>
          <w:numId w:val="18"/>
        </w:numPr>
        <w:ind w:hanging="0" w:left="0"/>
        <w:rPr/>
      </w:pPr>
      <w:r>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tooltip="https://www.gov.br/compras/pt-br/acesso-a-informacao/legislacao/instrucoes-normativas/instrucao-normativa-seges-me-no-26-de-13-de-abril-de-2022">
        <w:r>
          <w:rPr>
            <w:rStyle w:val="Style"/>
            <w:color w:val="auto"/>
            <w:sz w:val="24"/>
            <w:szCs w:val="24"/>
            <w:u w:val="single"/>
          </w:rPr>
          <w:t>Normativa SEGES/ME nº 26, de 13 de abril de 2022</w:t>
        </w:r>
      </w:hyperlink>
      <w:r>
        <w:rPr>
          <w:color w:val="auto"/>
          <w:sz w:val="24"/>
          <w:szCs w:val="24"/>
        </w:rPr>
        <w:t xml:space="preserve">. </w:t>
      </w:r>
    </w:p>
    <w:p>
      <w:pPr>
        <w:pStyle w:val="Nivel01"/>
        <w:numPr>
          <w:ilvl w:val="0"/>
          <w:numId w:val="18"/>
        </w:numPr>
        <w:rPr/>
      </w:pPr>
      <w:r>
        <w:rPr/>
        <w:t>CLÁUSULA DÉCIMA SEGUNDA– DA EXTINÇÃO CONTRATUAL (</w:t>
      </w:r>
      <w:hyperlink r:id="rId74" w:tooltip="http://www.planalto.gov.br/ccivil_03/_ato2019-2022/2021/lei/L14133.htm#art92&quot; l &quot;art92">
        <w:r>
          <w:rPr>
            <w:rStyle w:val="Style"/>
            <w:color w:val="auto"/>
            <w:u w:val="single"/>
          </w:rPr>
          <w:t>art. 92, XIX</w:t>
        </w:r>
      </w:hyperlink>
      <w:r>
        <w:rPr/>
        <w:t>)</w:t>
      </w:r>
    </w:p>
    <w:p>
      <w:pPr>
        <w:pStyle w:val="Nvel2-Red"/>
        <w:numPr>
          <w:ilvl w:val="1"/>
          <w:numId w:val="18"/>
        </w:numPr>
        <w:ind w:hanging="0" w:left="0"/>
        <w:rPr>
          <w:sz w:val="24"/>
          <w:szCs w:val="24"/>
        </w:rPr>
      </w:pPr>
      <w:r>
        <w:rPr>
          <w:i w:val="false"/>
          <w:color w:val="auto"/>
          <w:sz w:val="24"/>
          <w:szCs w:val="24"/>
        </w:rPr>
        <w:t>O contrato será extinto quando cumpridas as obrigações de ambas as partes, ainda que isso ocorra antes do prazo estipulado para tanto.</w:t>
      </w:r>
    </w:p>
    <w:p>
      <w:pPr>
        <w:pStyle w:val="Nvel2-Red"/>
        <w:numPr>
          <w:ilvl w:val="1"/>
          <w:numId w:val="18"/>
        </w:numPr>
        <w:ind w:hanging="0" w:left="0"/>
        <w:rPr>
          <w:sz w:val="24"/>
          <w:szCs w:val="24"/>
        </w:rPr>
      </w:pPr>
      <w:r>
        <w:rPr>
          <w:i w:val="false"/>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pPr>
        <w:pStyle w:val="Nvel3-R"/>
        <w:numPr>
          <w:ilvl w:val="2"/>
          <w:numId w:val="18"/>
        </w:numPr>
        <w:ind w:hanging="0" w:left="284"/>
        <w:rPr>
          <w:sz w:val="24"/>
          <w:szCs w:val="24"/>
        </w:rPr>
      </w:pPr>
      <w:r>
        <w:rPr>
          <w:i w:val="false"/>
          <w:color w:val="auto"/>
          <w:sz w:val="24"/>
          <w:szCs w:val="24"/>
        </w:rPr>
        <w:t>Quando a não conclusão do contrato referida no item anterior decorrer de culpa do contratado:</w:t>
      </w:r>
    </w:p>
    <w:p>
      <w:pPr>
        <w:pStyle w:val="ListParagraph"/>
        <w:numPr>
          <w:ilvl w:val="0"/>
          <w:numId w:val="9"/>
        </w:numPr>
        <w:spacing w:lineRule="auto" w:line="312"/>
        <w:ind w:hanging="0" w:left="567"/>
        <w:rPr>
          <w:sz w:val="24"/>
          <w:szCs w:val="24"/>
        </w:rPr>
      </w:pPr>
      <w:r>
        <w:rPr>
          <w:rFonts w:eastAsia="Arial" w:cs="Arial"/>
          <w:iCs/>
          <w:sz w:val="24"/>
          <w:szCs w:val="24"/>
        </w:rPr>
        <w:t xml:space="preserve">ficará ele constituído em mora, sendo-lhe aplicáveis as respectivas sanções administrativas; e  </w:t>
      </w:r>
    </w:p>
    <w:p>
      <w:pPr>
        <w:pStyle w:val="ListParagraph"/>
        <w:numPr>
          <w:ilvl w:val="0"/>
          <w:numId w:val="9"/>
        </w:numPr>
        <w:spacing w:lineRule="auto" w:line="312"/>
        <w:ind w:hanging="0" w:left="567"/>
        <w:rPr>
          <w:sz w:val="24"/>
          <w:szCs w:val="24"/>
        </w:rPr>
      </w:pPr>
      <w:r>
        <w:rPr>
          <w:rFonts w:eastAsia="Arial" w:cs="Arial"/>
          <w:iCs/>
          <w:sz w:val="24"/>
          <w:szCs w:val="24"/>
        </w:rPr>
        <w:t>poderá a Administração optar pela extinção do contrato e, nesse caso, adotará as medidas admitidas em lei para a continuidade da execução contratual.</w:t>
      </w:r>
    </w:p>
    <w:p>
      <w:pPr>
        <w:pStyle w:val="Nivel2"/>
        <w:numPr>
          <w:ilvl w:val="1"/>
          <w:numId w:val="18"/>
        </w:numPr>
        <w:ind w:hanging="0" w:left="0"/>
        <w:rPr/>
      </w:pPr>
      <w:r>
        <w:rPr>
          <w:color w:val="auto"/>
          <w:sz w:val="24"/>
          <w:szCs w:val="24"/>
        </w:rPr>
        <w:t xml:space="preserve">O contrato poderá ser extinto antes de cumpridas as obrigações nele estipuladas, ou antes do prazo nele fixado, por algum dos motivos previstos no </w:t>
      </w:r>
      <w:hyperlink r:id="rId75" w:tooltip="http://www.planalto.gov.br/ccivil_03/_ato2019-2022/2021/lei/L14133.htm#art137&quot; l &quot;art137">
        <w:r>
          <w:rPr>
            <w:rStyle w:val="Style"/>
            <w:color w:val="auto"/>
            <w:sz w:val="24"/>
            <w:szCs w:val="24"/>
            <w:u w:val="single"/>
          </w:rPr>
          <w:t>artigo 137 da Lei nº 14.133/21</w:t>
        </w:r>
      </w:hyperlink>
      <w:r>
        <w:rPr>
          <w:color w:val="auto"/>
          <w:sz w:val="24"/>
          <w:szCs w:val="24"/>
        </w:rPr>
        <w:t>, bem como amigavelmente, assegurados o contraditório e a ampla defesa.</w:t>
      </w:r>
    </w:p>
    <w:p>
      <w:pPr>
        <w:pStyle w:val="Nivel3"/>
        <w:numPr>
          <w:ilvl w:val="2"/>
          <w:numId w:val="18"/>
        </w:numPr>
        <w:ind w:hanging="0" w:left="284"/>
        <w:rPr/>
      </w:pPr>
      <w:r>
        <w:rPr>
          <w:color w:val="auto"/>
          <w:sz w:val="24"/>
          <w:szCs w:val="24"/>
        </w:rPr>
        <w:t xml:space="preserve">Nesta hipótese, aplicam-se também os </w:t>
      </w:r>
      <w:hyperlink r:id="rId76" w:tooltip="http://www.planalto.gov.br/ccivil_03/_ato2019-2022/2021/lei/L14133.htm#art138&quot; l &quot;art138">
        <w:r>
          <w:rPr>
            <w:rStyle w:val="Style"/>
            <w:color w:val="auto"/>
            <w:sz w:val="24"/>
            <w:szCs w:val="24"/>
            <w:u w:val="single"/>
          </w:rPr>
          <w:t>artigos 138 e 139 da mesma Lei</w:t>
        </w:r>
      </w:hyperlink>
      <w:r>
        <w:rPr>
          <w:color w:val="auto"/>
          <w:sz w:val="24"/>
          <w:szCs w:val="24"/>
        </w:rPr>
        <w:t>.</w:t>
      </w:r>
    </w:p>
    <w:p>
      <w:pPr>
        <w:pStyle w:val="Nivel3"/>
        <w:numPr>
          <w:ilvl w:val="2"/>
          <w:numId w:val="18"/>
        </w:numPr>
        <w:ind w:hanging="0" w:left="284"/>
        <w:rPr>
          <w:sz w:val="24"/>
          <w:szCs w:val="24"/>
        </w:rPr>
      </w:pPr>
      <w:r>
        <w:rPr>
          <w:color w:val="auto"/>
          <w:sz w:val="24"/>
          <w:szCs w:val="24"/>
        </w:rPr>
        <w:t>A alteração social ou a modificação da finalidade ou da estrutura da empresa não ensejará a extinção se não restringir sua capacidade de concluir o contrato.</w:t>
      </w:r>
    </w:p>
    <w:p>
      <w:pPr>
        <w:pStyle w:val="Nivel4"/>
        <w:numPr>
          <w:ilvl w:val="3"/>
          <w:numId w:val="18"/>
        </w:numPr>
        <w:ind w:hanging="0" w:left="567"/>
        <w:rPr>
          <w:sz w:val="24"/>
          <w:szCs w:val="24"/>
        </w:rPr>
      </w:pPr>
      <w:r>
        <w:rPr>
          <w:sz w:val="24"/>
          <w:szCs w:val="24"/>
        </w:rPr>
        <w:t>Se a operação implicar mudança da pessoa jurídica contratada, deverá ser formalizado termo aditivo para alteração subjetiva.</w:t>
      </w:r>
    </w:p>
    <w:p>
      <w:pPr>
        <w:pStyle w:val="Nivel2"/>
        <w:numPr>
          <w:ilvl w:val="1"/>
          <w:numId w:val="18"/>
        </w:numPr>
        <w:ind w:hanging="0" w:left="0"/>
        <w:rPr>
          <w:sz w:val="24"/>
          <w:szCs w:val="24"/>
        </w:rPr>
      </w:pPr>
      <w:r>
        <w:rPr>
          <w:color w:val="auto"/>
          <w:sz w:val="24"/>
          <w:szCs w:val="24"/>
        </w:rPr>
        <w:t>O termo de extinção, sempre que possível, será precedido:</w:t>
      </w:r>
    </w:p>
    <w:p>
      <w:pPr>
        <w:pStyle w:val="Nivel3"/>
        <w:numPr>
          <w:ilvl w:val="2"/>
          <w:numId w:val="18"/>
        </w:numPr>
        <w:ind w:hanging="0" w:left="284"/>
        <w:rPr>
          <w:sz w:val="24"/>
          <w:szCs w:val="24"/>
        </w:rPr>
      </w:pPr>
      <w:r>
        <w:rPr>
          <w:color w:val="auto"/>
          <w:sz w:val="24"/>
          <w:szCs w:val="24"/>
        </w:rPr>
        <w:t>Balanço dos eventos contratuais já cumpridos ou parcialmente cumpridos;</w:t>
      </w:r>
    </w:p>
    <w:p>
      <w:pPr>
        <w:pStyle w:val="Nivel3"/>
        <w:numPr>
          <w:ilvl w:val="2"/>
          <w:numId w:val="18"/>
        </w:numPr>
        <w:ind w:hanging="0" w:left="284"/>
        <w:rPr>
          <w:sz w:val="24"/>
          <w:szCs w:val="24"/>
        </w:rPr>
      </w:pPr>
      <w:r>
        <w:rPr>
          <w:color w:val="auto"/>
          <w:sz w:val="24"/>
          <w:szCs w:val="24"/>
        </w:rPr>
        <w:t>Relação dos pagamentos já efetuados e ainda devidos;</w:t>
      </w:r>
    </w:p>
    <w:p>
      <w:pPr>
        <w:pStyle w:val="Nivel3"/>
        <w:numPr>
          <w:ilvl w:val="2"/>
          <w:numId w:val="18"/>
        </w:numPr>
        <w:ind w:hanging="0" w:left="284"/>
        <w:rPr>
          <w:sz w:val="24"/>
          <w:szCs w:val="24"/>
        </w:rPr>
      </w:pPr>
      <w:r>
        <w:rPr>
          <w:color w:val="auto"/>
          <w:sz w:val="24"/>
          <w:szCs w:val="24"/>
        </w:rPr>
        <w:t>Indenizações e multas.</w:t>
      </w:r>
    </w:p>
    <w:p>
      <w:pPr>
        <w:pStyle w:val="Nivel2"/>
        <w:numPr>
          <w:ilvl w:val="1"/>
          <w:numId w:val="18"/>
        </w:numPr>
        <w:ind w:hanging="0" w:left="0"/>
        <w:rPr/>
      </w:pPr>
      <w:r>
        <w:rPr>
          <w:color w:val="auto"/>
          <w:sz w:val="24"/>
          <w:szCs w:val="24"/>
        </w:rPr>
        <w:t>A extinção do contrato não configura óbice para o reconhecimento do desequilíbrio econômico-financeiro, hipótese em que será concedida indenização por meio de termo indenizatório (</w:t>
      </w:r>
      <w:hyperlink r:id="rId77" w:tooltip="http://www.planalto.gov.br/ccivil_03/_ato2019-2022/2021/lei/L14133.htm#art131&quot; l &quot;art131">
        <w:r>
          <w:rPr>
            <w:rStyle w:val="Style"/>
            <w:color w:val="auto"/>
            <w:sz w:val="24"/>
            <w:szCs w:val="24"/>
            <w:u w:val="single"/>
          </w:rPr>
          <w:t xml:space="preserve">art. 131, </w:t>
        </w:r>
      </w:hyperlink>
      <w:r>
        <w:rPr>
          <w:rStyle w:val="Hyperlink1"/>
          <w:color w:val="auto"/>
          <w:sz w:val="24"/>
          <w:szCs w:val="24"/>
        </w:rPr>
        <w:t>caput, da Lei n.º 14.133, de 2021</w:t>
      </w:r>
      <w:r>
        <w:rPr>
          <w:color w:val="auto"/>
          <w:sz w:val="24"/>
          <w:szCs w:val="24"/>
        </w:rPr>
        <w:t xml:space="preserve">). </w:t>
      </w:r>
    </w:p>
    <w:p>
      <w:pPr>
        <w:pStyle w:val="Nivel2"/>
        <w:numPr>
          <w:ilvl w:val="1"/>
          <w:numId w:val="18"/>
        </w:numPr>
        <w:ind w:hanging="0" w:left="0"/>
        <w:rPr>
          <w:sz w:val="24"/>
          <w:szCs w:val="24"/>
        </w:rPr>
      </w:pPr>
      <w:r>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18"/>
        </w:numPr>
        <w:rPr/>
      </w:pPr>
      <w:r>
        <w:rPr/>
        <w:t>CLÁUSULA DÉCIMA TERCEIRA – DOTAÇÃO ORÇAMENTÁRIA (</w:t>
      </w:r>
      <w:hyperlink r:id="rId78" w:tooltip="http://www.planalto.gov.br/ccivil_03/_ato2019-2022/2021/lei/L14133.htm#art92&quot; l &quot;art92">
        <w:r>
          <w:rPr>
            <w:rStyle w:val="Style"/>
            <w:color w:val="auto"/>
            <w:u w:val="single"/>
          </w:rPr>
          <w:t>art. 92, VIII</w:t>
        </w:r>
      </w:hyperlink>
      <w:r>
        <w:rPr/>
        <w:t>)</w:t>
      </w:r>
    </w:p>
    <w:p>
      <w:pPr>
        <w:pStyle w:val="Nivel2"/>
        <w:numPr>
          <w:ilvl w:val="1"/>
          <w:numId w:val="18"/>
        </w:numPr>
        <w:ind w:hanging="0" w:left="0"/>
        <w:rPr>
          <w:sz w:val="24"/>
          <w:szCs w:val="24"/>
        </w:rPr>
      </w:pPr>
      <w:r>
        <w:rPr>
          <w:color w:val="auto"/>
          <w:sz w:val="24"/>
          <w:szCs w:val="24"/>
        </w:rPr>
        <w:t>As despesas decorrentes da presente contratação correrão à conta de recursos específicos consignados no Orçamento Geral da União deste exercício, na dotação abaixo discriminada:</w:t>
      </w:r>
    </w:p>
    <w:p>
      <w:pPr>
        <w:pStyle w:val="Nivel2"/>
        <w:numPr>
          <w:ilvl w:val="0"/>
          <w:numId w:val="0"/>
        </w:numPr>
        <w:ind w:hanging="0" w:left="0"/>
        <w:rPr>
          <w:color w:val="auto"/>
          <w:sz w:val="24"/>
          <w:szCs w:val="24"/>
        </w:rPr>
      </w:pPr>
      <w:r>
        <w:rPr>
          <w:color w:val="auto"/>
          <w:sz w:val="24"/>
          <w:szCs w:val="24"/>
        </w:rPr>
      </w:r>
    </w:p>
    <w:tbl>
      <w:tblPr>
        <w:tblW w:w="953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210"/>
        <w:gridCol w:w="6321"/>
      </w:tblGrid>
      <w:tr>
        <w:trPr>
          <w:trHeight w:val="551" w:hRule="atLeast"/>
        </w:trPr>
        <w:tc>
          <w:tcPr>
            <w:tcW w:w="9531" w:type="dxa"/>
            <w:gridSpan w:val="2"/>
            <w:tcBorders/>
            <w:shd w:color="auto" w:fill="D9D9D9" w:themeFill="background1" w:themeFillShade="d9" w:val="clear"/>
            <w:vAlign w:val="center"/>
          </w:tcPr>
          <w:p>
            <w:pPr>
              <w:pStyle w:val="Normal"/>
              <w:spacing w:before="120" w:after="120"/>
              <w:jc w:val="center"/>
              <w:rPr>
                <w:sz w:val="24"/>
                <w:szCs w:val="24"/>
              </w:rPr>
            </w:pPr>
            <w:r>
              <w:rPr>
                <w:rFonts w:cs="Arial"/>
                <w:b/>
                <w:sz w:val="24"/>
                <w:szCs w:val="24"/>
              </w:rPr>
              <w:t>SECRETARIA MUNICIPAL DE ASSISTÊNCIA SOCIAL</w:t>
            </w:r>
          </w:p>
        </w:tc>
      </w:tr>
      <w:tr>
        <w:trPr>
          <w:trHeight w:val="184" w:hRule="atLeast"/>
        </w:trPr>
        <w:tc>
          <w:tcPr>
            <w:tcW w:w="9531" w:type="dxa"/>
            <w:gridSpan w:val="2"/>
            <w:tcBorders/>
            <w:shd w:color="auto" w:fill="auto" w:val="clea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bookmarkStart w:id="32" w:name="_GoBack"/>
            <w:bookmarkStart w:id="33" w:name="_GoBack"/>
            <w:bookmarkEnd w:id="33"/>
          </w:p>
        </w:tc>
      </w:tr>
    </w:tbl>
    <w:p>
      <w:pPr>
        <w:pStyle w:val="Nivel2"/>
        <w:numPr>
          <w:ilvl w:val="0"/>
          <w:numId w:val="0"/>
        </w:numPr>
        <w:ind w:hanging="0" w:left="0"/>
        <w:rPr>
          <w:color w:val="auto"/>
          <w:sz w:val="24"/>
          <w:szCs w:val="24"/>
        </w:rPr>
      </w:pPr>
      <w:r>
        <w:rPr>
          <w:color w:val="auto"/>
          <w:sz w:val="24"/>
          <w:szCs w:val="24"/>
        </w:rPr>
      </w:r>
    </w:p>
    <w:p>
      <w:pPr>
        <w:pStyle w:val="Nvel2-Red"/>
        <w:numPr>
          <w:ilvl w:val="1"/>
          <w:numId w:val="18"/>
        </w:numPr>
        <w:ind w:hanging="0" w:left="0"/>
        <w:rPr>
          <w:sz w:val="24"/>
          <w:szCs w:val="24"/>
        </w:rPr>
      </w:pPr>
      <w:r>
        <w:rPr>
          <w:i w:val="false"/>
          <w:color w:val="auto"/>
          <w:sz w:val="24"/>
          <w:szCs w:val="24"/>
        </w:rPr>
        <w:t>A dotação relativa aos exercícios financeiros subsequentes será indicada após aprovação da Lei Orçamentária respectiva e liberação dos créditos correspondentes, mediante apostilamento.</w:t>
      </w:r>
    </w:p>
    <w:p>
      <w:pPr>
        <w:pStyle w:val="Nivel01"/>
        <w:numPr>
          <w:ilvl w:val="0"/>
          <w:numId w:val="18"/>
        </w:numPr>
        <w:rPr/>
      </w:pPr>
      <w:r>
        <w:rPr/>
        <w:t>CLÁUSULA DÉCIMA QUARTA – DOS CASOS OMISSOS (</w:t>
      </w:r>
      <w:hyperlink r:id="rId79" w:tooltip="http://www.planalto.gov.br/ccivil_03/_ato2019-2022/2021/lei/L14133.htm#art92&quot; l &quot;art92">
        <w:r>
          <w:rPr>
            <w:rStyle w:val="Style"/>
            <w:color w:val="auto"/>
            <w:u w:val="single"/>
          </w:rPr>
          <w:t>art. 92, III</w:t>
        </w:r>
      </w:hyperlink>
      <w:r>
        <w:rPr/>
        <w:t>)</w:t>
      </w:r>
    </w:p>
    <w:p>
      <w:pPr>
        <w:pStyle w:val="Nivel2"/>
        <w:numPr>
          <w:ilvl w:val="1"/>
          <w:numId w:val="18"/>
        </w:numPr>
        <w:ind w:hanging="0" w:left="0"/>
        <w:rPr/>
      </w:pPr>
      <w:r>
        <w:rPr>
          <w:color w:val="auto"/>
          <w:sz w:val="24"/>
          <w:szCs w:val="24"/>
        </w:rPr>
        <w:t xml:space="preserve">Os casos omissos serão decididos pelo contratante, segundo as disposições contidas na Lei </w:t>
      </w:r>
      <w:hyperlink r:id="rId80" w:tooltip="http://www.planalto.gov.br/ccivil_03/_ato2019-2022/2021/lei/L14133.htm">
        <w:r>
          <w:rPr>
            <w:rStyle w:val="Style"/>
            <w:color w:val="auto"/>
            <w:sz w:val="24"/>
            <w:szCs w:val="24"/>
            <w:u w:val="single"/>
          </w:rPr>
          <w:t>nº 14.133, de 2021</w:t>
        </w:r>
      </w:hyperlink>
      <w:r>
        <w:rPr>
          <w:color w:val="auto"/>
          <w:sz w:val="24"/>
          <w:szCs w:val="24"/>
        </w:rPr>
        <w:t xml:space="preserve">, e demais normas federais aplicáveis e, subsidiariamente, segundo as disposições contidas na </w:t>
      </w:r>
      <w:hyperlink r:id="rId81" w:tooltip="https://www.planalto.gov.br/ccivil_03/leis/l8078compilado.htm">
        <w:r>
          <w:rPr>
            <w:rStyle w:val="Style"/>
            <w:color w:val="auto"/>
            <w:sz w:val="24"/>
            <w:szCs w:val="24"/>
            <w:u w:val="single"/>
          </w:rPr>
          <w:t>Lei nº 8.078, de 1990 – Código de Defesa do Consumidor</w:t>
        </w:r>
      </w:hyperlink>
      <w:r>
        <w:rPr>
          <w:color w:val="auto"/>
          <w:sz w:val="24"/>
          <w:szCs w:val="24"/>
        </w:rPr>
        <w:t xml:space="preserve"> – e normas e princípios gerais dos contratos.</w:t>
      </w:r>
    </w:p>
    <w:p>
      <w:pPr>
        <w:pStyle w:val="Nivel01"/>
        <w:numPr>
          <w:ilvl w:val="0"/>
          <w:numId w:val="18"/>
        </w:numPr>
        <w:rPr/>
      </w:pPr>
      <w:r>
        <w:rPr/>
        <w:t>CLÁUSULA DÉCIMA QUINTA – ALTERAÇÕES</w:t>
      </w:r>
    </w:p>
    <w:p>
      <w:pPr>
        <w:pStyle w:val="Nivel2"/>
        <w:numPr>
          <w:ilvl w:val="1"/>
          <w:numId w:val="18"/>
        </w:numPr>
        <w:ind w:hanging="0" w:left="0"/>
        <w:rPr/>
      </w:pPr>
      <w:r>
        <w:rPr>
          <w:color w:val="auto"/>
          <w:sz w:val="24"/>
          <w:szCs w:val="24"/>
        </w:rPr>
        <w:t xml:space="preserve">Eventuais alterações contratuais reger-se-ão pela disciplina dos </w:t>
      </w:r>
      <w:hyperlink r:id="rId82" w:tooltip="http://www.planalto.gov.br/ccivil_03/_ato2019-2022/2021/lei/L14133.htm#art124&quot; l &quot;art124">
        <w:r>
          <w:rPr>
            <w:rStyle w:val="Style"/>
            <w:color w:val="auto"/>
            <w:sz w:val="24"/>
            <w:szCs w:val="24"/>
            <w:u w:val="single"/>
          </w:rPr>
          <w:t>arts. 124 e seguintes da Lei nº 14.133, de 2021</w:t>
        </w:r>
      </w:hyperlink>
      <w:r>
        <w:rPr>
          <w:color w:val="auto"/>
          <w:sz w:val="24"/>
          <w:szCs w:val="24"/>
        </w:rPr>
        <w:t>.</w:t>
      </w:r>
    </w:p>
    <w:p>
      <w:pPr>
        <w:pStyle w:val="Nivel2"/>
        <w:numPr>
          <w:ilvl w:val="1"/>
          <w:numId w:val="18"/>
        </w:numPr>
        <w:ind w:hanging="0" w:left="0"/>
        <w:rPr>
          <w:sz w:val="24"/>
          <w:szCs w:val="24"/>
        </w:rPr>
      </w:pPr>
      <w:r>
        <w:rPr>
          <w:color w:val="auto"/>
          <w:sz w:val="24"/>
          <w:szCs w:val="24"/>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18"/>
        </w:numPr>
        <w:ind w:hanging="0" w:left="0"/>
        <w:rPr>
          <w:sz w:val="24"/>
          <w:szCs w:val="24"/>
        </w:rPr>
      </w:pPr>
      <w:r>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18"/>
        </w:numPr>
        <w:ind w:hanging="0" w:left="0"/>
        <w:rPr/>
      </w:pPr>
      <w:r>
        <w:rPr>
          <w:color w:val="auto"/>
          <w:sz w:val="24"/>
          <w:szCs w:val="24"/>
        </w:rPr>
        <w:t xml:space="preserve">Registros que não caracterizam alteração do contrato podem ser realizados por simples apostila, dispensada a celebração de termo aditivo, na forma do </w:t>
      </w:r>
      <w:hyperlink r:id="rId83" w:tooltip="http://www.planalto.gov.br/ccivil_03/_ato2019-2022/2021/lei/L14133.htm#art136&quot; l &quot;art136">
        <w:r>
          <w:rPr>
            <w:rStyle w:val="Style"/>
            <w:color w:val="auto"/>
            <w:sz w:val="24"/>
            <w:szCs w:val="24"/>
            <w:u w:val="single"/>
          </w:rPr>
          <w:t>art. 136 da Lei nº 14.133, de 2021</w:t>
        </w:r>
      </w:hyperlink>
      <w:r>
        <w:rPr>
          <w:color w:val="auto"/>
          <w:sz w:val="24"/>
          <w:szCs w:val="24"/>
        </w:rPr>
        <w:t>.</w:t>
      </w:r>
    </w:p>
    <w:p>
      <w:pPr>
        <w:pStyle w:val="Nivel01"/>
        <w:numPr>
          <w:ilvl w:val="0"/>
          <w:numId w:val="18"/>
        </w:numPr>
        <w:rPr/>
      </w:pPr>
      <w:r>
        <w:rPr/>
        <w:t>CLÁUSULA DÉCIMA SEXTA – PUBLICAÇÃO</w:t>
      </w:r>
    </w:p>
    <w:p>
      <w:pPr>
        <w:pStyle w:val="Nivel2"/>
        <w:numPr>
          <w:ilvl w:val="1"/>
          <w:numId w:val="18"/>
        </w:numPr>
        <w:ind w:hanging="0" w:left="0"/>
        <w:rPr/>
      </w:pPr>
      <w:r>
        <w:rPr>
          <w:color w:val="auto"/>
          <w:sz w:val="24"/>
          <w:szCs w:val="24"/>
        </w:rPr>
        <w:t xml:space="preserve">Incumbirá ao contratante divulgar o presente instrumento no Portal Nacional de Contratações Públicas (PNCP), na forma prevista no </w:t>
      </w:r>
      <w:hyperlink r:id="rId84" w:tooltip="http://www.planalto.gov.br/ccivil_03/_ato2019-2022/2021/lei/L14133.htm#art94&quot; l &quot;art94">
        <w:r>
          <w:rPr>
            <w:rStyle w:val="Style"/>
            <w:color w:val="auto"/>
            <w:sz w:val="24"/>
            <w:szCs w:val="24"/>
            <w:u w:val="single"/>
          </w:rPr>
          <w:t>art. 94 da Lei 14.133, de 2021</w:t>
        </w:r>
      </w:hyperlink>
      <w:r>
        <w:rPr>
          <w:color w:val="auto"/>
          <w:sz w:val="24"/>
          <w:szCs w:val="24"/>
        </w:rPr>
        <w:t xml:space="preserve">, bem como no respectivo sítio oficial na Internet, em atenção ao art. 91, </w:t>
      </w:r>
      <w:r>
        <w:rPr>
          <w:i/>
          <w:color w:val="auto"/>
          <w:sz w:val="24"/>
          <w:szCs w:val="24"/>
        </w:rPr>
        <w:t>caput,</w:t>
      </w:r>
      <w:r>
        <w:rPr>
          <w:color w:val="auto"/>
          <w:sz w:val="24"/>
          <w:szCs w:val="24"/>
        </w:rPr>
        <w:t xml:space="preserve"> da Lei n.º 14.133, de 2021, e ao </w:t>
      </w:r>
      <w:hyperlink r:id="rId85" w:tooltip="https://www.planalto.gov.br/ccivil_03/_ato2011-2014/2011/lei/l12527.htm#art8§2&quot; l &quot;art8§2">
        <w:r>
          <w:rPr>
            <w:rStyle w:val="Style"/>
            <w:color w:val="auto"/>
            <w:sz w:val="24"/>
            <w:szCs w:val="24"/>
            <w:u w:val="single"/>
          </w:rPr>
          <w:t>art. 8º, §2º, da Lei n. 12.527, de 2011</w:t>
        </w:r>
      </w:hyperlink>
      <w:r>
        <w:rPr>
          <w:color w:val="auto"/>
          <w:sz w:val="24"/>
          <w:szCs w:val="24"/>
        </w:rPr>
        <w:t xml:space="preserve">, c/c </w:t>
      </w:r>
      <w:hyperlink r:id="rId86" w:tooltip="https://www.planalto.gov.br/ccivil_03/_ato2011-2014/2012/decreto/d7724.htm#art7§3&quot; l &quot;art7§3">
        <w:r>
          <w:rPr>
            <w:rStyle w:val="Style"/>
            <w:color w:val="auto"/>
            <w:sz w:val="24"/>
            <w:szCs w:val="24"/>
            <w:u w:val="single"/>
          </w:rPr>
          <w:t>art. 7º, §3º, inciso V, do Decreto n. 7.724, de 2012</w:t>
        </w:r>
      </w:hyperlink>
      <w:r>
        <w:rPr>
          <w:rStyle w:val="Hyperlink1"/>
          <w:color w:val="auto"/>
          <w:sz w:val="24"/>
          <w:szCs w:val="24"/>
        </w:rPr>
        <w:t xml:space="preserve"> e</w:t>
      </w:r>
      <w:r>
        <w:rPr>
          <w:color w:val="auto"/>
          <w:sz w:val="24"/>
          <w:szCs w:val="24"/>
        </w:rPr>
        <w:t xml:space="preserve"> no Boletim Oficial do Município de Rio das Flôres/RJ.</w:t>
      </w:r>
    </w:p>
    <w:p>
      <w:pPr>
        <w:pStyle w:val="Nivel01"/>
        <w:numPr>
          <w:ilvl w:val="0"/>
          <w:numId w:val="18"/>
        </w:numPr>
        <w:rPr/>
      </w:pPr>
      <w:r>
        <w:rPr/>
        <w:t>CLÁUSULA DÉCIMA SÉTIMA– FORO (</w:t>
      </w:r>
      <w:hyperlink r:id="rId87" w:tooltip="http://www.planalto.gov.br/ccivil_03/_ato2019-2022/2021/lei/L14133.htm#art92§1&quot; l &quot;art92§1">
        <w:r>
          <w:rPr>
            <w:rStyle w:val="Style"/>
            <w:color w:val="auto"/>
            <w:u w:val="single"/>
          </w:rPr>
          <w:t>art. 92, §1º</w:t>
        </w:r>
      </w:hyperlink>
      <w:r>
        <w:rPr/>
        <w:t>)</w:t>
      </w:r>
    </w:p>
    <w:p>
      <w:pPr>
        <w:pStyle w:val="Nivel2"/>
        <w:numPr>
          <w:ilvl w:val="1"/>
          <w:numId w:val="18"/>
        </w:numPr>
        <w:ind w:hanging="0" w:left="0"/>
        <w:rPr/>
      </w:pPr>
      <w:r>
        <w:rPr>
          <w:color w:val="auto"/>
          <w:sz w:val="24"/>
          <w:szCs w:val="24"/>
          <w:lang w:eastAsia="en-US"/>
        </w:rPr>
        <w:t>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88" w:tooltip="http://www.planalto.gov.br/ccivil_03/_ato2019-2022/2021/lei/L14133.htm#art92§1&quot; l &quot;art92§1">
        <w:r>
          <w:rPr>
            <w:rStyle w:val="Style"/>
            <w:color w:val="auto"/>
            <w:sz w:val="24"/>
            <w:szCs w:val="24"/>
            <w:u w:val="single"/>
          </w:rPr>
          <w:t>art. 92, §1º, da Lei nº 14.133/21</w:t>
        </w:r>
      </w:hyperlink>
      <w:r>
        <w:rPr>
          <w:color w:val="auto"/>
          <w:sz w:val="24"/>
          <w:szCs w:val="24"/>
        </w:rPr>
        <w:t>.</w:t>
      </w:r>
    </w:p>
    <w:p>
      <w:pPr>
        <w:pStyle w:val="BodyText2"/>
        <w:spacing w:before="120" w:after="80"/>
        <w:ind w:right="357"/>
        <w:jc w:val="right"/>
        <w:rPr>
          <w:rFonts w:ascii="Arial" w:hAnsi="Arial"/>
          <w:sz w:val="24"/>
          <w:szCs w:val="24"/>
        </w:rPr>
      </w:pPr>
      <w:r>
        <w:rPr>
          <w:rFonts w:ascii="Arial" w:hAnsi="Arial"/>
          <w:b w:val="false"/>
          <w:sz w:val="24"/>
          <w:szCs w:val="24"/>
          <w:u w:val="none"/>
        </w:rPr>
        <w:t>Rio das Flôres,........de...........de 2026.</w:t>
      </w:r>
    </w:p>
    <w:p>
      <w:pPr>
        <w:pStyle w:val="Nivel2"/>
        <w:numPr>
          <w:ilvl w:val="0"/>
          <w:numId w:val="0"/>
        </w:numPr>
        <w:spacing w:lineRule="auto" w:line="312" w:before="120" w:after="288"/>
        <w:ind w:firstLine="567" w:left="0"/>
        <w:rPr>
          <w:i/>
          <w:iCs/>
          <w:color w:val="auto"/>
          <w:sz w:val="24"/>
          <w:szCs w:val="24"/>
        </w:rPr>
      </w:pPr>
      <w:r>
        <w:rPr>
          <w:i/>
          <w:iCs/>
          <w:color w:val="auto"/>
          <w:sz w:val="24"/>
          <w:szCs w:val="24"/>
        </w:rPr>
      </w:r>
    </w:p>
    <w:p>
      <w:pPr>
        <w:pStyle w:val="Normal"/>
        <w:spacing w:lineRule="auto" w:line="312" w:before="120" w:after="288"/>
        <w:ind w:firstLine="567"/>
        <w:jc w:val="center"/>
        <w:rPr>
          <w:sz w:val="24"/>
          <w:szCs w:val="24"/>
        </w:rPr>
      </w:pPr>
      <w:r>
        <w:rPr>
          <w:rFonts w:cs="Arial"/>
          <w:bCs/>
          <w:sz w:val="24"/>
          <w:szCs w:val="24"/>
        </w:rPr>
        <w:t>Representante legal do CONTRATANTE</w:t>
      </w:r>
    </w:p>
    <w:p>
      <w:pPr>
        <w:pStyle w:val="Normal"/>
        <w:spacing w:before="0" w:after="288"/>
        <w:ind w:firstLine="567"/>
        <w:jc w:val="center"/>
        <w:rPr>
          <w:sz w:val="24"/>
          <w:szCs w:val="24"/>
        </w:rPr>
      </w:pPr>
      <w:r>
        <w:rPr>
          <w:rFonts w:cs="Arial"/>
          <w:bCs/>
          <w:sz w:val="24"/>
          <w:szCs w:val="24"/>
        </w:rPr>
        <w:t>Representante</w:t>
      </w:r>
      <w:r>
        <w:rPr>
          <w:rFonts w:cs="Arial"/>
          <w:sz w:val="24"/>
          <w:szCs w:val="24"/>
        </w:rPr>
        <w:t xml:space="preserve"> legal do CONTRATADO</w:t>
      </w:r>
    </w:p>
    <w:p>
      <w:pPr>
        <w:pStyle w:val="BodyText2"/>
        <w:jc w:val="left"/>
        <w:rPr>
          <w:rFonts w:ascii="Arial" w:hAnsi="Arial"/>
          <w:sz w:val="24"/>
          <w:szCs w:val="24"/>
        </w:rPr>
      </w:pPr>
      <w:r>
        <w:rPr>
          <w:rFonts w:ascii="Arial" w:hAnsi="Arial"/>
          <w:sz w:val="24"/>
          <w:szCs w:val="24"/>
        </w:rPr>
        <w:t>TESTEMUNHAS:</w:t>
      </w:r>
    </w:p>
    <w:p>
      <w:pPr>
        <w:pStyle w:val="Normal"/>
        <w:jc w:val="left"/>
        <w:rPr>
          <w:sz w:val="24"/>
          <w:szCs w:val="24"/>
        </w:rPr>
      </w:pPr>
      <w:r>
        <w:rPr>
          <w:sz w:val="24"/>
          <w:szCs w:val="24"/>
        </w:rPr>
        <w:t>_______________________</w:t>
      </w:r>
    </w:p>
    <w:p>
      <w:pPr>
        <w:pStyle w:val="Normal"/>
        <w:jc w:val="left"/>
        <w:rPr>
          <w:sz w:val="24"/>
          <w:szCs w:val="24"/>
        </w:rPr>
      </w:pPr>
      <w:r>
        <w:rPr>
          <w:sz w:val="24"/>
          <w:szCs w:val="24"/>
        </w:rPr>
        <w:t>CPF:___________________</w:t>
      </w:r>
    </w:p>
    <w:p>
      <w:pPr>
        <w:pStyle w:val="Normal"/>
        <w:jc w:val="left"/>
        <w:rPr>
          <w:sz w:val="24"/>
          <w:szCs w:val="24"/>
        </w:rPr>
      </w:pPr>
      <w:r>
        <w:rPr>
          <w:sz w:val="24"/>
          <w:szCs w:val="24"/>
        </w:rPr>
        <w:t>_______________________</w:t>
      </w:r>
    </w:p>
    <w:p>
      <w:pPr>
        <w:pStyle w:val="Normal"/>
        <w:rPr>
          <w:sz w:val="24"/>
          <w:szCs w:val="24"/>
        </w:rPr>
      </w:pPr>
      <w:r>
        <w:rPr>
          <w:sz w:val="24"/>
          <w:szCs w:val="24"/>
        </w:rPr>
        <w:t xml:space="preserve">CPF:___________________ </w:t>
      </w:r>
    </w:p>
    <w:p>
      <w:pPr>
        <w:pStyle w:val="Normal"/>
        <w:spacing w:before="120" w:after="120"/>
        <w:jc w:val="center"/>
        <w:rPr>
          <w:sz w:val="24"/>
          <w:szCs w:val="24"/>
        </w:rPr>
      </w:pPr>
      <w:r>
        <w:rPr>
          <w:sz w:val="24"/>
          <w:szCs w:val="24"/>
        </w:rPr>
      </w:r>
    </w:p>
    <w:sectPr>
      <w:headerReference w:type="even" r:id="rId89"/>
      <w:headerReference w:type="default" r:id="rId90"/>
      <w:headerReference w:type="first" r:id="rId91"/>
      <w:footerReference w:type="even" r:id="rId92"/>
      <w:footerReference w:type="default" r:id="rId93"/>
      <w:footerReference w:type="first" r:id="rId94"/>
      <w:type w:val="nextPage"/>
      <w:pgSz w:w="11906" w:h="16838"/>
      <w:pgMar w:left="1560" w:right="1134" w:gutter="0" w:header="765" w:top="2010" w:footer="552" w:bottom="123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alibri Light">
    <w:charset w:val="00"/>
    <w:family w:val="roman"/>
    <w:pitch w:val="variable"/>
  </w:font>
  <w:font w:name="Segoe UI">
    <w:charset w:val="00"/>
    <w:family w:val="roman"/>
    <w:pitch w:val="variable"/>
  </w:font>
  <w:font w:name="Courier New">
    <w:charset w:val="00"/>
    <w:family w:val="roman"/>
    <w:pitch w:val="variable"/>
  </w:font>
  <w:font w:name="Consolas">
    <w:charset w:val="00"/>
    <w:family w:val="roman"/>
    <w:pitch w:val="variable"/>
  </w:font>
  <w:font w:name="Ecofont_Spranq_eco_San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SansSerif">
    <w:altName w:val="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1"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60"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v:textbox>
              <w10:wrap type="none"/>
            </v:rect>
          </w:pict>
        </mc:Fallback>
      </mc:AlternateContent>
      <mc:AlternateContent>
        <mc:Choice Requires="wps">
          <w:drawing>
            <wp:anchor distT="0" distB="0" distL="0" distR="0" simplePos="0" relativeHeight="101"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14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v:textbox>
              <w10:wrap type="none"/>
            </v:rect>
          </w:pict>
        </mc:Fallback>
      </mc:AlternateContent>
      <w:drawing>
        <wp:anchor distT="0" distB="0" distL="0" distR="0" simplePos="0" relativeHeight="164"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5"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Copia 1 Copia 1 Copia 1"/>
                  <pic:cNvPicPr>
                    <a:picLocks noChangeAspect="1" noChangeArrowheads="1"/>
                  </pic:cNvPicPr>
                </pic:nvPicPr>
                <pic:blipFill>
                  <a:blip r:embed="rId2"/>
                  <a:srcRect l="0" t="35339" r="0" b="36250"/>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1"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6"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60"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v:textbox>
              <w10:wrap type="none"/>
            </v:rect>
          </w:pict>
        </mc:Fallback>
      </mc:AlternateContent>
      <mc:AlternateContent>
        <mc:Choice Requires="wps">
          <w:drawing>
            <wp:anchor distT="0" distB="0" distL="0" distR="0" simplePos="0" relativeHeight="101"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142"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v:textbox>
              <w10:wrap type="none"/>
            </v:rect>
          </w:pict>
        </mc:Fallback>
      </mc:AlternateContent>
      <w:drawing>
        <wp:anchor distT="0" distB="0" distL="0" distR="0" simplePos="0" relativeHeight="164"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10"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 Copia 1 Copia 1 Copia 1"/>
                  <pic:cNvPicPr>
                    <a:picLocks noChangeAspect="1" noChangeArrowheads="1"/>
                  </pic:cNvPicPr>
                </pic:nvPicPr>
                <pic:blipFill>
                  <a:blip r:embed="rId2"/>
                  <a:srcRect l="0" t="35339" r="0" b="36250"/>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187"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1" name="Figura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232"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v:textbox>
              <w10:wrap type="none"/>
            </v:rect>
          </w:pict>
        </mc:Fallback>
      </mc:AlternateContent>
      <mc:AlternateContent>
        <mc:Choice Requires="wps">
          <w:drawing>
            <wp:anchor distT="0" distB="0" distL="0" distR="0" simplePos="0" relativeHeight="279"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326"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v:textbox>
              <w10:wrap type="none"/>
            </v:rect>
          </w:pict>
        </mc:Fallback>
      </mc:AlternateContent>
      <w:drawing>
        <wp:anchor distT="0" distB="0" distL="0" distR="0" simplePos="0" relativeHeight="351"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15"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6"/>
                  <pic:cNvPicPr>
                    <a:picLocks noChangeAspect="1" noChangeArrowheads="1"/>
                  </pic:cNvPicPr>
                </pic:nvPicPr>
                <pic:blipFill>
                  <a:blip r:embed="rId2"/>
                  <a:srcRect l="0" t="35339" r="0" b="36250"/>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187"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6" name="Figura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232"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3699/2026  </w:t>
                    </w:r>
                  </w:p>
                </w:txbxContent>
              </v:textbox>
              <w10:wrap type="none"/>
            </v:rect>
          </w:pict>
        </mc:Fallback>
      </mc:AlternateContent>
      <mc:AlternateContent>
        <mc:Choice Requires="wps">
          <w:drawing>
            <wp:anchor distT="0" distB="0" distL="0" distR="0" simplePos="0" relativeHeight="279"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user"/>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326"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user"/>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user"/>
                      <w:spacing w:before="120" w:after="120"/>
                      <w:rPr>
                        <w:color w:val="000000"/>
                      </w:rPr>
                    </w:pPr>
                    <w:r>
                      <w:rPr>
                        <w:color w:val="000000"/>
                      </w:rPr>
                    </w:r>
                  </w:p>
                </w:txbxContent>
              </v:textbox>
              <w10:wrap type="none"/>
            </v:rect>
          </w:pict>
        </mc:Fallback>
      </mc:AlternateContent>
      <w:drawing>
        <wp:anchor distT="0" distB="0" distL="0" distR="0" simplePos="0" relativeHeight="351"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20"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6"/>
                  <pic:cNvPicPr>
                    <a:picLocks noChangeAspect="1" noChangeArrowheads="1"/>
                  </pic:cNvPicPr>
                </pic:nvPicPr>
                <pic:blipFill>
                  <a:blip r:embed="rId2"/>
                  <a:srcRect l="0" t="35339" r="0" b="36250"/>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isLgl/>
      <w:lvlText w:val="%1."/>
      <w:lvlJc w:val="left"/>
      <w:pPr>
        <w:tabs>
          <w:tab w:val="num" w:pos="360"/>
        </w:tabs>
        <w:ind w:left="360" w:hanging="360"/>
      </w:pPr>
      <w:rPr>
        <w:b/>
        <w:color w:val="auto"/>
        <w:sz w:val="24"/>
      </w:rPr>
    </w:lvl>
    <w:lvl w:ilvl="1">
      <w:start w:val="1"/>
      <w:numFmt w:val="upperRoman"/>
      <w:isLgl/>
      <w:lvlText w:val="%2-"/>
      <w:lvlJc w:val="left"/>
      <w:pPr>
        <w:tabs>
          <w:tab w:val="num" w:pos="851"/>
        </w:tabs>
        <w:ind w:left="851" w:hanging="709"/>
      </w:pPr>
      <w:rPr>
        <w:rFonts w:ascii="Arial" w:hAnsi="Arial" w:eastAsia="Times New Roman" w:cs="Arial"/>
      </w:rPr>
    </w:lvl>
    <w:lvl w:ilvl="2">
      <w:start w:val="1"/>
      <w:numFmt w:val="lowerRoman"/>
      <w:isLgl/>
      <w:lvlText w:val="%3."/>
      <w:lvlJc w:val="right"/>
      <w:pPr>
        <w:tabs>
          <w:tab w:val="num" w:pos="720"/>
        </w:tabs>
        <w:ind w:left="720" w:hanging="720"/>
      </w:pPr>
      <w:rPr>
        <w:b/>
      </w:rPr>
    </w:lvl>
    <w:lvl w:ilvl="3">
      <w:start w:val="1"/>
      <w:numFmt w:val="decimal"/>
      <w:isLgl/>
      <w:lvlText w:val="9.%2-%3.%4."/>
      <w:lvlJc w:val="left"/>
      <w:pPr>
        <w:tabs>
          <w:tab w:val="num" w:pos="1080"/>
        </w:tabs>
        <w:ind w:left="1080" w:hanging="1080"/>
      </w:pPr>
      <w:rPr/>
    </w:lvl>
    <w:lvl w:ilvl="4">
      <w:start w:val="1"/>
      <w:numFmt w:val="decimal"/>
      <w:isLgl/>
      <w:lvlText w:val="%1.%2-%3.%4.%5."/>
      <w:lvlJc w:val="left"/>
      <w:pPr>
        <w:tabs>
          <w:tab w:val="num" w:pos="1080"/>
        </w:tabs>
        <w:ind w:left="1080" w:hanging="1080"/>
      </w:pPr>
      <w:rPr/>
    </w:lvl>
    <w:lvl w:ilvl="5">
      <w:start w:val="1"/>
      <w:numFmt w:val="decimal"/>
      <w:isLgl/>
      <w:lvlText w:val="%1.%2-%3.%4.%5.%6."/>
      <w:lvlJc w:val="left"/>
      <w:pPr>
        <w:tabs>
          <w:tab w:val="num" w:pos="1440"/>
        </w:tabs>
        <w:ind w:left="1440" w:hanging="1440"/>
      </w:pPr>
      <w:rPr/>
    </w:lvl>
    <w:lvl w:ilvl="6">
      <w:start w:val="1"/>
      <w:numFmt w:val="decimal"/>
      <w:isLgl/>
      <w:lvlText w:val="%1.%2-%3.%4.%5.%6.%7."/>
      <w:lvlJc w:val="left"/>
      <w:pPr>
        <w:tabs>
          <w:tab w:val="num" w:pos="1440"/>
        </w:tabs>
        <w:ind w:left="1440" w:hanging="1440"/>
      </w:pPr>
      <w:rPr/>
    </w:lvl>
    <w:lvl w:ilvl="7">
      <w:start w:val="1"/>
      <w:numFmt w:val="decimal"/>
      <w:isLgl/>
      <w:lvlText w:val="%1.%2-%3.%4.%5.%6.%7.%8."/>
      <w:lvlJc w:val="left"/>
      <w:pPr>
        <w:tabs>
          <w:tab w:val="num" w:pos="1800"/>
        </w:tabs>
        <w:ind w:left="1800" w:hanging="1800"/>
      </w:pPr>
      <w:rPr/>
    </w:lvl>
    <w:lvl w:ilvl="8">
      <w:start w:val="1"/>
      <w:numFmt w:val="decimal"/>
      <w:isLgl/>
      <w:lvlText w:val="%1.%2-%3.%4.%5.%6.%7.%8.%9."/>
      <w:lvlJc w:val="left"/>
      <w:pPr>
        <w:tabs>
          <w:tab w:val="num" w:pos="2160"/>
        </w:tabs>
        <w:ind w:left="2160" w:hanging="2160"/>
      </w:pPr>
      <w:rPr/>
    </w:lvl>
  </w:abstractNum>
  <w:abstractNum w:abstractNumId="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716" w:hanging="432"/>
      </w:pPr>
      <w:rPr>
        <w:b w:val="false"/>
        <w:i w:val="false"/>
        <w:strike w:val="false"/>
        <w:dstrike w:val="false"/>
        <w:color w:val="auto"/>
        <w:u w:val="none"/>
      </w:rPr>
    </w:lvl>
    <w:lvl w:ilvl="2">
      <w:start w:val="1"/>
      <w:numFmt w:val="decimal"/>
      <w:isLgl/>
      <w:lvlText w:val="%1.%2.%3."/>
      <w:lvlJc w:val="left"/>
      <w:pPr>
        <w:tabs>
          <w:tab w:val="num" w:pos="0"/>
        </w:tabs>
        <w:ind w:left="2206" w:hanging="504"/>
      </w:pPr>
      <w:rPr>
        <w:b w:val="false"/>
        <w:i w:val="false"/>
        <w:color w:val="auto"/>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644" w:hanging="360"/>
      </w:pPr>
      <w:rPr>
        <w:b/>
      </w:rPr>
    </w:lvl>
    <w:lvl w:ilvl="1">
      <w:start w:val="1"/>
      <w:numFmt w:val="lowerLetter"/>
      <w:isLgl/>
      <w:lvlText w:val="%2."/>
      <w:lvlJc w:val="left"/>
      <w:pPr>
        <w:tabs>
          <w:tab w:val="num" w:pos="0"/>
        </w:tabs>
        <w:ind w:left="1647" w:hanging="360"/>
      </w:pPr>
      <w:rPr>
        <w:b/>
      </w:rPr>
    </w:lvl>
    <w:lvl w:ilvl="2">
      <w:start w:val="1"/>
      <w:numFmt w:val="lowerRoman"/>
      <w:isLgl/>
      <w:lvlText w:val="%3."/>
      <w:lvlJc w:val="right"/>
      <w:pPr>
        <w:tabs>
          <w:tab w:val="num" w:pos="0"/>
        </w:tabs>
        <w:ind w:left="2367" w:hanging="180"/>
      </w:pPr>
      <w:rPr/>
    </w:lvl>
    <w:lvl w:ilvl="3">
      <w:start w:val="1"/>
      <w:numFmt w:val="decimal"/>
      <w:isLgl/>
      <w:lvlText w:val="%4."/>
      <w:lvlJc w:val="left"/>
      <w:pPr>
        <w:tabs>
          <w:tab w:val="num" w:pos="0"/>
        </w:tabs>
        <w:ind w:left="3087" w:hanging="360"/>
      </w:pPr>
      <w:rPr>
        <w:b/>
      </w:rPr>
    </w:lvl>
    <w:lvl w:ilvl="4">
      <w:start w:val="1"/>
      <w:numFmt w:val="lowerLetter"/>
      <w:isLgl/>
      <w:lvlText w:val="%5."/>
      <w:lvlJc w:val="left"/>
      <w:pPr>
        <w:tabs>
          <w:tab w:val="num" w:pos="0"/>
        </w:tabs>
        <w:ind w:left="3807" w:hanging="360"/>
      </w:pPr>
      <w:rPr/>
    </w:lvl>
    <w:lvl w:ilvl="5">
      <w:start w:val="1"/>
      <w:numFmt w:val="lowerRoman"/>
      <w:isLgl/>
      <w:lvlText w:val="%6."/>
      <w:lvlJc w:val="right"/>
      <w:pPr>
        <w:tabs>
          <w:tab w:val="num" w:pos="0"/>
        </w:tabs>
        <w:ind w:left="4527" w:hanging="180"/>
      </w:pPr>
      <w:rPr/>
    </w:lvl>
    <w:lvl w:ilvl="6">
      <w:start w:val="1"/>
      <w:numFmt w:val="decimal"/>
      <w:isLgl/>
      <w:lvlText w:val="%7."/>
      <w:lvlJc w:val="left"/>
      <w:pPr>
        <w:tabs>
          <w:tab w:val="num" w:pos="0"/>
        </w:tabs>
        <w:ind w:left="5247" w:hanging="360"/>
      </w:pPr>
      <w:rPr/>
    </w:lvl>
    <w:lvl w:ilvl="7">
      <w:start w:val="1"/>
      <w:numFmt w:val="lowerLetter"/>
      <w:isLgl/>
      <w:lvlText w:val="%8."/>
      <w:lvlJc w:val="left"/>
      <w:pPr>
        <w:tabs>
          <w:tab w:val="num" w:pos="0"/>
        </w:tabs>
        <w:ind w:left="5967" w:hanging="360"/>
      </w:pPr>
      <w:rPr/>
    </w:lvl>
    <w:lvl w:ilvl="8">
      <w:start w:val="1"/>
      <w:numFmt w:val="lowerRoman"/>
      <w:isLgl/>
      <w:lvlText w:val="%9."/>
      <w:lvlJc w:val="right"/>
      <w:pPr>
        <w:tabs>
          <w:tab w:val="num" w:pos="0"/>
        </w:tabs>
        <w:ind w:left="6687" w:hanging="180"/>
      </w:pPr>
      <w:rPr/>
    </w:lvl>
  </w:abstractNum>
  <w:abstractNum w:abstractNumId="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5">
    <w:lvl w:ilvl="0">
      <w:start w:val="1"/>
      <w:numFmt w:val="decimal"/>
      <w:isLgl/>
      <w:lvlText w:val="%1."/>
      <w:lvlJc w:val="left"/>
      <w:pPr>
        <w:tabs>
          <w:tab w:val="num" w:pos="720"/>
        </w:tabs>
        <w:ind w:left="720" w:hanging="360"/>
      </w:pPr>
      <w:rPr>
        <w:b/>
        <w:bCs/>
      </w:rPr>
    </w:lvl>
    <w:lvl w:ilvl="1">
      <w:start w:val="1"/>
      <w:numFmt w:val="decimal"/>
      <w:isLgl/>
      <w:lvlText w:val="%1.%2."/>
      <w:lvlJc w:val="left"/>
      <w:pPr>
        <w:tabs>
          <w:tab w:val="num" w:pos="1080"/>
        </w:tabs>
        <w:ind w:left="1080" w:hanging="360"/>
      </w:pPr>
      <w:rPr>
        <w:b/>
        <w:bCs/>
      </w:rPr>
    </w:lvl>
    <w:lvl w:ilvl="2">
      <w:start w:val="1"/>
      <w:numFmt w:val="lowerLetter"/>
      <w:isLgl/>
      <w:lvlText w:val="%3)"/>
      <w:lvlJc w:val="left"/>
      <w:pPr>
        <w:tabs>
          <w:tab w:val="num" w:pos="1440"/>
        </w:tabs>
        <w:ind w:left="1440" w:hanging="360"/>
      </w:pPr>
      <w:rPr>
        <w:b/>
        <w:bCs/>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Symbol" w:hAnsi="Symbol" w:cs="Symbol" w:hint="default"/>
      </w:rPr>
    </w:lvl>
    <w:lvl w:ilvl="5">
      <w:start w:val="1"/>
      <w:numFmt w:val="bullet"/>
      <w:isLgl/>
      <w:lvlText w:val=""/>
      <w:lvlJc w:val="left"/>
      <w:pPr>
        <w:tabs>
          <w:tab w:val="num" w:pos="2520"/>
        </w:tabs>
        <w:ind w:left="2520" w:hanging="360"/>
      </w:pPr>
      <w:rPr>
        <w:rFonts w:ascii="Symbol" w:hAnsi="Symbol" w:cs="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Symbol" w:hAnsi="Symbol" w:cs="Symbol" w:hint="default"/>
      </w:rPr>
    </w:lvl>
    <w:lvl w:ilvl="8">
      <w:start w:val="1"/>
      <w:numFmt w:val="bullet"/>
      <w:isLgl/>
      <w:lvlText w:val=""/>
      <w:lvlJc w:val="left"/>
      <w:pPr>
        <w:tabs>
          <w:tab w:val="num" w:pos="3600"/>
        </w:tabs>
        <w:ind w:left="3600" w:hanging="360"/>
      </w:pPr>
      <w:rPr>
        <w:rFonts w:ascii="Symbol" w:hAnsi="Symbol" w:cs="Symbol" w:hint="default"/>
      </w:rPr>
    </w:lvl>
  </w:abstractNum>
  <w:abstractNum w:abstractNumId="6">
    <w:lvl w:ilvl="0">
      <w:start w:val="9"/>
      <w:numFmt w:val="bullet"/>
      <w:isLgl/>
      <w:lvlText w:val=""/>
      <w:lvlJc w:val="left"/>
      <w:pPr>
        <w:tabs>
          <w:tab w:val="num" w:pos="0"/>
        </w:tabs>
        <w:ind w:left="390" w:hanging="390"/>
      </w:pPr>
      <w:rPr>
        <w:rFonts w:ascii="Symbol" w:hAnsi="Symbol" w:cs="Symbol" w:hint="default"/>
      </w:rPr>
    </w:lvl>
    <w:lvl w:ilvl="1">
      <w:start w:val="1"/>
      <w:numFmt w:val="decimal"/>
      <w:isLgl/>
      <w:lvlText w:val="%1.%2."/>
      <w:lvlJc w:val="left"/>
      <w:pPr>
        <w:tabs>
          <w:tab w:val="num" w:pos="0"/>
        </w:tabs>
        <w:ind w:left="720" w:hanging="720"/>
      </w:pPr>
      <w:rPr>
        <w:b/>
        <w:i w:val="false"/>
        <w:color w:val="auto"/>
      </w:rPr>
    </w:lvl>
    <w:lvl w:ilvl="2">
      <w:start w:val="1"/>
      <w:numFmt w:val="decimal"/>
      <w:isLgl/>
      <w:lvlText w:val="%1.%2.%3."/>
      <w:lvlJc w:val="left"/>
      <w:pPr>
        <w:tabs>
          <w:tab w:val="num" w:pos="0"/>
        </w:tabs>
        <w:ind w:left="720" w:hanging="720"/>
      </w:pPr>
      <w:rPr>
        <w:b/>
        <w:i w:val="false"/>
      </w:rPr>
    </w:lvl>
    <w:lvl w:ilvl="3">
      <w:start w:val="1"/>
      <w:numFmt w:val="decimal"/>
      <w:isLgl/>
      <w:lvlText w:val="%1.%2.%3.%4."/>
      <w:lvlJc w:val="left"/>
      <w:pPr>
        <w:tabs>
          <w:tab w:val="num" w:pos="0"/>
        </w:tabs>
        <w:ind w:left="1080" w:hanging="1080"/>
      </w:pPr>
      <w:rPr>
        <w:b/>
      </w:rPr>
    </w:lvl>
    <w:lvl w:ilvl="4">
      <w:start w:val="1"/>
      <w:numFmt w:val="decimal"/>
      <w:isLgl/>
      <w:lvlText w:val="%1.%2.%3.%4.%5."/>
      <w:lvlJc w:val="left"/>
      <w:pPr>
        <w:tabs>
          <w:tab w:val="num" w:pos="0"/>
        </w:tabs>
        <w:ind w:left="1080" w:hanging="1080"/>
      </w:pPr>
      <w:rPr>
        <w:b/>
      </w:rPr>
    </w:lvl>
    <w:lvl w:ilvl="5">
      <w:start w:val="1"/>
      <w:numFmt w:val="decimal"/>
      <w:isLgl/>
      <w:lvlText w:val="%1.%2.%3.%4.%5.%6."/>
      <w:lvlJc w:val="left"/>
      <w:pPr>
        <w:tabs>
          <w:tab w:val="num" w:pos="0"/>
        </w:tabs>
        <w:ind w:left="1440" w:hanging="1440"/>
      </w:pPr>
      <w:rPr/>
    </w:lvl>
    <w:lvl w:ilvl="6">
      <w:start w:val="1"/>
      <w:numFmt w:val="decimal"/>
      <w:isLgl/>
      <w:lvlText w:val="%1.%2.%3.%4.%5.%6.%7."/>
      <w:lvlJc w:val="left"/>
      <w:pPr>
        <w:tabs>
          <w:tab w:val="num" w:pos="0"/>
        </w:tabs>
        <w:ind w:left="1440" w:hanging="1440"/>
      </w:pPr>
      <w:rPr/>
    </w:lvl>
    <w:lvl w:ilvl="7">
      <w:start w:val="1"/>
      <w:numFmt w:val="decimal"/>
      <w:isLgl/>
      <w:lvlText w:val="%1.%2.%3.%4.%5.%6.%7.%8."/>
      <w:lvlJc w:val="left"/>
      <w:pPr>
        <w:tabs>
          <w:tab w:val="num" w:pos="0"/>
        </w:tabs>
        <w:ind w:left="1800" w:hanging="1800"/>
      </w:pPr>
      <w:rPr/>
    </w:lvl>
    <w:lvl w:ilvl="8">
      <w:start w:val="1"/>
      <w:numFmt w:val="decimal"/>
      <w:isLgl/>
      <w:lvlText w:val="%1.%2.%3.%4.%5.%6.%7.%8.%9."/>
      <w:lvlJc w:val="left"/>
      <w:pPr>
        <w:tabs>
          <w:tab w:val="num" w:pos="0"/>
        </w:tabs>
        <w:ind w:left="2160" w:hanging="2160"/>
      </w:pPr>
      <w:rPr/>
    </w:lvl>
  </w:abstractNum>
  <w:abstractNum w:abstractNumId="7">
    <w:lvl w:ilvl="0">
      <w:start w:val="7"/>
      <w:numFmt w:val="decimal"/>
      <w:isLgl/>
      <w:lvlText w:val="%1"/>
      <w:lvlJc w:val="left"/>
      <w:pPr>
        <w:tabs>
          <w:tab w:val="num" w:pos="720"/>
        </w:tabs>
        <w:ind w:left="720" w:hanging="360"/>
      </w:pPr>
      <w:rPr>
        <w:b/>
        <w:bCs/>
      </w:rPr>
    </w:lvl>
    <w:lvl w:ilvl="1">
      <w:start w:val="1"/>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8">
    <w:lvl w:ilvl="0">
      <w:start w:val="1"/>
      <w:numFmt w:val="bullet"/>
      <w:isLgl/>
      <w:lvlText w:val=""/>
      <w:lvlJc w:val="left"/>
      <w:pPr>
        <w:tabs>
          <w:tab w:val="num" w:pos="0"/>
        </w:tabs>
        <w:ind w:left="1436" w:hanging="360"/>
      </w:pPr>
      <w:rPr>
        <w:rFonts w:ascii="Symbol" w:hAnsi="Symbol" w:cs="Symbol" w:hint="default"/>
      </w:rPr>
    </w:lvl>
    <w:lvl w:ilvl="1">
      <w:start w:val="1"/>
      <w:numFmt w:val="lowerLetter"/>
      <w:isLgl/>
      <w:lvlText w:val="%2."/>
      <w:lvlJc w:val="left"/>
      <w:pPr>
        <w:tabs>
          <w:tab w:val="num" w:pos="0"/>
        </w:tabs>
        <w:ind w:left="2156" w:hanging="360"/>
      </w:pPr>
      <w:rPr/>
    </w:lvl>
    <w:lvl w:ilvl="2">
      <w:start w:val="1"/>
      <w:numFmt w:val="lowerRoman"/>
      <w:isLgl/>
      <w:lvlText w:val="%3."/>
      <w:lvlJc w:val="right"/>
      <w:pPr>
        <w:tabs>
          <w:tab w:val="num" w:pos="0"/>
        </w:tabs>
        <w:ind w:left="2876" w:hanging="180"/>
      </w:pPr>
      <w:rPr/>
    </w:lvl>
    <w:lvl w:ilvl="3">
      <w:start w:val="1"/>
      <w:numFmt w:val="decimal"/>
      <w:isLgl/>
      <w:lvlText w:val="%4."/>
      <w:lvlJc w:val="left"/>
      <w:pPr>
        <w:tabs>
          <w:tab w:val="num" w:pos="0"/>
        </w:tabs>
        <w:ind w:left="3596" w:hanging="360"/>
      </w:pPr>
      <w:rPr/>
    </w:lvl>
    <w:lvl w:ilvl="4">
      <w:start w:val="1"/>
      <w:numFmt w:val="lowerLetter"/>
      <w:isLgl/>
      <w:lvlText w:val="%5."/>
      <w:lvlJc w:val="left"/>
      <w:pPr>
        <w:tabs>
          <w:tab w:val="num" w:pos="0"/>
        </w:tabs>
        <w:ind w:left="4316" w:hanging="360"/>
      </w:pPr>
      <w:rPr/>
    </w:lvl>
    <w:lvl w:ilvl="5">
      <w:start w:val="1"/>
      <w:numFmt w:val="lowerRoman"/>
      <w:isLgl/>
      <w:lvlText w:val="%6."/>
      <w:lvlJc w:val="right"/>
      <w:pPr>
        <w:tabs>
          <w:tab w:val="num" w:pos="0"/>
        </w:tabs>
        <w:ind w:left="5036" w:hanging="180"/>
      </w:pPr>
      <w:rPr/>
    </w:lvl>
    <w:lvl w:ilvl="6">
      <w:start w:val="1"/>
      <w:numFmt w:val="decimal"/>
      <w:isLgl/>
      <w:lvlText w:val="%7."/>
      <w:lvlJc w:val="left"/>
      <w:pPr>
        <w:tabs>
          <w:tab w:val="num" w:pos="0"/>
        </w:tabs>
        <w:ind w:left="5756" w:hanging="360"/>
      </w:pPr>
      <w:rPr/>
    </w:lvl>
    <w:lvl w:ilvl="7">
      <w:start w:val="1"/>
      <w:numFmt w:val="lowerLetter"/>
      <w:isLgl/>
      <w:lvlText w:val="%8."/>
      <w:lvlJc w:val="left"/>
      <w:pPr>
        <w:tabs>
          <w:tab w:val="num" w:pos="0"/>
        </w:tabs>
        <w:ind w:left="6476" w:hanging="360"/>
      </w:pPr>
      <w:rPr/>
    </w:lvl>
    <w:lvl w:ilvl="8">
      <w:start w:val="1"/>
      <w:numFmt w:val="lowerRoman"/>
      <w:isLgl/>
      <w:lvlText w:val="%9."/>
      <w:lvlJc w:val="right"/>
      <w:pPr>
        <w:tabs>
          <w:tab w:val="num" w:pos="0"/>
        </w:tabs>
        <w:ind w:left="7196" w:hanging="180"/>
      </w:pPr>
      <w:rPr/>
    </w:lvl>
  </w:abstractNum>
  <w:abstractNum w:abstractNumId="9">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10">
    <w:lvl w:ilvl="0">
      <w:start w:val="19"/>
      <w:numFmt w:val="decimal"/>
      <w:isLgl/>
      <w:lvlText w:val="%1."/>
      <w:lvlJc w:val="left"/>
      <w:pPr>
        <w:tabs>
          <w:tab w:val="num" w:pos="0"/>
        </w:tabs>
        <w:ind w:left="360" w:hanging="360"/>
      </w:pPr>
      <w:rPr/>
    </w:lvl>
    <w:lvl w:ilvl="1">
      <w:start w:val="1"/>
      <w:numFmt w:val="decimal"/>
      <w:isLgl/>
      <w:lvlText w:val="%1.%2."/>
      <w:lvlJc w:val="left"/>
      <w:pPr>
        <w:tabs>
          <w:tab w:val="num" w:pos="0"/>
        </w:tabs>
        <w:ind w:left="792" w:hanging="432"/>
      </w:pPr>
      <w:rPr>
        <w:b w:val="false"/>
        <w:i w:val="false"/>
      </w:rPr>
    </w:lvl>
    <w:lvl w:ilvl="2">
      <w:start w:val="1"/>
      <w:numFmt w:val="lowerLetter"/>
      <w:isLgl/>
      <w:lvlText w:val="%3)"/>
      <w:lvlJc w:val="left"/>
      <w:pPr>
        <w:tabs>
          <w:tab w:val="num" w:pos="0"/>
        </w:tabs>
        <w:ind w:left="1224" w:hanging="504"/>
      </w:pPr>
      <w:rPr>
        <w:b w:val="false"/>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1">
    <w:lvl w:ilvl="0">
      <w:start w:val="1"/>
      <w:numFmt w:val="bullet"/>
      <w:isLgl/>
      <w:lvlText w:val=""/>
      <w:lvlJc w:val="right"/>
      <w:pPr>
        <w:tabs>
          <w:tab w:val="num" w:pos="0"/>
        </w:tabs>
        <w:ind w:left="1287" w:hanging="360"/>
      </w:pPr>
      <w:rPr>
        <w:rFonts w:ascii="Symbol" w:hAnsi="Symbol" w:cs="Symbol" w:hint="default"/>
      </w:rPr>
    </w:lvl>
    <w:lvl w:ilvl="1">
      <w:start w:val="1"/>
      <w:numFmt w:val="decimal"/>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716" w:hanging="432"/>
      </w:pPr>
      <w:rPr>
        <w:b w:val="false"/>
        <w:i w:val="false"/>
        <w:iCs/>
      </w:rPr>
    </w:lvl>
    <w:lvl w:ilvl="2">
      <w:start w:val="1"/>
      <w:numFmt w:val="decimal"/>
      <w:isLgl/>
      <w:lvlText w:val="%1.%2.%3."/>
      <w:lvlJc w:val="left"/>
      <w:pPr>
        <w:tabs>
          <w:tab w:val="num" w:pos="0"/>
        </w:tabs>
        <w:ind w:left="1224" w:hanging="504"/>
      </w:pPr>
      <w:rPr>
        <w:rFonts w:ascii="Arial" w:hAnsi="Arial" w:cs="Arial"/>
        <w:b w:val="false"/>
        <w:i w:val="false"/>
        <w:iCs/>
        <w:color w:val="auto"/>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3">
    <w:lvl w:ilvl="0">
      <w:start w:val="2"/>
      <w:numFmt w:val="decimal"/>
      <w:isLgl/>
      <w:lvlText w:val="%1."/>
      <w:lvlJc w:val="left"/>
      <w:pPr>
        <w:tabs>
          <w:tab w:val="num" w:pos="0"/>
        </w:tabs>
        <w:ind w:left="390" w:hanging="390"/>
      </w:pPr>
      <w:rPr/>
    </w:lvl>
    <w:lvl w:ilvl="1">
      <w:start w:val="1"/>
      <w:numFmt w:val="decimal"/>
      <w:isLgl/>
      <w:lvlText w:val="%1.%2."/>
      <w:lvlJc w:val="left"/>
      <w:pPr>
        <w:tabs>
          <w:tab w:val="num" w:pos="0"/>
        </w:tabs>
        <w:ind w:left="1865" w:hanging="720"/>
      </w:pPr>
      <w:rPr>
        <w:b/>
        <w:i w:val="false"/>
        <w:sz w:val="24"/>
        <w:szCs w:val="24"/>
      </w:rPr>
    </w:lvl>
    <w:lvl w:ilvl="2">
      <w:start w:val="1"/>
      <w:numFmt w:val="decimal"/>
      <w:isLgl/>
      <w:lvlText w:val="%1.%2.%3."/>
      <w:lvlJc w:val="left"/>
      <w:pPr>
        <w:tabs>
          <w:tab w:val="num" w:pos="0"/>
        </w:tabs>
        <w:ind w:left="3010" w:hanging="720"/>
      </w:pPr>
      <w:rPr>
        <w:b/>
        <w:i w:val="false"/>
        <w:sz w:val="24"/>
        <w:szCs w:val="24"/>
      </w:rPr>
    </w:lvl>
    <w:lvl w:ilvl="3">
      <w:start w:val="1"/>
      <w:numFmt w:val="decimal"/>
      <w:isLgl/>
      <w:lvlText w:val="%1.%2.%3.%4."/>
      <w:lvlJc w:val="left"/>
      <w:pPr>
        <w:tabs>
          <w:tab w:val="num" w:pos="0"/>
        </w:tabs>
        <w:ind w:left="4515" w:hanging="1080"/>
      </w:pPr>
      <w:rPr>
        <w:b/>
      </w:rPr>
    </w:lvl>
    <w:lvl w:ilvl="4">
      <w:start w:val="1"/>
      <w:numFmt w:val="decimal"/>
      <w:isLgl/>
      <w:lvlText w:val="%1.%2.%3.%4.%5."/>
      <w:lvlJc w:val="left"/>
      <w:pPr>
        <w:tabs>
          <w:tab w:val="num" w:pos="0"/>
        </w:tabs>
        <w:ind w:left="5660" w:hanging="1080"/>
      </w:pPr>
      <w:rPr/>
    </w:lvl>
    <w:lvl w:ilvl="5">
      <w:start w:val="1"/>
      <w:numFmt w:val="decimal"/>
      <w:isLgl/>
      <w:lvlText w:val="%1.%2.%3.%4.%5.%6."/>
      <w:lvlJc w:val="left"/>
      <w:pPr>
        <w:tabs>
          <w:tab w:val="num" w:pos="0"/>
        </w:tabs>
        <w:ind w:left="7165" w:hanging="1440"/>
      </w:pPr>
      <w:rPr/>
    </w:lvl>
    <w:lvl w:ilvl="6">
      <w:start w:val="1"/>
      <w:numFmt w:val="decimal"/>
      <w:isLgl/>
      <w:lvlText w:val="%1.%2.%3.%4.%5.%6.%7."/>
      <w:lvlJc w:val="left"/>
      <w:pPr>
        <w:tabs>
          <w:tab w:val="num" w:pos="0"/>
        </w:tabs>
        <w:ind w:left="8310" w:hanging="1440"/>
      </w:pPr>
      <w:rPr/>
    </w:lvl>
    <w:lvl w:ilvl="7">
      <w:start w:val="1"/>
      <w:numFmt w:val="decimal"/>
      <w:isLgl/>
      <w:lvlText w:val="%1.%2.%3.%4.%5.%6.%7.%8."/>
      <w:lvlJc w:val="left"/>
      <w:pPr>
        <w:tabs>
          <w:tab w:val="num" w:pos="0"/>
        </w:tabs>
        <w:ind w:left="9815" w:hanging="1800"/>
      </w:pPr>
      <w:rPr/>
    </w:lvl>
    <w:lvl w:ilvl="8">
      <w:start w:val="1"/>
      <w:numFmt w:val="decimal"/>
      <w:isLgl/>
      <w:lvlText w:val="%1.%2.%3.%4.%5.%6.%7.%8.%9."/>
      <w:lvlJc w:val="left"/>
      <w:pPr>
        <w:tabs>
          <w:tab w:val="num" w:pos="0"/>
        </w:tabs>
        <w:ind w:left="11320" w:hanging="2160"/>
      </w:pPr>
      <w:rPr/>
    </w:lvl>
  </w:abstractNum>
  <w:abstractNum w:abstractNumId="14">
    <w:lvl w:ilvl="0">
      <w:start w:val="3"/>
      <w:numFmt w:val="decimal"/>
      <w:isLgl/>
      <w:lvlText w:val="%1"/>
      <w:lvlJc w:val="left"/>
      <w:pPr>
        <w:tabs>
          <w:tab w:val="num" w:pos="720"/>
        </w:tabs>
        <w:ind w:left="720" w:hanging="360"/>
      </w:pPr>
      <w:rPr>
        <w:b/>
        <w:bCs/>
      </w:rPr>
    </w:lvl>
    <w:lvl w:ilvl="1">
      <w:start w:val="9"/>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15">
    <w:lvl w:ilvl="0">
      <w:start w:val="3"/>
      <w:numFmt w:val="decimal"/>
      <w:isLgl/>
      <w:lvlText w:val="%1"/>
      <w:lvlJc w:val="left"/>
      <w:pPr>
        <w:tabs>
          <w:tab w:val="num" w:pos="720"/>
        </w:tabs>
        <w:ind w:left="720" w:hanging="360"/>
      </w:pPr>
      <w:rPr>
        <w:b/>
        <w:bCs/>
      </w:rPr>
    </w:lvl>
    <w:lvl w:ilvl="1">
      <w:start w:val="2"/>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16">
    <w:lvl w:ilvl="0">
      <w:start w:val="1"/>
      <w:numFmt w:val="decimal"/>
      <w:isLgl/>
      <w:lvlText w:val="%1."/>
      <w:lvlJc w:val="left"/>
      <w:pPr>
        <w:tabs>
          <w:tab w:val="num" w:pos="0"/>
        </w:tabs>
        <w:ind w:left="5247" w:hanging="360"/>
      </w:pPr>
      <w:rPr/>
    </w:lvl>
    <w:lvl w:ilvl="1">
      <w:start w:val="1"/>
      <w:numFmt w:val="lowerLetter"/>
      <w:isLgl/>
      <w:lvlText w:val="%2."/>
      <w:lvlJc w:val="left"/>
      <w:pPr>
        <w:tabs>
          <w:tab w:val="num" w:pos="0"/>
        </w:tabs>
        <w:ind w:left="5967" w:hanging="360"/>
      </w:pPr>
      <w:rPr/>
    </w:lvl>
    <w:lvl w:ilvl="2">
      <w:start w:val="1"/>
      <w:numFmt w:val="lowerRoman"/>
      <w:isLgl/>
      <w:lvlText w:val="%3."/>
      <w:lvlJc w:val="right"/>
      <w:pPr>
        <w:tabs>
          <w:tab w:val="num" w:pos="0"/>
        </w:tabs>
        <w:ind w:left="6687" w:hanging="180"/>
      </w:pPr>
      <w:rPr/>
    </w:lvl>
    <w:lvl w:ilvl="3">
      <w:start w:val="1"/>
      <w:numFmt w:val="decimal"/>
      <w:isLgl/>
      <w:lvlText w:val="%4."/>
      <w:lvlJc w:val="left"/>
      <w:pPr>
        <w:tabs>
          <w:tab w:val="num" w:pos="0"/>
        </w:tabs>
        <w:ind w:left="7407" w:hanging="360"/>
      </w:pPr>
      <w:rPr/>
    </w:lvl>
    <w:lvl w:ilvl="4">
      <w:start w:val="1"/>
      <w:numFmt w:val="lowerLetter"/>
      <w:isLgl/>
      <w:lvlText w:val="%5."/>
      <w:lvlJc w:val="left"/>
      <w:pPr>
        <w:tabs>
          <w:tab w:val="num" w:pos="0"/>
        </w:tabs>
        <w:ind w:left="8127" w:hanging="360"/>
      </w:pPr>
      <w:rPr/>
    </w:lvl>
    <w:lvl w:ilvl="5">
      <w:start w:val="1"/>
      <w:numFmt w:val="lowerRoman"/>
      <w:isLgl/>
      <w:lvlText w:val="%6."/>
      <w:lvlJc w:val="right"/>
      <w:pPr>
        <w:tabs>
          <w:tab w:val="num" w:pos="0"/>
        </w:tabs>
        <w:ind w:left="8847" w:hanging="180"/>
      </w:pPr>
      <w:rPr/>
    </w:lvl>
    <w:lvl w:ilvl="6">
      <w:start w:val="1"/>
      <w:numFmt w:val="decimal"/>
      <w:isLgl/>
      <w:lvlText w:val="%7."/>
      <w:lvlJc w:val="left"/>
      <w:pPr>
        <w:tabs>
          <w:tab w:val="num" w:pos="0"/>
        </w:tabs>
        <w:ind w:left="9567" w:hanging="360"/>
      </w:pPr>
      <w:rPr/>
    </w:lvl>
    <w:lvl w:ilvl="7">
      <w:start w:val="1"/>
      <w:numFmt w:val="lowerLetter"/>
      <w:isLgl/>
      <w:lvlText w:val="%8."/>
      <w:lvlJc w:val="left"/>
      <w:pPr>
        <w:tabs>
          <w:tab w:val="num" w:pos="0"/>
        </w:tabs>
        <w:ind w:left="10287" w:hanging="360"/>
      </w:pPr>
      <w:rPr/>
    </w:lvl>
    <w:lvl w:ilvl="8">
      <w:start w:val="1"/>
      <w:numFmt w:val="lowerRoman"/>
      <w:isLgl/>
      <w:lvlText w:val="%9."/>
      <w:lvlJc w:val="right"/>
      <w:pPr>
        <w:tabs>
          <w:tab w:val="num" w:pos="0"/>
        </w:tabs>
        <w:ind w:left="11007" w:hanging="180"/>
      </w:pPr>
      <w:rPr/>
    </w:lvl>
  </w:abstractNum>
  <w:abstractNum w:abstractNumId="17">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8"/>
    <w:lvlOverride w:ilvl="0">
      <w:startOverride w:val="1"/>
    </w:lvlOverride>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120" w:after="120"/>
      <w:jc w:val="both"/>
    </w:pPr>
    <w:rPr>
      <w:rFonts w:ascii="Arial" w:hAnsi="Arial" w:eastAsia="Times New Roman" w:cs="Arial" w:cstheme="minorBidi"/>
      <w:color w:val="auto"/>
      <w:kern w:val="0"/>
      <w:sz w:val="18"/>
      <w:szCs w:val="18"/>
      <w:lang w:val="pt-BR" w:eastAsia="pt-BR" w:bidi="ar-SA"/>
    </w:rPr>
  </w:style>
  <w:style w:type="paragraph" w:styleId="Heading1">
    <w:name w:val="heading 1"/>
    <w:basedOn w:val="Normal"/>
    <w:next w:val="Normal"/>
    <w:link w:val="Ttulo1Char"/>
    <w:uiPriority w:val="9"/>
    <w:qFormat/>
    <w:pPr>
      <w:keepNext w:val="true"/>
      <w:numPr>
        <w:ilvl w:val="0"/>
        <w:numId w:val="12"/>
      </w:numPr>
      <w:ind w:hanging="0" w:left="0"/>
      <w:jc w:val="center"/>
      <w:outlineLvl w:val="0"/>
    </w:pPr>
    <w:rPr>
      <w:rFonts w:ascii="Tahoma" w:hAnsi="Tahoma"/>
      <w:b/>
      <w:sz w:val="28"/>
      <w:u w:val="single"/>
    </w:rPr>
  </w:style>
  <w:style w:type="paragraph" w:styleId="Heading2">
    <w:name w:val="heading 2"/>
    <w:basedOn w:val="Normal"/>
    <w:next w:val="Normal"/>
    <w:link w:val="Ttulo2Char"/>
    <w:qFormat/>
    <w:pPr>
      <w:keepNext w:val="true"/>
      <w:ind w:hanging="426" w:left="426"/>
      <w:outlineLvl w:val="1"/>
    </w:pPr>
    <w:rPr>
      <w:rFonts w:ascii="Tahoma" w:hAnsi="Tahoma"/>
      <w:sz w:val="24"/>
    </w:rPr>
  </w:style>
  <w:style w:type="paragraph" w:styleId="Heading3">
    <w:name w:val="heading 3"/>
    <w:basedOn w:val="Normal"/>
    <w:next w:val="Normal"/>
    <w:link w:val="Ttulo3Char"/>
    <w:uiPriority w:val="9"/>
    <w:unhideWhenUsed/>
    <w:qFormat/>
    <w:pPr>
      <w:keepNext w:val="true"/>
      <w:keepLines/>
      <w:spacing w:before="320" w:after="200"/>
      <w:outlineLvl w:val="2"/>
    </w:pPr>
    <w:rPr>
      <w:rFonts w:eastAsia="Arial"/>
      <w:sz w:val="30"/>
      <w:szCs w:val="30"/>
    </w:rPr>
  </w:style>
  <w:style w:type="paragraph" w:styleId="Heading4">
    <w:name w:val="heading 4"/>
    <w:basedOn w:val="Normal"/>
    <w:next w:val="Normal"/>
    <w:link w:val="Ttulo4Char"/>
    <w:qFormat/>
    <w:pPr>
      <w:keepNext w:val="true"/>
      <w:spacing w:before="240" w:after="60"/>
      <w:jc w:val="left"/>
      <w:outlineLvl w:val="3"/>
    </w:pPr>
    <w:rPr>
      <w:rFonts w:ascii="Calibri" w:hAnsi="Calibri" w:cs="Times New Roman"/>
      <w:b/>
      <w:bCs/>
      <w:sz w:val="28"/>
      <w:szCs w:val="28"/>
    </w:rPr>
  </w:style>
  <w:style w:type="paragraph" w:styleId="Heading5">
    <w:name w:val="heading 5"/>
    <w:basedOn w:val="Normal"/>
    <w:next w:val="Normal"/>
    <w:link w:val="Ttulo5Char"/>
    <w:uiPriority w:val="9"/>
    <w:unhideWhenUsed/>
    <w:qFormat/>
    <w:pPr>
      <w:keepNext w:val="true"/>
      <w:keepLines/>
      <w:spacing w:before="320" w:after="200"/>
      <w:outlineLvl w:val="4"/>
    </w:pPr>
    <w:rPr>
      <w:rFonts w:eastAsia="Arial"/>
      <w:b/>
      <w:bCs/>
      <w:sz w:val="24"/>
      <w:szCs w:val="24"/>
    </w:rPr>
  </w:style>
  <w:style w:type="paragraph" w:styleId="Heading6">
    <w:name w:val="heading 6"/>
    <w:basedOn w:val="Normal"/>
    <w:next w:val="Normal"/>
    <w:link w:val="Ttulo6Char"/>
    <w:uiPriority w:val="9"/>
    <w:unhideWhenUsed/>
    <w:qFormat/>
    <w:pPr>
      <w:keepNext w:val="true"/>
      <w:keepLines/>
      <w:spacing w:before="320" w:after="200"/>
      <w:outlineLvl w:val="5"/>
    </w:pPr>
    <w:rPr>
      <w:rFonts w:eastAsia="Arial"/>
      <w:b/>
      <w:bCs/>
      <w:sz w:val="22"/>
      <w:szCs w:val="22"/>
    </w:rPr>
  </w:style>
  <w:style w:type="paragraph" w:styleId="Heading7">
    <w:name w:val="heading 7"/>
    <w:basedOn w:val="Normal"/>
    <w:next w:val="Normal"/>
    <w:link w:val="Ttulo7Char"/>
    <w:uiPriority w:val="9"/>
    <w:unhideWhenUsed/>
    <w:qFormat/>
    <w:pPr>
      <w:keepNext w:val="true"/>
      <w:keepLines/>
      <w:spacing w:before="320" w:after="200"/>
      <w:outlineLvl w:val="6"/>
    </w:pPr>
    <w:rPr>
      <w:rFonts w:eastAsia="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eastAsia="Arial"/>
      <w:i/>
      <w:iCs/>
      <w:sz w:val="22"/>
      <w:szCs w:val="22"/>
    </w:rPr>
  </w:style>
  <w:style w:type="paragraph" w:styleId="Heading9">
    <w:name w:val="heading 9"/>
    <w:basedOn w:val="Normal"/>
    <w:next w:val="Normal"/>
    <w:link w:val="Ttulo9Char"/>
    <w:uiPriority w:val="9"/>
    <w:unhideWhenUsed/>
    <w:qFormat/>
    <w:pPr>
      <w:keepNext w:val="true"/>
      <w:keepLines/>
      <w:spacing w:before="200" w:after="120"/>
      <w:outlineLvl w:val="8"/>
    </w:pPr>
    <w:rPr>
      <w:rFonts w:ascii="Calibri Light" w:hAnsi="Calibri Light" w:eastAsia="Arial" w:cs="Arial" w:asciiTheme="majorHAnsi" w:cstheme="majorBidi" w:eastAsiaTheme="majorEastAsia" w:hAnsiTheme="majorHAnsi"/>
      <w:i/>
      <w:iCs/>
      <w:color w:themeColor="text1" w:themeTint="bf" w:val="404040"/>
      <w:sz w:val="20"/>
      <w:szCs w:val="20"/>
    </w:rPr>
  </w:style>
  <w:style w:type="character" w:styleId="DefaultParagraphFont" w:default="1">
    <w:name w:val="Default Paragraph Font"/>
    <w:uiPriority w:val="1"/>
    <w:semiHidden/>
    <w:unhideWhenUsed/>
    <w:qFormat/>
    <w:rPr/>
  </w:style>
  <w:style w:type="character" w:styleId="IntenseEmphasis">
    <w:name w:val="Intense Emphasis"/>
    <w:basedOn w:val="DefaultParagraphFont"/>
    <w:uiPriority w:val="21"/>
    <w:qFormat/>
    <w:rPr>
      <w:i/>
      <w:iCs/>
      <w:color w:themeColor="accent1" w:themeShade="bf" w:val="2E74B5"/>
    </w:rPr>
  </w:style>
  <w:style w:type="character" w:styleId="IntenseReference">
    <w:name w:val="Intense Reference"/>
    <w:basedOn w:val="DefaultParagraphFont"/>
    <w:uiPriority w:val="32"/>
    <w:qFormat/>
    <w:rPr>
      <w:b/>
      <w:bCs/>
      <w:smallCaps/>
      <w:color w:themeColor="accent1" w:themeShade="bf" w:val="2E74B5"/>
      <w:spacing w:val="5"/>
    </w:rPr>
  </w:style>
  <w:style w:type="character" w:styleId="SubtleEmphasis">
    <w:name w:val="Subtle Emphasis"/>
    <w:basedOn w:val="DefaultParagraphFont"/>
    <w:uiPriority w:val="19"/>
    <w:qFormat/>
    <w:rPr>
      <w:i/>
      <w:iCs/>
      <w:color w:themeColor="text1" w:themeTint="bf" w:val="404040"/>
    </w:rPr>
  </w:style>
  <w:style w:type="character" w:styleId="SubtleReference">
    <w:name w:val="Subtle Reference"/>
    <w:basedOn w:val="DefaultParagraphFont"/>
    <w:uiPriority w:val="31"/>
    <w:qFormat/>
    <w:rPr>
      <w:smallCaps/>
      <w:color w:themeColor="text1" w:themeTint="a5" w:val="5A5A5A"/>
    </w:rPr>
  </w:style>
  <w:style w:type="character" w:styleId="BookTitle">
    <w:name w:val="Book Title"/>
    <w:basedOn w:val="DefaultParagraphFont"/>
    <w:uiPriority w:val="33"/>
    <w:qFormat/>
    <w:rPr>
      <w:b/>
      <w:bCs/>
      <w:i/>
      <w:iCs/>
      <w:spacing w:val="5"/>
    </w:rPr>
  </w:style>
  <w:style w:type="character" w:styleId="PlaceholderText">
    <w:name w:val="Placeholder Text"/>
    <w:basedOn w:val="DefaultParagraphFont"/>
    <w:uiPriority w:val="99"/>
    <w:semiHidden/>
    <w:qFormat/>
    <w:rPr>
      <w:color w:val="666666"/>
    </w:rPr>
  </w:style>
  <w:style w:type="character" w:styleId="Ttulo1Char" w:customStyle="1">
    <w:name w:val="Título 1 Char"/>
    <w:basedOn w:val="DefaultParagraphFont"/>
    <w:uiPriority w:val="9"/>
    <w:qFormat/>
    <w:rPr>
      <w:rFonts w:ascii="Tahoma" w:hAnsi="Tahoma" w:eastAsia="Times New Roman"/>
      <w:b/>
      <w:sz w:val="28"/>
      <w:szCs w:val="18"/>
      <w:u w:val="single"/>
      <w:lang w:eastAsia="pt-BR"/>
    </w:rPr>
  </w:style>
  <w:style w:type="character" w:styleId="Ttulo2Char" w:customStyle="1">
    <w:name w:val="Título 2 Char"/>
    <w:basedOn w:val="DefaultParagraphFont"/>
    <w:qFormat/>
    <w:rPr>
      <w:rFonts w:ascii="Tahoma" w:hAnsi="Tahoma" w:eastAsia="Times New Roman"/>
      <w:sz w:val="24"/>
      <w:szCs w:val="18"/>
      <w:lang w:eastAsia="pt-BR"/>
    </w:rPr>
  </w:style>
  <w:style w:type="character" w:styleId="Ttulo3Char" w:customStyle="1">
    <w:name w:val="Título 3 Char"/>
    <w:basedOn w:val="DefaultParagraphFont"/>
    <w:uiPriority w:val="9"/>
    <w:qFormat/>
    <w:rPr>
      <w:rFonts w:ascii="Arial" w:hAnsi="Arial" w:eastAsia="Arial"/>
      <w:sz w:val="30"/>
      <w:szCs w:val="30"/>
      <w:lang w:eastAsia="pt-BR"/>
    </w:rPr>
  </w:style>
  <w:style w:type="character" w:styleId="Ttulo4Char" w:customStyle="1">
    <w:name w:val="Título 4 Char"/>
    <w:basedOn w:val="DefaultParagraphFont"/>
    <w:qFormat/>
    <w:rPr>
      <w:rFonts w:ascii="Calibri" w:hAnsi="Calibri" w:eastAsia="Times New Roman" w:cs="Times New Roman"/>
      <w:b/>
      <w:bCs/>
      <w:sz w:val="28"/>
      <w:szCs w:val="28"/>
      <w:lang w:eastAsia="pt-BR"/>
    </w:rPr>
  </w:style>
  <w:style w:type="character" w:styleId="Ttulo5Char" w:customStyle="1">
    <w:name w:val="Título 5 Char"/>
    <w:basedOn w:val="DefaultParagraphFont"/>
    <w:uiPriority w:val="9"/>
    <w:qFormat/>
    <w:rPr>
      <w:rFonts w:ascii="Arial" w:hAnsi="Arial" w:eastAsia="Arial"/>
      <w:b/>
      <w:bCs/>
      <w:sz w:val="24"/>
      <w:szCs w:val="24"/>
      <w:lang w:eastAsia="pt-BR"/>
    </w:rPr>
  </w:style>
  <w:style w:type="character" w:styleId="Ttulo6Char" w:customStyle="1">
    <w:name w:val="Título 6 Char"/>
    <w:basedOn w:val="DefaultParagraphFont"/>
    <w:uiPriority w:val="9"/>
    <w:qFormat/>
    <w:rPr>
      <w:rFonts w:ascii="Arial" w:hAnsi="Arial" w:eastAsia="Arial"/>
      <w:b/>
      <w:bCs/>
      <w:lang w:eastAsia="pt-BR"/>
    </w:rPr>
  </w:style>
  <w:style w:type="character" w:styleId="Ttulo7Char" w:customStyle="1">
    <w:name w:val="Título 7 Char"/>
    <w:basedOn w:val="DefaultParagraphFont"/>
    <w:uiPriority w:val="9"/>
    <w:qFormat/>
    <w:rPr>
      <w:rFonts w:ascii="Arial" w:hAnsi="Arial" w:eastAsia="Arial"/>
      <w:b/>
      <w:bCs/>
      <w:i/>
      <w:iCs/>
      <w:lang w:eastAsia="pt-BR"/>
    </w:rPr>
  </w:style>
  <w:style w:type="character" w:styleId="Ttulo8Char" w:customStyle="1">
    <w:name w:val="Título 8 Char"/>
    <w:basedOn w:val="DefaultParagraphFont"/>
    <w:uiPriority w:val="9"/>
    <w:qFormat/>
    <w:rPr>
      <w:rFonts w:ascii="Arial" w:hAnsi="Arial" w:eastAsia="Arial"/>
      <w:i/>
      <w:iCs/>
      <w:lang w:eastAsia="pt-BR"/>
    </w:rPr>
  </w:style>
  <w:style w:type="character" w:styleId="Ttulo9Char" w:customStyle="1">
    <w:name w:val="Título 9 Char"/>
    <w:basedOn w:val="DefaultParagraphFont"/>
    <w:uiPriority w:val="9"/>
    <w:qFormat/>
    <w:rPr>
      <w:rFonts w:ascii="Calibri Light" w:hAnsi="Calibri Light" w:eastAsia="Arial" w:cs="Arial" w:asciiTheme="majorHAnsi" w:cstheme="majorBidi" w:eastAsiaTheme="majorEastAsia" w:hAnsiTheme="majorHAnsi"/>
      <w:i/>
      <w:iCs/>
      <w:color w:themeColor="text1" w:themeTint="bf" w:val="404040"/>
      <w:sz w:val="20"/>
      <w:szCs w:val="20"/>
      <w:lang w:eastAsia="pt-BR"/>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SubttuloChar1" w:customStyle="1">
    <w:name w:val="Subtítulo Char1"/>
    <w:basedOn w:val="DefaultParagraphFont"/>
    <w:uiPriority w:val="11"/>
    <w:qFormat/>
    <w:rPr>
      <w:rFonts w:eastAsia="Arial" w:eastAsiaTheme="minorEastAsia"/>
      <w:color w:themeColor="text1" w:themeTint="a5" w:val="5A5A5A"/>
      <w:spacing w:val="15"/>
      <w:lang w:eastAsia="pt-BR"/>
    </w:rPr>
  </w:style>
  <w:style w:type="character" w:styleId="QuoteChar" w:customStyle="1">
    <w:name w:val="Quote Char"/>
    <w:uiPriority w:val="29"/>
    <w:qFormat/>
    <w:rPr>
      <w:i/>
    </w:rPr>
  </w:style>
  <w:style w:type="character" w:styleId="CitaoIntensaChar" w:customStyle="1">
    <w:name w:val="Citação Intensa Char"/>
    <w:link w:val="IntenseQuote"/>
    <w:uiPriority w:val="30"/>
    <w:qFormat/>
    <w:rPr>
      <w:i/>
      <w:shd w:fill="F2F2F2" w:val="clear"/>
    </w:rPr>
  </w:style>
  <w:style w:type="character" w:styleId="CitaoIntensaChar1" w:customStyle="1">
    <w:name w:val="Citação Intensa Char1"/>
    <w:basedOn w:val="DefaultParagraphFont"/>
    <w:uiPriority w:val="30"/>
    <w:qFormat/>
    <w:rPr>
      <w:rFonts w:ascii="Arial" w:hAnsi="Arial" w:eastAsia="Times New Roman"/>
      <w:i/>
      <w:iCs/>
      <w:color w:themeColor="accent1" w:val="5B9BD5"/>
      <w:sz w:val="18"/>
      <w:szCs w:val="18"/>
      <w:lang w:eastAsia="pt-BR"/>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rodapChar1" w:customStyle="1">
    <w:name w:val="Texto de nota de rodapé Char1"/>
    <w:basedOn w:val="DefaultParagraphFont"/>
    <w:uiPriority w:val="99"/>
    <w:semiHidden/>
    <w:qFormat/>
    <w:rPr>
      <w:rFonts w:ascii="Arial" w:hAnsi="Arial" w:eastAsia="Times New Roman"/>
      <w:sz w:val="20"/>
      <w:szCs w:val="20"/>
      <w:lang w:eastAsia="pt-BR"/>
    </w:rPr>
  </w:style>
  <w:style w:type="character" w:styleId="Caracteresdenotaderodapuser">
    <w:name w:val="Caracteres de nota de rodapé (user)"/>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TextodenotadefimChar" w:customStyle="1">
    <w:name w:val="Texto de nota de fim Char"/>
    <w:uiPriority w:val="99"/>
    <w:semiHidden/>
    <w:qFormat/>
    <w:rPr>
      <w:sz w:val="20"/>
    </w:rPr>
  </w:style>
  <w:style w:type="character" w:styleId="TextodenotadefimChar1" w:customStyle="1">
    <w:name w:val="Texto de nota de fim Char1"/>
    <w:basedOn w:val="DefaultParagraphFont"/>
    <w:uiPriority w:val="99"/>
    <w:semiHidden/>
    <w:qFormat/>
    <w:rPr>
      <w:rFonts w:ascii="Arial" w:hAnsi="Arial" w:eastAsia="Times New Roman"/>
      <w:sz w:val="20"/>
      <w:szCs w:val="20"/>
      <w:lang w:eastAsia="pt-BR"/>
    </w:rPr>
  </w:style>
  <w:style w:type="character" w:styleId="Caracteresdenotadefimuser">
    <w:name w:val="Caracteres de nota de fim (user)"/>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PageNumber">
    <w:name w:val="page number"/>
    <w:basedOn w:val="DefaultParagraphFont"/>
    <w:qFormat/>
    <w:rPr/>
  </w:style>
  <w:style w:type="character" w:styleId="CabealhoChar" w:customStyle="1">
    <w:name w:val="Cabeçalho Char"/>
    <w:basedOn w:val="DefaultParagraphFont"/>
    <w:uiPriority w:val="99"/>
    <w:qFormat/>
    <w:rPr>
      <w:rFonts w:ascii="Arial" w:hAnsi="Arial" w:eastAsia="Times New Roman" w:cs="Arial"/>
      <w:sz w:val="24"/>
      <w:szCs w:val="18"/>
      <w:lang w:eastAsia="pt-BR"/>
    </w:rPr>
  </w:style>
  <w:style w:type="character" w:styleId="CabealhoChar1" w:customStyle="1">
    <w:name w:val="Cabeçalho Char1"/>
    <w:basedOn w:val="DefaultParagraphFont"/>
    <w:uiPriority w:val="99"/>
    <w:semiHidden/>
    <w:qFormat/>
    <w:rPr>
      <w:rFonts w:ascii="Arial" w:hAnsi="Arial" w:eastAsia="Times New Roman"/>
      <w:sz w:val="18"/>
      <w:szCs w:val="18"/>
      <w:lang w:eastAsia="pt-BR"/>
    </w:rPr>
  </w:style>
  <w:style w:type="character" w:styleId="RodapChar" w:customStyle="1">
    <w:name w:val="Rodapé Char"/>
    <w:basedOn w:val="DefaultParagraphFont"/>
    <w:uiPriority w:val="99"/>
    <w:qFormat/>
    <w:rPr>
      <w:rFonts w:ascii="Arial" w:hAnsi="Arial" w:eastAsia="Times New Roman" w:cs="Arial"/>
      <w:sz w:val="24"/>
      <w:szCs w:val="18"/>
      <w:lang w:eastAsia="pt-BR"/>
    </w:rPr>
  </w:style>
  <w:style w:type="character" w:styleId="RodapChar1" w:customStyle="1">
    <w:name w:val="Rodapé Char1"/>
    <w:basedOn w:val="DefaultParagraphFont"/>
    <w:uiPriority w:val="99"/>
    <w:semiHidden/>
    <w:qFormat/>
    <w:rPr>
      <w:rFonts w:ascii="Arial" w:hAnsi="Arial" w:eastAsia="Times New Roman"/>
      <w:sz w:val="18"/>
      <w:szCs w:val="18"/>
      <w:lang w:eastAsia="pt-BR"/>
    </w:rPr>
  </w:style>
  <w:style w:type="character" w:styleId="Corpodetexto2Char" w:customStyle="1">
    <w:name w:val="Corpo de texto 2 Char"/>
    <w:basedOn w:val="DefaultParagraphFont"/>
    <w:link w:val="BodyText2"/>
    <w:qFormat/>
    <w:rPr>
      <w:rFonts w:ascii="Tahoma" w:hAnsi="Tahoma" w:eastAsia="Times New Roman" w:cs="Arial"/>
      <w:b/>
      <w:sz w:val="36"/>
      <w:szCs w:val="18"/>
      <w:u w:val="single"/>
      <w:lang w:eastAsia="pt-BR"/>
    </w:rPr>
  </w:style>
  <w:style w:type="character" w:styleId="Corpodetexto2Char1" w:customStyle="1">
    <w:name w:val="Corpo de texto 2 Char1"/>
    <w:basedOn w:val="DefaultParagraphFont"/>
    <w:uiPriority w:val="99"/>
    <w:semiHidden/>
    <w:qFormat/>
    <w:rPr>
      <w:rFonts w:ascii="Arial" w:hAnsi="Arial" w:eastAsia="Times New Roman"/>
      <w:sz w:val="18"/>
      <w:szCs w:val="18"/>
      <w:lang w:eastAsia="pt-BR"/>
    </w:rPr>
  </w:style>
  <w:style w:type="character" w:styleId="Hyperlink1" w:customStyle="1">
    <w:name w:val="Hyperlink1"/>
    <w:qFormat/>
    <w:rPr>
      <w:color w:val="000080"/>
      <w:u w:val="single"/>
    </w:rPr>
  </w:style>
  <w:style w:type="character" w:styleId="CorpodetextoChar" w:customStyle="1">
    <w:name w:val="Corpo de texto Char"/>
    <w:basedOn w:val="DefaultParagraphFont"/>
    <w:uiPriority w:val="99"/>
    <w:qFormat/>
    <w:rPr>
      <w:rFonts w:ascii="Arial" w:hAnsi="Arial" w:eastAsia="Times New Roman" w:cs="Arial"/>
      <w:sz w:val="18"/>
      <w:szCs w:val="18"/>
      <w:lang w:eastAsia="pt-BR"/>
    </w:rPr>
  </w:style>
  <w:style w:type="character" w:styleId="CorpodetextoChar1" w:customStyle="1">
    <w:name w:val="Corpo de texto Char1"/>
    <w:basedOn w:val="DefaultParagraphFont"/>
    <w:uiPriority w:val="99"/>
    <w:semiHidden/>
    <w:qFormat/>
    <w:rPr>
      <w:rFonts w:ascii="Arial" w:hAnsi="Arial" w:eastAsia="Times New Roman"/>
      <w:sz w:val="18"/>
      <w:szCs w:val="18"/>
      <w:lang w:eastAsia="pt-BR"/>
    </w:rPr>
  </w:style>
  <w:style w:type="character" w:styleId="apple-converted-space" w:customStyle="1">
    <w:name w:val="apple-converted-space"/>
    <w:basedOn w:val="DefaultParagraphFont"/>
    <w:qFormat/>
    <w:rPr/>
  </w:style>
  <w:style w:type="character" w:styleId="Strong">
    <w:name w:val="Strong"/>
    <w:basedOn w:val="DefaultParagraphFont"/>
    <w:uiPriority w:val="22"/>
    <w:qFormat/>
    <w:rPr>
      <w:rFonts w:cs="Times New Roman"/>
      <w:b/>
      <w:bCs/>
    </w:rPr>
  </w:style>
  <w:style w:type="character" w:styleId="RecuodecorpodetextoChar" w:customStyle="1">
    <w:name w:val="Recuo de corpo de texto Char"/>
    <w:basedOn w:val="DefaultParagraphFont"/>
    <w:uiPriority w:val="99"/>
    <w:semiHidden/>
    <w:qFormat/>
    <w:rPr>
      <w:rFonts w:ascii="Arial" w:hAnsi="Arial" w:eastAsia="Times New Roman" w:cs="Arial"/>
      <w:sz w:val="18"/>
      <w:szCs w:val="18"/>
      <w:lang w:eastAsia="pt-BR"/>
    </w:rPr>
  </w:style>
  <w:style w:type="character" w:styleId="RecuodecorpodetextoChar1" w:customStyle="1">
    <w:name w:val="Recuo de corpo de texto Char1"/>
    <w:basedOn w:val="DefaultParagraphFont"/>
    <w:uiPriority w:val="99"/>
    <w:semiHidden/>
    <w:qFormat/>
    <w:rPr>
      <w:rFonts w:ascii="Arial" w:hAnsi="Arial" w:eastAsia="Times New Roman"/>
      <w:sz w:val="18"/>
      <w:szCs w:val="18"/>
      <w:lang w:eastAsia="pt-BR"/>
    </w:rPr>
  </w:style>
  <w:style w:type="character" w:styleId="Recuodecorpodetexto2Char" w:customStyle="1">
    <w:name w:val="Recuo de corpo de texto 2 Char"/>
    <w:basedOn w:val="DefaultParagraphFont"/>
    <w:link w:val="BodyTextIndent2"/>
    <w:uiPriority w:val="99"/>
    <w:semiHidden/>
    <w:qFormat/>
    <w:rPr>
      <w:rFonts w:ascii="Arial" w:hAnsi="Arial" w:eastAsia="Times New Roman" w:cs="Arial"/>
      <w:sz w:val="18"/>
      <w:szCs w:val="18"/>
      <w:lang w:eastAsia="pt-BR"/>
    </w:rPr>
  </w:style>
  <w:style w:type="character" w:styleId="Recuodecorpodetexto2Char1" w:customStyle="1">
    <w:name w:val="Recuo de corpo de texto 2 Char1"/>
    <w:basedOn w:val="DefaultParagraphFont"/>
    <w:uiPriority w:val="99"/>
    <w:semiHidden/>
    <w:qFormat/>
    <w:rPr>
      <w:rFonts w:ascii="Arial" w:hAnsi="Arial" w:eastAsia="Times New Roman"/>
      <w:sz w:val="18"/>
      <w:szCs w:val="18"/>
      <w:lang w:eastAsia="pt-BR"/>
    </w:rPr>
  </w:style>
  <w:style w:type="character" w:styleId="Corpodetexto3Char" w:customStyle="1">
    <w:name w:val="Corpo de texto 3 Char"/>
    <w:basedOn w:val="DefaultParagraphFont"/>
    <w:link w:val="BodyText3"/>
    <w:uiPriority w:val="99"/>
    <w:semiHidden/>
    <w:qFormat/>
    <w:rPr>
      <w:rFonts w:ascii="Arial" w:hAnsi="Arial" w:eastAsia="Times New Roman" w:cs="Times New Roman"/>
      <w:sz w:val="16"/>
      <w:szCs w:val="16"/>
      <w:lang w:eastAsia="pt-BR"/>
    </w:rPr>
  </w:style>
  <w:style w:type="character" w:styleId="Corpodetexto3Char1" w:customStyle="1">
    <w:name w:val="Corpo de texto 3 Char1"/>
    <w:basedOn w:val="DefaultParagraphFont"/>
    <w:uiPriority w:val="99"/>
    <w:semiHidden/>
    <w:qFormat/>
    <w:rPr>
      <w:rFonts w:ascii="Arial" w:hAnsi="Arial" w:eastAsia="Times New Roman"/>
      <w:sz w:val="16"/>
      <w:szCs w:val="16"/>
      <w:lang w:eastAsia="pt-BR"/>
    </w:rPr>
  </w:style>
  <w:style w:type="character" w:styleId="Emphasis">
    <w:name w:val="Emphasis"/>
    <w:basedOn w:val="DefaultParagraphFont"/>
    <w:qFormat/>
    <w:rPr>
      <w:i/>
      <w:iCs/>
    </w:rPr>
  </w:style>
  <w:style w:type="character" w:styleId="TextodebaloChar" w:customStyle="1">
    <w:name w:val="Texto de balão Char"/>
    <w:basedOn w:val="DefaultParagraphFont"/>
    <w:link w:val="BalloonText"/>
    <w:uiPriority w:val="99"/>
    <w:semiHidden/>
    <w:qFormat/>
    <w:rPr>
      <w:rFonts w:ascii="Tahoma" w:hAnsi="Tahoma" w:eastAsia="Times New Roman" w:cs="Tahoma"/>
      <w:sz w:val="16"/>
      <w:szCs w:val="16"/>
      <w:lang w:eastAsia="pt-BR"/>
    </w:rPr>
  </w:style>
  <w:style w:type="character" w:styleId="TextodebaloChar1" w:customStyle="1">
    <w:name w:val="Texto de balão Char1"/>
    <w:basedOn w:val="DefaultParagraphFont"/>
    <w:uiPriority w:val="99"/>
    <w:semiHidden/>
    <w:qFormat/>
    <w:rPr>
      <w:rFonts w:ascii="Segoe UI" w:hAnsi="Segoe UI" w:eastAsia="Times New Roman" w:cs="Segoe UI"/>
      <w:sz w:val="18"/>
      <w:szCs w:val="18"/>
      <w:lang w:eastAsia="pt-BR"/>
    </w:rPr>
  </w:style>
  <w:style w:type="character" w:styleId="TextosemFormataoChar" w:customStyle="1">
    <w:name w:val="Texto sem Formatação Char"/>
    <w:basedOn w:val="DefaultParagraphFont"/>
    <w:link w:val="PlainText"/>
    <w:semiHidden/>
    <w:qFormat/>
    <w:rPr>
      <w:rFonts w:ascii="Courier New" w:hAnsi="Courier New" w:eastAsia="Times New Roman" w:cs="Times New Roman"/>
      <w:sz w:val="20"/>
      <w:szCs w:val="20"/>
      <w:lang w:eastAsia="pt-BR"/>
    </w:rPr>
  </w:style>
  <w:style w:type="character" w:styleId="TextosemFormataoChar1" w:customStyle="1">
    <w:name w:val="Texto sem Formatação Char1"/>
    <w:basedOn w:val="DefaultParagraphFont"/>
    <w:uiPriority w:val="99"/>
    <w:semiHidden/>
    <w:qFormat/>
    <w:rPr>
      <w:rFonts w:ascii="Consolas" w:hAnsi="Consolas" w:eastAsia="Times New Roman"/>
      <w:sz w:val="21"/>
      <w:szCs w:val="21"/>
      <w:lang w:eastAsia="pt-BR"/>
    </w:rPr>
  </w:style>
  <w:style w:type="character" w:styleId="Nivel1Char" w:customStyle="1">
    <w:name w:val="Nivel1 Char"/>
    <w:basedOn w:val="DefaultParagraphFont"/>
    <w:link w:val="Nivel1"/>
    <w:qFormat/>
    <w:rPr>
      <w:rFonts w:ascii="Arial" w:hAnsi="Arial" w:eastAsia="Arial" w:eastAsiaTheme="majorEastAsia"/>
      <w:b/>
      <w:color w:val="000000"/>
      <w:sz w:val="20"/>
      <w:szCs w:val="20"/>
      <w:lang w:eastAsia="pt-BR"/>
    </w:rPr>
  </w:style>
  <w:style w:type="character" w:styleId="TtuloChar" w:customStyle="1">
    <w:name w:val="Título Char"/>
    <w:basedOn w:val="DefaultParagraphFont"/>
    <w:uiPriority w:val="1"/>
    <w:qFormat/>
    <w:rPr>
      <w:rFonts w:ascii="Tahoma" w:hAnsi="Tahoma" w:eastAsia="Tahoma" w:cs="Tahoma"/>
      <w:b/>
      <w:bCs/>
      <w:sz w:val="28"/>
      <w:szCs w:val="28"/>
      <w:u w:val="single"/>
      <w:lang w:val="pt-PT"/>
    </w:rPr>
  </w:style>
  <w:style w:type="character" w:styleId="TtuloChar1" w:customStyle="1">
    <w:name w:val="Título Char1"/>
    <w:basedOn w:val="DefaultParagraphFont"/>
    <w:uiPriority w:val="10"/>
    <w:qFormat/>
    <w:rPr>
      <w:rFonts w:ascii="Calibri Light" w:hAnsi="Calibri Light" w:eastAsia="Arial" w:cs="Arial" w:asciiTheme="majorHAnsi" w:cstheme="majorBidi" w:eastAsiaTheme="majorEastAsia" w:hAnsiTheme="majorHAnsi"/>
      <w:spacing w:val="-10"/>
      <w:sz w:val="56"/>
      <w:szCs w:val="56"/>
      <w:lang w:eastAsia="pt-BR"/>
    </w:rPr>
  </w:style>
  <w:style w:type="character" w:styleId="CitaoChar" w:customStyle="1">
    <w:name w:val="Citação Char"/>
    <w:basedOn w:val="DefaultParagraphFont"/>
    <w:link w:val="Quote"/>
    <w:qFormat/>
    <w:rPr>
      <w:rFonts w:ascii="Arial" w:hAnsi="Arial" w:eastAsia="Calibri" w:cs="Tahoma"/>
      <w:i/>
      <w:iCs/>
      <w:color w:val="000000"/>
      <w:sz w:val="20"/>
      <w:szCs w:val="24"/>
      <w:shd w:fill="FFFFCC" w:val="clear"/>
    </w:rPr>
  </w:style>
  <w:style w:type="character" w:styleId="CitaoChar1" w:customStyle="1">
    <w:name w:val="Citação Char1"/>
    <w:basedOn w:val="DefaultParagraphFont"/>
    <w:uiPriority w:val="29"/>
    <w:qFormat/>
    <w:rPr>
      <w:rFonts w:ascii="Arial" w:hAnsi="Arial" w:eastAsia="Times New Roman"/>
      <w:i/>
      <w:iCs/>
      <w:color w:themeColor="text1" w:themeTint="bf" w:val="404040"/>
      <w:sz w:val="18"/>
      <w:szCs w:val="18"/>
      <w:lang w:eastAsia="pt-BR"/>
    </w:rPr>
  </w:style>
  <w:style w:type="character" w:styleId="PargrafodaListaChar" w:customStyle="1">
    <w:name w:val="Parágrafo da Lista Char"/>
    <w:basedOn w:val="DefaultParagraphFont"/>
    <w:link w:val="ListParagraph"/>
    <w:uiPriority w:val="34"/>
    <w:qFormat/>
    <w:rPr>
      <w:rFonts w:ascii="Arial" w:hAnsi="Arial" w:eastAsia="Times New Roman"/>
      <w:sz w:val="18"/>
      <w:szCs w:val="18"/>
      <w:lang w:eastAsia="pt-BR"/>
    </w:rPr>
  </w:style>
  <w:style w:type="character" w:styleId="RecuodecorpodetextoChar2" w:customStyle="1">
    <w:name w:val="Recuo de corpo de texto Char2"/>
    <w:basedOn w:val="DefaultParagraphFont"/>
    <w:uiPriority w:val="99"/>
    <w:semiHidden/>
    <w:qFormat/>
    <w:rPr>
      <w:rFonts w:ascii="Arial" w:hAnsi="Arial" w:eastAsia="Times New Roman"/>
      <w:sz w:val="18"/>
      <w:szCs w:val="18"/>
      <w:lang w:eastAsia="pt-BR"/>
    </w:rPr>
  </w:style>
  <w:style w:type="character" w:styleId="CommentReference">
    <w:name w:val="annotation reference"/>
    <w:basedOn w:val="DefaultParagraphFont"/>
    <w:unhideWhenUsed/>
    <w:qFormat/>
    <w:rPr>
      <w:sz w:val="16"/>
      <w:szCs w:val="16"/>
    </w:rPr>
  </w:style>
  <w:style w:type="character" w:styleId="TextodecomentrioChar" w:customStyle="1">
    <w:name w:val="Texto de comentário Char"/>
    <w:basedOn w:val="DefaultParagraphFont"/>
    <w:qFormat/>
    <w:rPr>
      <w:rFonts w:ascii="Ecofont_Spranq_eco_Sans" w:hAnsi="Ecofont_Spranq_eco_Sans" w:eastAsia="Arial" w:cs="Tahoma" w:eastAsiaTheme="minorEastAsia"/>
      <w:sz w:val="20"/>
      <w:szCs w:val="20"/>
      <w:lang w:eastAsia="pt-BR"/>
    </w:rPr>
  </w:style>
  <w:style w:type="character" w:styleId="Nivel01Char" w:customStyle="1">
    <w:name w:val="Nivel 01 Char"/>
    <w:basedOn w:val="TtuloChar"/>
    <w:link w:val="Nivel01"/>
    <w:qFormat/>
    <w:rPr>
      <w:rFonts w:ascii="Arial" w:hAnsi="Arial" w:eastAsia="Arial" w:cs="Arial" w:eastAsiaTheme="majorEastAsia"/>
      <w:b/>
      <w:bCs/>
      <w:sz w:val="24"/>
      <w:szCs w:val="24"/>
      <w:u w:val="single"/>
      <w:lang w:val="pt-PT" w:eastAsia="pt-BR"/>
    </w:rPr>
  </w:style>
  <w:style w:type="character" w:styleId="Nivel2Char" w:customStyle="1">
    <w:name w:val="Nivel 2 Char"/>
    <w:basedOn w:val="DefaultParagraphFont"/>
    <w:link w:val="Nivel2"/>
    <w:qFormat/>
    <w:rPr>
      <w:rFonts w:ascii="Arial" w:hAnsi="Arial" w:eastAsia="Arial" w:cs="Arial" w:eastAsiaTheme="minorEastAsia"/>
      <w:color w:val="000000"/>
      <w:sz w:val="20"/>
      <w:szCs w:val="2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sz w:val="20"/>
      <w:szCs w:val="20"/>
      <w:lang w:eastAsia="pt-BR"/>
    </w:rPr>
  </w:style>
  <w:style w:type="character" w:styleId="Nivel4Char" w:customStyle="1">
    <w:name w:val="Nivel 4 Char"/>
    <w:basedOn w:val="DefaultParagraphFont"/>
    <w:link w:val="Nivel4"/>
    <w:qFormat/>
    <w:rPr>
      <w:rFonts w:ascii="Arial" w:hAnsi="Arial" w:eastAsia="Arial" w:cs="Arial" w:eastAsiaTheme="minorEastAsia"/>
      <w:sz w:val="20"/>
      <w:szCs w:val="20"/>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sz w:val="20"/>
      <w:szCs w:val="2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sz w:val="20"/>
      <w:szCs w:val="20"/>
      <w:lang w:eastAsia="pt-B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ouChar" w:customStyle="1">
    <w:name w:val="ou Char"/>
    <w:basedOn w:val="DefaultParagraphFont"/>
    <w:link w:val="ou"/>
    <w:qFormat/>
    <w:rPr>
      <w:rFonts w:ascii="Arial" w:hAnsi="Arial" w:cs="Arial"/>
      <w:b/>
      <w:bCs/>
      <w:i/>
      <w:iCs/>
      <w:color w:val="FF0000"/>
      <w:sz w:val="24"/>
      <w:szCs w:val="24"/>
      <w:u w:val="single"/>
      <w:lang w:eastAsia="pt-BR"/>
    </w:rPr>
  </w:style>
  <w:style w:type="character" w:styleId="Nvel4-RChar" w:customStyle="1">
    <w:name w:val="Nível 4-R Char"/>
    <w:basedOn w:val="Nivel4Char"/>
    <w:link w:val="Nvel4-R"/>
    <w:qFormat/>
    <w:rPr>
      <w:rFonts w:ascii="Arial" w:hAnsi="Arial" w:eastAsia="Arial" w:cs="Arial" w:eastAsiaTheme="minorEastAsia"/>
      <w:i/>
      <w:iCs/>
      <w:color w:val="FF0000"/>
      <w:sz w:val="20"/>
      <w:szCs w:val="2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sz w:val="20"/>
      <w:szCs w:val="20"/>
      <w:lang w:eastAsia="pt-BR"/>
    </w:rPr>
  </w:style>
  <w:style w:type="character" w:styleId="AssuntodocomentrioChar" w:customStyle="1">
    <w:name w:val="Assunto do comentário Char"/>
    <w:basedOn w:val="TextodecomentrioChar"/>
    <w:link w:val="annotationsubject"/>
    <w:uiPriority w:val="99"/>
    <w:semiHidden/>
    <w:qFormat/>
    <w:rPr>
      <w:rFonts w:ascii="Ecofont_Spranq_eco_Sans" w:hAnsi="Ecofont_Spranq_eco_Sans" w:eastAsia="Arial" w:cs="Tahoma" w:eastAsiaTheme="minorEastAsia"/>
      <w:b/>
      <w:bCs/>
      <w:sz w:val="20"/>
      <w:szCs w:val="20"/>
      <w:lang w:eastAsia="pt-BR"/>
    </w:rPr>
  </w:style>
  <w:style w:type="character" w:styleId="AssuntodocomentrioChar1" w:customStyle="1">
    <w:name w:val="Assunto do comentário Char1"/>
    <w:basedOn w:val="TextodecomentrioChar"/>
    <w:uiPriority w:val="99"/>
    <w:semiHidden/>
    <w:qFormat/>
    <w:rPr>
      <w:rFonts w:ascii="Ecofont_Spranq_eco_Sans" w:hAnsi="Ecofont_Spranq_eco_Sans" w:eastAsia="Arial" w:cs="Tahoma" w:eastAsiaTheme="minorEastAsia"/>
      <w:b/>
      <w:bCs/>
      <w:sz w:val="20"/>
      <w:szCs w:val="20"/>
      <w:lang w:eastAsia="pt-BR"/>
    </w:rPr>
  </w:style>
  <w:style w:type="character" w:styleId="Nvel3Char" w:customStyle="1">
    <w:name w:val="Nível 3 Char"/>
    <w:basedOn w:val="Nvel3-RChar"/>
    <w:link w:val="Nvel3"/>
    <w:qFormat/>
    <w:rPr>
      <w:rFonts w:ascii="Arial" w:hAnsi="Arial" w:eastAsia="Times New Roman" w:cs="Arial"/>
      <w:i w:val="false"/>
      <w:iCs w:val="false"/>
      <w:color w:val="FF0000"/>
      <w:sz w:val="20"/>
      <w:szCs w:val="20"/>
      <w:lang w:eastAsia="pt-BR"/>
    </w:rPr>
  </w:style>
  <w:style w:type="character" w:styleId="Nvel4Char" w:customStyle="1">
    <w:name w:val="Nível 4 Char"/>
    <w:basedOn w:val="Nvel3Char"/>
    <w:link w:val="Nvel4"/>
    <w:qFormat/>
    <w:rPr>
      <w:rFonts w:ascii="Arial" w:hAnsi="Arial" w:eastAsia="Times New Roman" w:cs="Arial"/>
      <w:i w:val="false"/>
      <w:iCs w:val="false"/>
      <w:color w:val="FF0000"/>
      <w:sz w:val="20"/>
      <w:szCs w:val="20"/>
      <w:lang w:eastAsia="pt-BR"/>
    </w:rPr>
  </w:style>
  <w:style w:type="character" w:styleId="SubTitNNChar" w:customStyle="1">
    <w:name w:val="SubTitNN Char"/>
    <w:basedOn w:val="DefaultParagraphFont"/>
    <w:link w:val="SubTitNN"/>
    <w:qFormat/>
    <w:rPr>
      <w:rFonts w:ascii="Arial" w:hAnsi="Arial" w:eastAsia="Times New Roman" w:cs="Arial"/>
      <w:b/>
      <w:bCs/>
      <w:iCs/>
      <w:sz w:val="20"/>
      <w:szCs w:val="20"/>
      <w:lang w:eastAsia="pt-BR"/>
    </w:rPr>
  </w:style>
  <w:style w:type="character" w:styleId="tex3" w:customStyle="1">
    <w:name w:val="tex3"/>
    <w:basedOn w:val="DefaultParagraphFont"/>
    <w:qFormat/>
    <w:rPr/>
  </w:style>
  <w:style w:type="character" w:styleId="Hyperlink">
    <w:name w:val="Hyperlink"/>
    <w:basedOn w:val="DefaultParagraphFont"/>
    <w:rPr>
      <w:color w:val="0000FF"/>
      <w:u w:val="single"/>
    </w:rPr>
  </w:style>
  <w:style w:type="character" w:styleId="FollowedHyperlink">
    <w:name w:val="FollowedHyperlink"/>
    <w:basedOn w:val="DefaultParagraphFont"/>
    <w:uiPriority w:val="99"/>
    <w:semiHidden/>
    <w:unhideWhenUsed/>
    <w:rPr>
      <w:color w:themeColor="followedHyperlink" w:val="954F72"/>
      <w:u w:val="single"/>
    </w:rPr>
  </w:style>
  <w:style w:type="character" w:styleId="Marcadores">
    <w:name w:val="Marcadores"/>
    <w:qFormat/>
    <w:rPr>
      <w:rFonts w:ascii="OpenSymbol" w:hAnsi="OpenSymbol" w:eastAsia="OpenSymbol" w:cs="OpenSymbol"/>
    </w:rPr>
  </w:style>
  <w:style w:type="character" w:styleId="Smbolosdenumeraouser">
    <w:name w:val="Símbolos de numeração (user)"/>
    <w:qFormat/>
    <w:rPr>
      <w:b/>
      <w:bCs/>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pPr/>
    <w:rPr>
      <w:rFonts w:cs="Arial"/>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caption1">
    <w:name w:val="caption1"/>
    <w:basedOn w:val="Normal"/>
    <w:qFormat/>
    <w:pPr>
      <w:suppressLineNumbers/>
    </w:pPr>
    <w:rPr>
      <w:rFonts w:cs="Lucida Sans"/>
      <w:i/>
      <w:iCs/>
      <w:sz w:val="24"/>
      <w:szCs w:val="24"/>
    </w:rPr>
  </w:style>
  <w:style w:type="paragraph" w:styleId="Title">
    <w:name w:val="Title"/>
    <w:basedOn w:val="Normal"/>
    <w:next w:val="BodyText"/>
    <w:link w:val="TtuloChar"/>
    <w:uiPriority w:val="1"/>
    <w:qFormat/>
    <w:pPr>
      <w:widowControl w:val="false"/>
      <w:spacing w:before="267" w:after="0"/>
      <w:ind w:hanging="1116" w:left="3451" w:right="2320"/>
      <w:jc w:val="left"/>
    </w:pPr>
    <w:rPr>
      <w:rFonts w:ascii="Tahoma" w:hAnsi="Tahoma" w:eastAsia="Tahoma" w:cs="Tahoma"/>
      <w:b/>
      <w:bCs/>
      <w:sz w:val="28"/>
      <w:szCs w:val="28"/>
      <w:u w:val="single"/>
      <w:lang w:val="pt-PT" w:eastAsia="en-US"/>
    </w:rPr>
  </w:style>
  <w:style w:type="paragraph" w:styleId="caption11" w:customStyle="1">
    <w:name w:val="caption11"/>
    <w:basedOn w:val="Normal"/>
    <w:qFormat/>
    <w:pPr>
      <w:suppressLineNumbers/>
    </w:pPr>
    <w:rPr>
      <w:rFonts w:cs="Lucida Sans"/>
      <w:i/>
      <w:iCs/>
      <w:sz w:val="24"/>
      <w:szCs w:val="24"/>
    </w:rPr>
  </w:style>
  <w:style w:type="paragraph" w:styleId="caption111" w:customStyle="1">
    <w:name w:val="caption111"/>
    <w:basedOn w:val="Normal"/>
    <w:qFormat/>
    <w:pPr>
      <w:suppressLineNumbers/>
    </w:pPr>
    <w:rPr>
      <w:rFonts w:cs="Lucida Sans"/>
      <w:i/>
      <w:iCs/>
      <w:sz w:val="24"/>
      <w:szCs w:val="24"/>
    </w:rPr>
  </w:style>
  <w:style w:type="paragraph" w:styleId="caption1111" w:customStyle="1">
    <w:name w:val="caption1111"/>
    <w:basedOn w:val="Normal"/>
    <w:qFormat/>
    <w:pPr>
      <w:suppressLineNumbers/>
    </w:pPr>
    <w:rPr>
      <w:rFonts w:cs="Arial"/>
      <w:i/>
      <w:iCs/>
      <w:sz w:val="24"/>
      <w:szCs w:val="24"/>
    </w:rPr>
  </w:style>
  <w:style w:type="paragraph" w:styleId="Subtitle">
    <w:name w:val="Subtitle"/>
    <w:basedOn w:val="Normal"/>
    <w:next w:val="Normal"/>
    <w:link w:val="SubttuloChar"/>
    <w:uiPriority w:val="11"/>
    <w:qFormat/>
    <w:pPr>
      <w:spacing w:before="200" w:after="200"/>
    </w:pPr>
    <w:rPr>
      <w:rFonts w:ascii="Calibri" w:hAnsi="Calibri" w:eastAsia="Calibri" w:asciiTheme="minorHAnsi" w:eastAsiaTheme="minorHAnsi" w:hAnsiTheme="minorHAnsi"/>
      <w:sz w:val="24"/>
      <w:szCs w:val="24"/>
      <w:lang w:eastAsia="en-US"/>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hAnsi="Calibri" w:eastAsia="Calibri" w:asciiTheme="minorHAnsi" w:eastAsiaTheme="minorHAnsi" w:hAnsiTheme="minorHAnsi"/>
      <w:i/>
      <w:sz w:val="22"/>
      <w:szCs w:val="22"/>
      <w:lang w:eastAsia="en-US"/>
    </w:rPr>
  </w:style>
  <w:style w:type="paragraph" w:styleId="FootnoteText">
    <w:name w:val="footnote text"/>
    <w:basedOn w:val="Normal"/>
    <w:link w:val="TextodenotaderodapChar"/>
    <w:uiPriority w:val="99"/>
    <w:semiHidden/>
    <w:unhideWhenUsed/>
    <w:pPr>
      <w:spacing w:before="120" w:after="40"/>
    </w:pPr>
    <w:rPr>
      <w:rFonts w:ascii="Calibri" w:hAnsi="Calibri" w:eastAsia="Calibri" w:asciiTheme="minorHAnsi" w:eastAsiaTheme="minorHAnsi" w:hAnsiTheme="minorHAnsi"/>
      <w:szCs w:val="22"/>
      <w:lang w:eastAsia="en-US"/>
    </w:rPr>
  </w:style>
  <w:style w:type="paragraph" w:styleId="EndnoteText">
    <w:name w:val="endnote text"/>
    <w:basedOn w:val="Normal"/>
    <w:link w:val="TextodenotadefimChar"/>
    <w:uiPriority w:val="99"/>
    <w:semiHidden/>
    <w:unhideWhenUsed/>
    <w:pPr>
      <w:spacing w:before="120" w:after="0"/>
    </w:pPr>
    <w:rPr>
      <w:rFonts w:ascii="Calibri" w:hAnsi="Calibri" w:eastAsia="Calibri" w:asciiTheme="minorHAnsi" w:eastAsiaTheme="minorHAnsi" w:hAnsiTheme="minorHAnsi"/>
      <w:sz w:val="20"/>
      <w:szCs w:val="22"/>
      <w:lang w:eastAsia="en-U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Header">
    <w:name w:val="header"/>
    <w:basedOn w:val="Normal"/>
    <w:link w:val="CabealhoChar"/>
    <w:uiPriority w:val="99"/>
    <w:pPr>
      <w:tabs>
        <w:tab w:val="clear" w:pos="720"/>
        <w:tab w:val="center" w:pos="4419" w:leader="none"/>
        <w:tab w:val="right" w:pos="8838" w:leader="none"/>
      </w:tabs>
    </w:pPr>
    <w:rPr>
      <w:rFonts w:cs="Arial"/>
      <w:sz w:val="24"/>
    </w:rPr>
  </w:style>
  <w:style w:type="paragraph" w:styleId="Footer">
    <w:name w:val="footer"/>
    <w:basedOn w:val="Normal"/>
    <w:link w:val="RodapChar"/>
    <w:uiPriority w:val="99"/>
    <w:pPr>
      <w:tabs>
        <w:tab w:val="clear" w:pos="720"/>
        <w:tab w:val="center" w:pos="4419" w:leader="none"/>
        <w:tab w:val="right" w:pos="8838" w:leader="none"/>
      </w:tabs>
    </w:pPr>
    <w:rPr>
      <w:rFonts w:cs="Arial"/>
      <w:sz w:val="24"/>
    </w:rPr>
  </w:style>
  <w:style w:type="paragraph" w:styleId="BodyText2">
    <w:name w:val="Body Text 2"/>
    <w:basedOn w:val="Normal"/>
    <w:link w:val="Corpodetexto2Char"/>
    <w:qFormat/>
    <w:pPr>
      <w:tabs>
        <w:tab w:val="clear" w:pos="720"/>
        <w:tab w:val="left" w:pos="9712" w:leader="none"/>
      </w:tabs>
      <w:ind w:right="355"/>
      <w:jc w:val="center"/>
    </w:pPr>
    <w:rPr>
      <w:rFonts w:ascii="Tahoma" w:hAnsi="Tahoma" w:cs="Arial"/>
      <w:b/>
      <w:sz w:val="36"/>
      <w:u w:val="single"/>
    </w:rPr>
  </w:style>
  <w:style w:type="paragraph" w:styleId="BodyTextIndent">
    <w:name w:val="Body Text Indent"/>
    <w:basedOn w:val="Normal"/>
    <w:link w:val="RecuodecorpodetextoChar"/>
    <w:uiPriority w:val="99"/>
    <w:semiHidden/>
    <w:unhideWhenUsed/>
    <w:pPr>
      <w:ind w:left="283"/>
    </w:pPr>
    <w:rPr>
      <w:rFonts w:cs="Arial"/>
    </w:rPr>
  </w:style>
  <w:style w:type="paragraph" w:styleId="BodyTextIndent2">
    <w:name w:val="Body Text Indent 2"/>
    <w:basedOn w:val="Normal"/>
    <w:link w:val="Recuodecorpodetexto2Char"/>
    <w:uiPriority w:val="99"/>
    <w:semiHidden/>
    <w:unhideWhenUsed/>
    <w:qFormat/>
    <w:pPr>
      <w:spacing w:lineRule="auto" w:line="480"/>
      <w:ind w:left="283"/>
    </w:pPr>
    <w:rPr>
      <w:rFonts w:cs="Arial"/>
    </w:rPr>
  </w:style>
  <w:style w:type="paragraph" w:styleId="BodyText3">
    <w:name w:val="Body Text 3"/>
    <w:basedOn w:val="Normal"/>
    <w:link w:val="Corpodetexto3Char"/>
    <w:uiPriority w:val="99"/>
    <w:semiHidden/>
    <w:unhideWhenUsed/>
    <w:qFormat/>
    <w:pPr/>
    <w:rPr>
      <w:rFonts w:cs="Times New Roman"/>
      <w:sz w:val="16"/>
      <w:szCs w:val="16"/>
    </w:rPr>
  </w:style>
  <w:style w:type="paragraph" w:styleId="BalloonText">
    <w:name w:val="Balloon Text"/>
    <w:basedOn w:val="Normal"/>
    <w:link w:val="TextodebaloChar"/>
    <w:uiPriority w:val="99"/>
    <w:semiHidden/>
    <w:unhideWhenUsed/>
    <w:qFormat/>
    <w:pPr/>
    <w:rPr>
      <w:rFonts w:ascii="Tahoma" w:hAnsi="Tahoma" w:cs="Tahoma"/>
      <w:sz w:val="16"/>
      <w:szCs w:val="16"/>
    </w:rPr>
  </w:style>
  <w:style w:type="paragraph" w:styleId="PlainText">
    <w:name w:val="Plain Text"/>
    <w:basedOn w:val="Normal"/>
    <w:link w:val="TextosemFormataoChar"/>
    <w:semiHidden/>
    <w:qFormat/>
    <w:pPr>
      <w:numPr>
        <w:ilvl w:val="3"/>
        <w:numId w:val="12"/>
      </w:numPr>
      <w:spacing w:before="0" w:after="0"/>
      <w:ind w:hanging="0" w:left="0"/>
      <w:jc w:val="left"/>
    </w:pPr>
    <w:rPr>
      <w:rFonts w:ascii="Courier New" w:hAnsi="Courier New" w:cs="Times New Roman"/>
      <w:sz w:val="20"/>
      <w:szCs w:val="20"/>
    </w:rPr>
  </w:style>
  <w:style w:type="paragraph" w:styleId="Nivel1" w:customStyle="1">
    <w:name w:val="Nivel1"/>
    <w:basedOn w:val="Heading1"/>
    <w:next w:val="Normal"/>
    <w:link w:val="Nivel1Char"/>
    <w:qFormat/>
    <w:pPr>
      <w:keepLines/>
      <w:numPr>
        <w:ilvl w:val="0"/>
        <w:numId w:val="2"/>
      </w:numPr>
      <w:spacing w:lineRule="auto" w:line="276" w:before="480" w:after="120"/>
      <w:jc w:val="both"/>
    </w:pPr>
    <w:rPr>
      <w:rFonts w:ascii="Arial" w:hAnsi="Arial" w:eastAsia="Arial" w:eastAsiaTheme="majorEastAsia"/>
      <w:color w:val="000000"/>
      <w:sz w:val="20"/>
      <w:szCs w:val="20"/>
      <w:u w:val="none"/>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pPr>
    <w:rPr>
      <w:rFonts w:eastAsia="Calibri" w:cs="Tahoma"/>
      <w:i/>
      <w:iCs/>
      <w:color w:val="000000"/>
      <w:sz w:val="20"/>
      <w:szCs w:val="24"/>
      <w:lang w:eastAsia="en-US"/>
    </w:rPr>
  </w:style>
  <w:style w:type="paragraph" w:styleId="caption11111" w:customStyle="1">
    <w:name w:val="caption11111"/>
    <w:basedOn w:val="Normal"/>
    <w:qFormat/>
    <w:pPr>
      <w:suppressLineNumbers/>
    </w:pPr>
    <w:rPr>
      <w:rFonts w:cs="Arial"/>
      <w:i/>
      <w:iCs/>
      <w:sz w:val="24"/>
      <w:szCs w:val="24"/>
    </w:rPr>
  </w:style>
  <w:style w:type="paragraph" w:styleId="NoSpacing">
    <w:name w:val="No Spacing"/>
    <w:uiPriority w:val="1"/>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OC1">
    <w:name w:val="toc 1"/>
    <w:basedOn w:val="Normal"/>
    <w:next w:val="Normal"/>
    <w:uiPriority w:val="39"/>
    <w:unhideWhenUsed/>
    <w:pPr>
      <w:spacing w:before="120" w:after="57"/>
    </w:pPr>
    <w:rPr/>
  </w:style>
  <w:style w:type="paragraph" w:styleId="TOC2">
    <w:name w:val="toc 2"/>
    <w:basedOn w:val="Normal"/>
    <w:next w:val="Normal"/>
    <w:uiPriority w:val="39"/>
    <w:unhideWhenUsed/>
    <w:pPr>
      <w:spacing w:before="120" w:after="57"/>
      <w:ind w:left="283"/>
    </w:pPr>
    <w:rPr/>
  </w:style>
  <w:style w:type="paragraph" w:styleId="TOC3">
    <w:name w:val="toc 3"/>
    <w:basedOn w:val="Normal"/>
    <w:next w:val="Normal"/>
    <w:uiPriority w:val="39"/>
    <w:unhideWhenUsed/>
    <w:pPr>
      <w:spacing w:before="120" w:after="57"/>
      <w:ind w:left="567"/>
    </w:pPr>
    <w:rPr/>
  </w:style>
  <w:style w:type="paragraph" w:styleId="TOC4">
    <w:name w:val="toc 4"/>
    <w:basedOn w:val="Normal"/>
    <w:next w:val="Normal"/>
    <w:uiPriority w:val="39"/>
    <w:unhideWhenUsed/>
    <w:pPr>
      <w:spacing w:before="120" w:after="57"/>
      <w:ind w:left="850"/>
    </w:pPr>
    <w:rPr/>
  </w:style>
  <w:style w:type="paragraph" w:styleId="TOC5">
    <w:name w:val="toc 5"/>
    <w:basedOn w:val="Normal"/>
    <w:next w:val="Normal"/>
    <w:uiPriority w:val="39"/>
    <w:unhideWhenUsed/>
    <w:pPr>
      <w:spacing w:before="120" w:after="57"/>
      <w:ind w:left="1134"/>
    </w:pPr>
    <w:rPr/>
  </w:style>
  <w:style w:type="paragraph" w:styleId="TOC6">
    <w:name w:val="toc 6"/>
    <w:basedOn w:val="Normal"/>
    <w:next w:val="Normal"/>
    <w:uiPriority w:val="39"/>
    <w:unhideWhenUsed/>
    <w:pPr>
      <w:spacing w:before="120" w:after="57"/>
      <w:ind w:left="1417"/>
    </w:pPr>
    <w:rPr/>
  </w:style>
  <w:style w:type="paragraph" w:styleId="TOC7">
    <w:name w:val="toc 7"/>
    <w:basedOn w:val="Normal"/>
    <w:next w:val="Normal"/>
    <w:uiPriority w:val="39"/>
    <w:unhideWhenUsed/>
    <w:pPr>
      <w:spacing w:before="120" w:after="57"/>
      <w:ind w:left="1701"/>
    </w:pPr>
    <w:rPr/>
  </w:style>
  <w:style w:type="paragraph" w:styleId="TOC8">
    <w:name w:val="toc 8"/>
    <w:basedOn w:val="Normal"/>
    <w:next w:val="Normal"/>
    <w:uiPriority w:val="39"/>
    <w:unhideWhenUsed/>
    <w:pPr>
      <w:spacing w:before="120" w:after="57"/>
      <w:ind w:left="1984"/>
    </w:pPr>
    <w:rPr/>
  </w:style>
  <w:style w:type="paragraph" w:styleId="TOC9">
    <w:name w:val="toc 9"/>
    <w:basedOn w:val="Normal"/>
    <w:next w:val="Normal"/>
    <w:uiPriority w:val="39"/>
    <w:unhideWhenUsed/>
    <w:pPr>
      <w:spacing w:before="120" w:after="57"/>
      <w:ind w:left="2268"/>
    </w:pPr>
    <w:rPr/>
  </w:style>
  <w:style w:type="paragraph" w:styleId="Index1">
    <w:name w:val="index 1"/>
    <w:basedOn w:val="Normal"/>
    <w:next w:val="Normal"/>
    <w:uiPriority w:val="99"/>
    <w:semiHidden/>
    <w:unhideWhenUsed/>
    <w:qFormat/>
    <w:pPr>
      <w:spacing w:before="0" w:after="0"/>
      <w:ind w:hanging="180" w:left="180"/>
    </w:pPr>
    <w:rPr/>
  </w:style>
  <w:style w:type="paragraph" w:styleId="indexheading1" w:customStyle="1">
    <w:name w:val="index heading1"/>
    <w:basedOn w:val="Title"/>
    <w:qFormat/>
    <w:pPr/>
    <w:rPr/>
  </w:style>
  <w:style w:type="paragraph" w:styleId="indexheading2" w:customStyle="1">
    <w:name w:val="index heading2"/>
    <w:basedOn w:val="Title"/>
    <w:qFormat/>
    <w:pPr/>
    <w:rPr/>
  </w:style>
  <w:style w:type="paragraph" w:styleId="indexheading3" w:customStyle="1">
    <w:name w:val="index heading3"/>
    <w:basedOn w:val="Title"/>
    <w:qFormat/>
    <w:pPr/>
    <w:rPr/>
  </w:style>
  <w:style w:type="paragraph" w:styleId="indexheading4" w:customStyle="1">
    <w:name w:val="index heading4"/>
    <w:basedOn w:val="Title"/>
    <w:qFormat/>
    <w:pPr/>
    <w:rPr/>
  </w:style>
  <w:style w:type="paragraph" w:styleId="indexheading5">
    <w:name w:val="index heading5"/>
    <w:basedOn w:val="Title"/>
    <w:qFormat/>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lineRule="auto" w:line="259" w:before="0" w:after="16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next w:val="Normal"/>
    <w:uiPriority w:val="99"/>
    <w:unhideWhenUsed/>
    <w:pPr>
      <w:spacing w:before="120" w:after="0"/>
    </w:pPr>
    <w:rPr/>
  </w:style>
  <w:style w:type="paragraph" w:styleId="ListParagraph">
    <w:name w:val="List Paragraph"/>
    <w:basedOn w:val="Normal"/>
    <w:link w:val="PargrafodaListaChar"/>
    <w:uiPriority w:val="34"/>
    <w:qFormat/>
    <w:pPr>
      <w:spacing w:before="120" w:after="120"/>
      <w:ind w:left="720"/>
      <w:contextualSpacing/>
    </w:pPr>
    <w:rPr/>
  </w:style>
  <w:style w:type="paragraph" w:styleId="Default" w:customStyle="1">
    <w:name w:val="Default"/>
    <w:qFormat/>
    <w:pPr>
      <w:widowControl/>
      <w:suppressAutoHyphens w:val="true"/>
      <w:bidi w:val="0"/>
      <w:spacing w:before="120" w:after="120"/>
      <w:jc w:val="both"/>
    </w:pPr>
    <w:rPr>
      <w:rFonts w:ascii="Times New Roman" w:hAnsi="Times New Roman" w:eastAsia="Times New Roman" w:cs="Times New Roman"/>
      <w:color w:val="000000"/>
      <w:kern w:val="0"/>
      <w:sz w:val="24"/>
      <w:szCs w:val="24"/>
      <w:lang w:val="pt-BR" w:eastAsia="pt-BR" w:bidi="ar-SA"/>
    </w:rPr>
  </w:style>
  <w:style w:type="paragraph" w:styleId="EEE" w:customStyle="1">
    <w:name w:val="EEE"/>
    <w:basedOn w:val="Normal"/>
    <w:qFormat/>
    <w:pPr>
      <w:tabs>
        <w:tab w:val="clear" w:pos="720"/>
        <w:tab w:val="left" w:pos="709" w:leader="none"/>
        <w:tab w:val="left" w:pos="1134" w:leader="none"/>
        <w:tab w:val="left" w:pos="1276" w:leader="none"/>
        <w:tab w:val="left" w:pos="1418" w:leader="none"/>
        <w:tab w:val="left" w:pos="1701" w:leader="none"/>
      </w:tabs>
      <w:ind w:hanging="709" w:left="1418"/>
    </w:pPr>
    <w:rPr>
      <w:rFonts w:cs="Times New Roman"/>
      <w:sz w:val="20"/>
      <w:szCs w:val="20"/>
      <w:lang w:val="pt-PT"/>
    </w:rPr>
  </w:style>
  <w:style w:type="paragraph" w:styleId="LLL" w:customStyle="1">
    <w:name w:val="LLL"/>
    <w:basedOn w:val="Normal"/>
    <w:qFormat/>
    <w:pPr>
      <w:tabs>
        <w:tab w:val="clear" w:pos="720"/>
        <w:tab w:val="left" w:pos="567" w:leader="none"/>
        <w:tab w:val="left" w:pos="851" w:leader="none"/>
      </w:tabs>
      <w:ind w:hanging="851" w:left="851"/>
    </w:pPr>
    <w:rPr>
      <w:rFonts w:cs="Times New Roman"/>
      <w:sz w:val="20"/>
      <w:szCs w:val="20"/>
      <w:lang w:val="pt-PT"/>
    </w:rPr>
  </w:style>
  <w:style w:type="paragraph" w:styleId="western" w:customStyle="1">
    <w:name w:val="western"/>
    <w:basedOn w:val="Normal"/>
    <w:qFormat/>
    <w:pPr>
      <w:spacing w:beforeAutospacing="1" w:after="119"/>
      <w:jc w:val="left"/>
    </w:pPr>
    <w:rPr>
      <w:rFonts w:ascii="Times New Roman" w:hAnsi="Times New Roman" w:cs="Times New Roman"/>
      <w:sz w:val="24"/>
      <w:szCs w:val="24"/>
    </w:rPr>
  </w:style>
  <w:style w:type="paragraph" w:styleId="Padro" w:customStyle="1">
    <w:name w:val="Padrão"/>
    <w:qFormat/>
    <w:pPr>
      <w:widowControl/>
      <w:suppressAutoHyphens w:val="true"/>
      <w:bidi w:val="0"/>
      <w:spacing w:before="0" w:after="0"/>
      <w:jc w:val="left"/>
    </w:pPr>
    <w:rPr>
      <w:rFonts w:ascii="Times New Roman" w:hAnsi="Times New Roman" w:eastAsia="Times New Roman" w:cs="Times New Roman"/>
      <w:color w:val="auto"/>
      <w:kern w:val="0"/>
      <w:sz w:val="20"/>
      <w:szCs w:val="24"/>
      <w:lang w:val="pt-BR" w:eastAsia="pt-BR" w:bidi="ar-SA"/>
    </w:rPr>
  </w:style>
  <w:style w:type="paragraph" w:styleId="TableParagraph" w:customStyle="1">
    <w:name w:val="Table Paragraph"/>
    <w:basedOn w:val="Normal"/>
    <w:uiPriority w:val="1"/>
    <w:qFormat/>
    <w:pPr>
      <w:widowControl w:val="false"/>
      <w:spacing w:before="0" w:after="0"/>
      <w:jc w:val="left"/>
    </w:pPr>
    <w:rPr>
      <w:rFonts w:ascii="Tahoma" w:hAnsi="Tahoma" w:eastAsia="Tahoma" w:cs="Tahoma"/>
      <w:sz w:val="22"/>
      <w:szCs w:val="22"/>
      <w:lang w:val="pt-PT" w:eastAsia="en-US"/>
    </w:rPr>
  </w:style>
  <w:style w:type="paragraph" w:styleId="EMPTYCELLSTYLE" w:customStyle="1">
    <w:name w:val="EMPTY_CELL_STYLE"/>
    <w:qFormat/>
    <w:pPr>
      <w:widowControl/>
      <w:suppressAutoHyphens w:val="true"/>
      <w:bidi w:val="0"/>
      <w:spacing w:before="0" w:after="0"/>
      <w:jc w:val="left"/>
    </w:pPr>
    <w:rPr>
      <w:rFonts w:ascii="SansSerif" w:hAnsi="SansSerif" w:eastAsia="SansSerif" w:cs="SansSerif"/>
      <w:color w:val="000000"/>
      <w:kern w:val="0"/>
      <w:sz w:val="1"/>
      <w:szCs w:val="20"/>
      <w:lang w:val="pt-BR" w:eastAsia="pt-BR" w:bidi="ar-SA"/>
    </w:rPr>
  </w:style>
  <w:style w:type="paragraph" w:styleId="Contedodoquadrouser">
    <w:name w:val="Conteúdo do quadro (user)"/>
    <w:basedOn w:val="Normal"/>
    <w:qFormat/>
    <w:pPr/>
    <w:rPr/>
  </w:style>
  <w:style w:type="paragraph" w:styleId="CommentText">
    <w:name w:val="annotation text"/>
    <w:basedOn w:val="Normal"/>
    <w:link w:val="TextodecomentrioChar"/>
    <w:unhideWhenUsed/>
    <w:qFormat/>
    <w:pPr>
      <w:spacing w:before="0" w:after="0"/>
      <w:jc w:val="left"/>
    </w:pPr>
    <w:rPr>
      <w:rFonts w:ascii="Ecofont_Spranq_eco_Sans" w:hAnsi="Ecofont_Spranq_eco_Sans" w:eastAsia="Arial" w:cs="Tahoma" w:eastAsiaTheme="minorEastAsia"/>
      <w:sz w:val="20"/>
      <w:szCs w:val="20"/>
    </w:rPr>
  </w:style>
  <w:style w:type="paragraph" w:styleId="Nivel01" w:customStyle="1">
    <w:name w:val="Nivel 01"/>
    <w:basedOn w:val="Heading1"/>
    <w:next w:val="Normal"/>
    <w:link w:val="Nivel01Char"/>
    <w:qFormat/>
    <w:pPr>
      <w:keepLines/>
      <w:numPr>
        <w:ilvl w:val="0"/>
        <w:numId w:val="16"/>
      </w:numPr>
      <w:tabs>
        <w:tab w:val="clear" w:pos="720"/>
        <w:tab w:val="left" w:pos="142" w:leader="none"/>
      </w:tabs>
      <w:spacing w:lineRule="auto" w:line="312" w:before="288" w:after="288"/>
      <w:ind w:left="426"/>
      <w:jc w:val="both"/>
    </w:pPr>
    <w:rPr>
      <w:rFonts w:ascii="Arial" w:hAnsi="Arial" w:eastAsia="Arial" w:cs="Arial" w:eastAsiaTheme="majorEastAsia"/>
      <w:bCs/>
      <w:sz w:val="24"/>
      <w:szCs w:val="24"/>
      <w:lang w:val="pt-PT"/>
    </w:rPr>
  </w:style>
  <w:style w:type="paragraph" w:styleId="Nivel2" w:customStyle="1">
    <w:name w:val="Nivel 2"/>
    <w:basedOn w:val="Normal"/>
    <w:link w:val="Nivel2Char"/>
    <w:qFormat/>
    <w:pPr>
      <w:numPr>
        <w:ilvl w:val="1"/>
        <w:numId w:val="4"/>
      </w:numPr>
      <w:spacing w:lineRule="auto" w:line="276"/>
      <w:ind w:hanging="0" w:left="0"/>
    </w:pPr>
    <w:rPr>
      <w:rFonts w:eastAsia="Arial" w:cs="Arial" w:eastAsiaTheme="minorEastAsia"/>
      <w:color w:val="000000"/>
      <w:sz w:val="20"/>
      <w:szCs w:val="20"/>
    </w:rPr>
  </w:style>
  <w:style w:type="paragraph" w:styleId="Nivel3" w:customStyle="1">
    <w:name w:val="Nivel 3"/>
    <w:basedOn w:val="Normal"/>
    <w:link w:val="Nivel3Char"/>
    <w:qFormat/>
    <w:pPr>
      <w:numPr>
        <w:ilvl w:val="2"/>
        <w:numId w:val="4"/>
      </w:numPr>
      <w:spacing w:lineRule="auto" w:line="276"/>
      <w:ind w:hanging="0" w:left="284"/>
    </w:pPr>
    <w:rPr>
      <w:rFonts w:eastAsia="Arial" w:cs="Arial" w:eastAsiaTheme="minorEastAsia"/>
      <w:color w:val="000000"/>
      <w:sz w:val="20"/>
      <w:szCs w:val="20"/>
    </w:rPr>
  </w:style>
  <w:style w:type="paragraph" w:styleId="Nivel4" w:customStyle="1">
    <w:name w:val="Nivel 4"/>
    <w:basedOn w:val="Nivel3"/>
    <w:link w:val="Nivel4Char"/>
    <w:qFormat/>
    <w:pPr>
      <w:tabs>
        <w:tab w:val="clear" w:pos="720"/>
        <w:tab w:val="left" w:pos="1080" w:leader="none"/>
      </w:tabs>
      <w:ind w:left="567"/>
    </w:pPr>
    <w:rPr>
      <w:color w:val="auto"/>
    </w:rPr>
  </w:style>
  <w:style w:type="paragraph" w:styleId="Nivel5" w:customStyle="1">
    <w:name w:val="Nivel 5"/>
    <w:basedOn w:val="Nivel4"/>
    <w:qFormat/>
    <w:pPr>
      <w:ind w:left="851"/>
    </w:pPr>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ou" w:customStyle="1">
    <w:name w:val="ou"/>
    <w:basedOn w:val="ListParagraph"/>
    <w:link w:val="ouChar"/>
    <w:qFormat/>
    <w:pPr>
      <w:spacing w:lineRule="auto" w:line="259" w:before="60" w:after="60"/>
      <w:ind w:left="0"/>
      <w:contextualSpacing w:val="false"/>
      <w:jc w:val="center"/>
    </w:pPr>
    <w:rPr>
      <w:rFonts w:eastAsia="Calibri" w:cs="Arial" w:eastAsiaTheme="minorHAnsi"/>
      <w:b/>
      <w:bCs/>
      <w:i/>
      <w:iCs/>
      <w:color w:val="FF0000"/>
      <w:sz w:val="24"/>
      <w:szCs w:val="24"/>
      <w:u w:val="single"/>
    </w:rPr>
  </w:style>
  <w:style w:type="paragraph" w:styleId="Nvel4-R" w:customStyle="1">
    <w:name w:val="Nível 4-R"/>
    <w:basedOn w:val="Nivel4"/>
    <w:link w:val="Nvel4-RChar"/>
    <w:qFormat/>
    <w:pPr>
      <w:numPr>
        <w:ilvl w:val="3"/>
        <w:numId w:val="1"/>
      </w:numPr>
      <w:ind w:hanging="0" w:left="567"/>
    </w:pPr>
    <w:rPr>
      <w:i/>
      <w:iCs/>
      <w:color w:val="FF0000"/>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annotationsubject">
    <w:name w:val="annotation subject"/>
    <w:basedOn w:val="CommentText"/>
    <w:next w:val="CommentText"/>
    <w:link w:val="AssuntodocomentrioChar"/>
    <w:uiPriority w:val="99"/>
    <w:semiHidden/>
    <w:unhideWhenUsed/>
    <w:qFormat/>
    <w:pPr>
      <w:spacing w:before="120" w:after="120"/>
      <w:jc w:val="both"/>
    </w:pPr>
    <w:rPr>
      <w:b/>
      <w:bCs/>
    </w:rPr>
  </w:style>
  <w:style w:type="paragraph" w:styleId="Nvel3" w:customStyle="1">
    <w:name w:val="Nível 3"/>
    <w:basedOn w:val="Nvel3-R"/>
    <w:link w:val="Nvel3Char"/>
    <w:qFormat/>
    <w:pPr>
      <w:numPr>
        <w:ilvl w:val="2"/>
        <w:numId w:val="6"/>
      </w:numPr>
      <w:ind w:hanging="0" w:left="284"/>
    </w:pPr>
    <w:rPr>
      <w:rFonts w:eastAsia="Times New Roman"/>
      <w:i w:val="false"/>
      <w:iCs w:val="false"/>
    </w:rPr>
  </w:style>
  <w:style w:type="paragraph" w:styleId="Nvel4" w:customStyle="1">
    <w:name w:val="Nível 4"/>
    <w:basedOn w:val="Nvel3"/>
    <w:link w:val="Nvel4Char"/>
    <w:qFormat/>
    <w:pPr>
      <w:numPr>
        <w:ilvl w:val="0"/>
        <w:numId w:val="0"/>
      </w:numPr>
      <w:ind w:hanging="0" w:left="567"/>
    </w:pPr>
    <w:rPr/>
  </w:style>
  <w:style w:type="paragraph" w:styleId="SubTitNN" w:customStyle="1">
    <w:name w:val="SubTitNN"/>
    <w:basedOn w:val="Normal"/>
    <w:link w:val="SubTitNNChar"/>
    <w:qFormat/>
    <w:pPr>
      <w:spacing w:lineRule="auto" w:line="276" w:before="240" w:after="120"/>
    </w:pPr>
    <w:rPr>
      <w:rFonts w:cs="Arial"/>
      <w:b/>
      <w:bCs/>
      <w:iCs/>
      <w:sz w:val="20"/>
      <w:szCs w:val="20"/>
    </w:rPr>
  </w:style>
  <w:style w:type="paragraph" w:styleId="PADRO1"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Revision">
    <w:name w:val="Revision"/>
    <w:uiPriority w:val="99"/>
    <w:semiHidden/>
    <w:qFormat/>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normal1" w:customStyle="1">
    <w:name w:val="normal1"/>
    <w:qFormat/>
    <w:pPr>
      <w:widowControl/>
      <w:suppressAutoHyphens w:val="true"/>
      <w:bidi w:val="0"/>
      <w:spacing w:lineRule="auto" w:line="276" w:before="100" w:after="200"/>
      <w:jc w:val="left"/>
    </w:pPr>
    <w:rPr>
      <w:rFonts w:ascii="Times New Roman" w:hAnsi="Times New Roman" w:eastAsia="NSimSun" w:cs="Arial" w:cstheme="minorBidi"/>
      <w:color w:val="auto"/>
      <w:kern w:val="0"/>
      <w:sz w:val="24"/>
      <w:szCs w:val="24"/>
      <w:lang w:val="pt-BR" w:eastAsia="zh-CN" w:bidi="hi-IN"/>
    </w:rPr>
  </w:style>
  <w:style w:type="paragraph" w:styleId="NormalWeb">
    <w:name w:val="Normal (Web)"/>
    <w:basedOn w:val="Normal"/>
    <w:qFormat/>
    <w:pPr>
      <w:spacing w:beforeAutospacing="1" w:afterAutospacing="1"/>
    </w:pPr>
    <w:rPr/>
  </w:style>
  <w:style w:type="paragraph" w:styleId="Contedodatabelauser" w:customStyle="1">
    <w:name w:val="Conteúdo da tabela (user)"/>
    <w:qFormat/>
    <w:pPr>
      <w:widowControl w:val="false"/>
      <w:suppressLineNumbers/>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extosemFormatao1" w:customStyle="1">
    <w:name w:val="Texto sem Formatação1"/>
    <w:qFormat/>
    <w:pPr>
      <w:widowControl/>
      <w:suppressAutoHyphens w:val="true"/>
      <w:bidi w:val="0"/>
      <w:spacing w:before="0" w:after="0"/>
      <w:jc w:val="left"/>
    </w:pPr>
    <w:rPr>
      <w:rFonts w:ascii="Courier New" w:hAnsi="Courier New" w:eastAsia="Times New Roman" w:cs="Times New Roman"/>
      <w:color w:val="auto"/>
      <w:kern w:val="0"/>
      <w:sz w:val="20"/>
      <w:szCs w:val="20"/>
      <w:lang w:val="pt-BR" w:eastAsia="pt-BR" w:bidi="ar-SA"/>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tulodetabelauser">
    <w:name w:val="Título de tabela (user)"/>
    <w:basedOn w:val="Contedodatabelauser"/>
    <w:qFormat/>
    <w:pPr>
      <w:suppressLineNumbers/>
      <w:jc w:val="center"/>
    </w:pPr>
    <w:rPr>
      <w:b/>
      <w:bCs/>
    </w:rPr>
  </w:style>
  <w:style w:type="numbering" w:styleId="Semlista">
    <w:name w:val="Sem lista"/>
    <w:uiPriority w:val="99"/>
    <w:semiHidden/>
    <w:unhideWhenUsed/>
    <w:qFormat/>
  </w:style>
  <w:style w:type="numbering" w:styleId="Semlistauser">
    <w:name w:val="Sem lista (user)"/>
    <w:uiPriority w:val="99"/>
    <w:semiHidden/>
    <w:unhideWhenUsed/>
    <w:qFormat/>
  </w:style>
  <w:style w:type="table" w:default="1" w:styleId="1463">
    <w:name w:val="Normal Table"/>
    <w:uiPriority w:val="99"/>
    <w:semiHidden/>
    <w:unhideWhenUsed/>
    <w:tblPr>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64">
    <w:name w:val="Table Grid Light"/>
    <w:basedOn w:val="146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465">
    <w:name w:val="Plain Table 1"/>
    <w:basedOn w:val="146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cPr>
        <w:shd w:val="clear" w:color="F2F2F2" w:fill="F2F2F2" w:themeFill="text1" w:themeFillTint="0"/>
      </w:tcPr>
    </w:tblStylePr>
    <w:tblStylePr w:type="band1Vert">
      <w:tblPr/>
      <w:tcPr>
        <w:shd w:val="clear" w:color="F2F2F2" w:fill="F2F2F2" w:themeFill="text1" w:themeFillTint="0"/>
      </w:tcPr>
    </w:tblStylePr>
    <w:tblStylePr w:type="band2Horz">
      <w:tblPr/>
    </w:tblStylePr>
    <w:tblStylePr w:type="band2Vert">
      <w:tblPr/>
    </w:tblStylePr>
    <w:tblStylePr w:type="firstCol">
      <w:rPr>
        <w:b/>
        <w:sz w:val="22"/>
      </w:rPr>
      <w:tblPr/>
    </w:tblStylePr>
    <w:tblStylePr w:type="firstRow">
      <w:rPr>
        <w:b/>
        <w:sz w:val="22"/>
      </w:rPr>
      <w:tbl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466">
    <w:name w:val="Plain Table 2"/>
    <w:basedOn w:val="146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sz w:val="22"/>
      </w:rPr>
      <w:tblPr/>
    </w:tblStylePr>
    <w:tblStylePr w:type="firstRow">
      <w:rPr>
        <w:b/>
        <w:sz w:val="22"/>
      </w:rPr>
      <w:tblPr/>
      <w:tcPr>
        <w:tcBorders>
          <w:top w:val="single" w:color="000000" w:themeColor="text1" w:sz="4" w:space="0"/>
          <w:bottom w:val="single" w:color="000000" w:themeColor="text1" w:sz="4" w:space="0"/>
        </w:tcBorders>
      </w:tc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467">
    <w:name w:val="Plain Table 4"/>
    <w:basedOn w:val="1463"/>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rPr>
      <w:tblPr/>
    </w:tblStylePr>
    <w:tblStylePr w:type="firstRow">
      <w:rPr>
        <w:b/>
      </w:rPr>
      <w:tbl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468">
    <w:name w:val="Plain Table 5"/>
    <w:basedOn w:val="1463"/>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pPr>
        <w:jc w:val="right"/>
      </w:pPr>
      <w:rPr>
        <w:i/>
      </w:rPr>
      <w:tblPr/>
      <w:tcPr>
        <w:tcBorders>
          <w:right w:val="single" w:color="404040" w:sz="4" w:space="0"/>
        </w:tcBorders>
        <w:shd w:val="clear" w:color="FFFFFF" w:fill="auto"/>
      </w:tcPr>
    </w:tblStyle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Col">
      <w:rPr>
        <w:i/>
      </w:rPr>
      <w:tblPr/>
      <w:tcPr>
        <w:tcBorders>
          <w:left w:val="single" w:color="40404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469">
    <w:name w:val="Grid Table 1 Light"/>
    <w:basedOn w:val="146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tex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0">
    <w:name w:val="Grid Table 1 Light - Accent 1"/>
    <w:basedOn w:val="1463"/>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5B9BD5" w:themeColor="accen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1">
    <w:name w:val="Grid Table 1 Light - Accent 2"/>
    <w:basedOn w:val="146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ED7D31" w:themeColor="accent2"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2">
    <w:name w:val="Grid Table 1 Light - Accent 3"/>
    <w:basedOn w:val="146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A5A5A5" w:themeColor="accent3"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3">
    <w:name w:val="Grid Table 1 Light - Accent 4"/>
    <w:basedOn w:val="146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FFC000" w:themeColor="accent4"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4">
    <w:name w:val="Grid Table 1 Light - Accent 5"/>
    <w:basedOn w:val="1463"/>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4472C4" w:themeColor="accent5"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5">
    <w:name w:val="Grid Table 1 Light - Accent 6"/>
    <w:basedOn w:val="146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70AD47" w:themeColor="accent6"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476">
    <w:name w:val="Grid Table 2"/>
    <w:basedOn w:val="146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7">
    <w:name w:val="Grid Table 2 - Accent 1"/>
    <w:basedOn w:val="1463"/>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12" w:space="0"/>
          <w:right w:val="none" w:color="000000" w:sz="4" w:space="0"/>
        </w:tcBorders>
        <w:shd w:val="clear" w:color="FFFFFF" w:fill="auto"/>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8">
    <w:name w:val="Grid Table 2 - Accent 2"/>
    <w:basedOn w:val="146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12" w:space="0"/>
          <w:right w:val="none" w:color="000000" w:sz="4" w:space="0"/>
        </w:tcBorders>
        <w:shd w:val="clear" w:color="FFFFFF" w:fill="auto"/>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79">
    <w:name w:val="Grid Table 2 - Accent 3"/>
    <w:basedOn w:val="146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12" w:space="0"/>
          <w:right w:val="none" w:color="000000" w:sz="4" w:space="0"/>
        </w:tcBorders>
        <w:shd w:val="clear" w:color="FFFFFF" w:fill="auto"/>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0">
    <w:name w:val="Grid Table 2 - Accent 4"/>
    <w:basedOn w:val="146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12" w:space="0"/>
          <w:right w:val="none" w:color="000000" w:sz="4" w:space="0"/>
        </w:tcBorders>
        <w:shd w:val="clear" w:color="FFFFFF" w:fill="auto"/>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1">
    <w:name w:val="Grid Table 2 - Accent 5"/>
    <w:basedOn w:val="1463"/>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12" w:space="0"/>
          <w:right w:val="none" w:color="000000" w:sz="4" w:space="0"/>
        </w:tcBorders>
        <w:shd w:val="clear" w:color="FFFFFF" w:fill="auto"/>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2">
    <w:name w:val="Grid Table 2 - Accent 6"/>
    <w:basedOn w:val="146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12" w:space="0"/>
          <w:right w:val="none" w:color="000000" w:sz="4" w:space="0"/>
        </w:tcBorders>
        <w:shd w:val="clear" w:color="FFFFFF" w:fill="auto"/>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483">
    <w:name w:val="Grid Table 3"/>
    <w:basedOn w:val="146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4">
    <w:name w:val="Grid Table 3 - Accent 1"/>
    <w:basedOn w:val="1463"/>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5">
    <w:name w:val="Grid Table 3 - Accent 2"/>
    <w:basedOn w:val="146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6">
    <w:name w:val="Grid Table 3 - Accent 3"/>
    <w:basedOn w:val="146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7">
    <w:name w:val="Grid Table 3 - Accent 4"/>
    <w:basedOn w:val="146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8">
    <w:name w:val="Grid Table 3 - Accent 5"/>
    <w:basedOn w:val="1463"/>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89">
    <w:name w:val="Grid Table 3 - Accent 6"/>
    <w:basedOn w:val="146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490">
    <w:name w:val="Grid Table 4"/>
    <w:basedOn w:val="146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Col">
      <w:rPr>
        <w:b/>
      </w:rPr>
      <w:tblPr/>
    </w:tblStylePr>
    <w:tblStylePr w:type="lastRow">
      <w:rPr>
        <w:b/>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1">
    <w:name w:val="Grid Table 4 - Accent 1"/>
    <w:basedOn w:val="1463"/>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band1Horz">
      <w:rPr>
        <w:sz w:val="22"/>
      </w:rPr>
      <w:tblPr/>
      <w:tcPr>
        <w:shd w:val="clear" w:color="DEEBF6" w:fill="DEEBF6" w:themeFill="accent1" w:themeFillTint="32"/>
      </w:tcPr>
    </w:tblStylePr>
    <w:tblStylePr w:type="band1Vert">
      <w:rPr>
        <w:sz w:val="22"/>
      </w:rPr>
      <w:tblPr/>
      <w:tcPr>
        <w:shd w:val="clear" w:color="DEEBF6" w:fill="DEEBF6" w:themeFill="accent1"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shd w:val="clear" w:color="68A2D8" w:fill="68A2D8" w:themeFill="accent1" w:themeFillTint="ea"/>
      </w:tcPr>
    </w:tblStylePr>
    <w:tblStylePr w:type="lastCol">
      <w:rPr>
        <w:b/>
      </w:rPr>
      <w:tblPr/>
    </w:tblStylePr>
    <w:tblStylePr w:type="lastRow">
      <w:rPr>
        <w:b/>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2">
    <w:name w:val="Grid Table 4 - Accent 2"/>
    <w:basedOn w:val="1463"/>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shd w:val="clear" w:color="F4B184" w:fill="F4B184" w:themeFill="accent2" w:themeFillTint="97"/>
      </w:tcPr>
    </w:tblStylePr>
    <w:tblStylePr w:type="lastCol">
      <w:rPr>
        <w:b/>
      </w:rPr>
      <w:tblPr/>
    </w:tblStylePr>
    <w:tblStylePr w:type="lastRow">
      <w:rPr>
        <w:b/>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3">
    <w:name w:val="Grid Table 4 - Accent 3"/>
    <w:basedOn w:val="1463"/>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shd w:val="clear" w:color="A5A5A5" w:fill="A5A5A5" w:themeFill="accent3" w:themeFillTint="fe"/>
      </w:tcPr>
    </w:tblStylePr>
    <w:tblStylePr w:type="lastCol">
      <w:rPr>
        <w:b/>
      </w:rPr>
      <w:tblPr/>
    </w:tblStylePr>
    <w:tblStylePr w:type="lastRow">
      <w:rPr>
        <w:b/>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4">
    <w:name w:val="Grid Table 4 - Accent 4"/>
    <w:basedOn w:val="1463"/>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shd w:val="clear" w:color="FFD865" w:fill="FFD865" w:themeFill="accent4" w:themeFillTint="9a"/>
      </w:tcPr>
    </w:tblStylePr>
    <w:tblStylePr w:type="lastCol">
      <w:rPr>
        <w:b/>
      </w:rPr>
      <w:tblPr/>
    </w:tblStylePr>
    <w:tblStylePr w:type="lastRow">
      <w:rPr>
        <w:b/>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5">
    <w:name w:val="Grid Table 4 - Accent 5"/>
    <w:basedOn w:val="1463"/>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fill="4472C4" w:themeFill="accent5"/>
      </w:tcPr>
    </w:tblStylePr>
    <w:tblStylePr w:type="lastCol">
      <w:rPr>
        <w:b/>
      </w:rPr>
      <w:tblPr/>
    </w:tblStylePr>
    <w:tblStylePr w:type="lastRow">
      <w:rPr>
        <w:b/>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6">
    <w:name w:val="Grid Table 4 - Accent 6"/>
    <w:basedOn w:val="1463"/>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fill="70AD47" w:themeFill="accent6"/>
      </w:tcPr>
    </w:tblStylePr>
    <w:tblStylePr w:type="lastCol">
      <w:rPr>
        <w:b/>
      </w:rPr>
      <w:tblPr/>
    </w:tblStylePr>
    <w:tblStylePr w:type="lastRow">
      <w:rPr>
        <w:b/>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497">
    <w:name w:val="Grid Table 5 Dark"/>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8A8A8A" w:fill="8A8A8A" w:themeFill="text1" w:themeFillTint="75"/>
      </w:tcPr>
    </w:tblStylePr>
    <w:tblStylePr w:type="band1Vert">
      <w:tblPr/>
      <w:tcPr>
        <w:shd w:val="clear" w:color="8A8A8A" w:fill="8A8A8A" w:themeFill="text1" w:themeFillTint="75"/>
      </w:tcPr>
    </w:tblStylePr>
    <w:tblStylePr w:type="band2Horz">
      <w:tblPr/>
    </w:tblStylePr>
    <w:tblStylePr w:type="band2Vert">
      <w:tblPr/>
    </w:tblStylePr>
    <w:tblStylePr w:type="firstCol">
      <w:rPr>
        <w:b/>
        <w:sz w:val="22"/>
      </w:rPr>
      <w:tblPr/>
      <w:tcPr>
        <w:shd w:val="clear" w:color="000000" w:fill="000000" w:themeFill="text1"/>
      </w:tcPr>
    </w:tblStylePr>
    <w:tblStylePr w:type="firstRow">
      <w:rPr>
        <w:b/>
        <w:sz w:val="22"/>
      </w:rPr>
      <w:tblPr/>
      <w:tcPr>
        <w:shd w:val="clear" w:color="000000" w:fill="000000" w:themeFill="text1"/>
      </w:tcPr>
    </w:tblStylePr>
    <w:tblStylePr w:type="lastCol">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8">
    <w:name w:val="Grid Table 5 Dark- Accent 1"/>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3D0EB" w:fill="B3D0EB" w:themeFill="accent1" w:themeFillTint="75"/>
      </w:tcPr>
    </w:tblStylePr>
    <w:tblStylePr w:type="band1Vert">
      <w:tblPr/>
      <w:tcPr>
        <w:shd w:val="clear" w:color="B3D0EB" w:fill="B3D0EB" w:themeFill="accent1" w:themeFillTint="75"/>
      </w:tcPr>
    </w:tblStylePr>
    <w:tblStylePr w:type="band2Horz">
      <w:tblPr/>
    </w:tblStylePr>
    <w:tblStylePr w:type="band2Vert">
      <w:tblPr/>
    </w:tblStylePr>
    <w:tblStylePr w:type="firstCol">
      <w:rPr>
        <w:b/>
        <w:sz w:val="22"/>
      </w:rPr>
      <w:tblPr/>
      <w:tcPr>
        <w:shd w:val="clear" w:color="5B9BD5" w:fill="5B9BD5" w:themeFill="accent1"/>
      </w:tcPr>
    </w:tblStylePr>
    <w:tblStylePr w:type="firstRow">
      <w:rPr>
        <w:b/>
        <w:sz w:val="22"/>
      </w:rPr>
      <w:tblPr/>
      <w:tcPr>
        <w:shd w:val="clear" w:color="5B9BD5" w:fill="5B9BD5" w:themeFill="accent1"/>
      </w:tcPr>
    </w:tblStylePr>
    <w:tblStylePr w:type="lastCol">
      <w:rPr>
        <w:b/>
        <w:sz w:val="22"/>
      </w:rPr>
      <w:tblPr/>
      <w:tcPr>
        <w:shd w:val="clear" w:color="5B9BD5" w:fill="5B9BD5" w:themeFill="accent1"/>
      </w:tcPr>
    </w:tblStylePr>
    <w:tblStylePr w:type="lastRow">
      <w:rPr>
        <w:b/>
        <w:sz w:val="22"/>
      </w:rPr>
      <w:tblPr/>
      <w:tcPr>
        <w:tcBorders>
          <w:top w:val="single" w:color="FFFFFF" w:themeColor="light1" w:sz="4" w:space="0"/>
        </w:tcBorders>
        <w:shd w:val="clear" w:color="5B9BD5" w:fill="5B9BD5"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499">
    <w:name w:val="Grid Table 5 Dark - Accent 2"/>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6C3A0" w:fill="F6C3A0" w:themeFill="accent2" w:themeFillTint="75"/>
      </w:tcPr>
    </w:tblStylePr>
    <w:tblStylePr w:type="band1Vert">
      <w:tblPr/>
      <w:tcPr>
        <w:shd w:val="clear" w:color="F6C3A0" w:fill="F6C3A0" w:themeFill="accent2" w:themeFillTint="75"/>
      </w:tcPr>
    </w:tblStylePr>
    <w:tblStylePr w:type="band2Horz">
      <w:tblPr/>
    </w:tblStylePr>
    <w:tblStylePr w:type="band2Vert">
      <w:tblPr/>
    </w:tblStylePr>
    <w:tblStylePr w:type="firstCol">
      <w:rPr>
        <w:b/>
        <w:sz w:val="22"/>
      </w:rPr>
      <w:tblPr/>
      <w:tcPr>
        <w:shd w:val="clear" w:color="ED7D31" w:fill="ED7D31" w:themeFill="accent2"/>
      </w:tcPr>
    </w:tblStylePr>
    <w:tblStylePr w:type="firstRow">
      <w:rPr>
        <w:b/>
        <w:sz w:val="22"/>
      </w:rPr>
      <w:tblPr/>
      <w:tcPr>
        <w:shd w:val="clear" w:color="ED7D31" w:fill="ED7D31" w:themeFill="accent2"/>
      </w:tcPr>
    </w:tblStylePr>
    <w:tblStylePr w:type="lastCol">
      <w:rPr>
        <w:b/>
        <w:sz w:val="22"/>
      </w:rPr>
      <w:tblPr/>
      <w:tcPr>
        <w:shd w:val="clear" w:color="ED7D31" w:fill="ED7D31" w:themeFill="accent2"/>
      </w:tcPr>
    </w:tblStylePr>
    <w:tblStylePr w:type="lastRow">
      <w:rPr>
        <w:b/>
        <w:sz w:val="22"/>
      </w:rPr>
      <w:tblPr/>
      <w:tcPr>
        <w:tcBorders>
          <w:top w:val="single" w:color="FFFFFF" w:themeColor="light1" w:sz="4" w:space="0"/>
        </w:tcBorders>
        <w:shd w:val="clear" w:color="ED7D31" w:fill="ED7D31"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0">
    <w:name w:val="Grid Table 5 Dark - Accent 3"/>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D5D5D5" w:fill="D5D5D5" w:themeFill="accent3" w:themeFillTint="75"/>
      </w:tcPr>
    </w:tblStylePr>
    <w:tblStylePr w:type="band1Vert">
      <w:tblPr/>
      <w:tcPr>
        <w:shd w:val="clear" w:color="D5D5D5" w:fill="D5D5D5" w:themeFill="accent3" w:themeFillTint="75"/>
      </w:tcPr>
    </w:tblStylePr>
    <w:tblStylePr w:type="band2Horz">
      <w:tblPr/>
    </w:tblStylePr>
    <w:tblStylePr w:type="band2Vert">
      <w:tblPr/>
    </w:tblStylePr>
    <w:tblStylePr w:type="firstCol">
      <w:rPr>
        <w:b/>
        <w:sz w:val="22"/>
      </w:rPr>
      <w:tblPr/>
      <w:tcPr>
        <w:shd w:val="clear" w:color="A5A5A5" w:fill="A5A5A5" w:themeFill="accent3"/>
      </w:tcPr>
    </w:tblStylePr>
    <w:tblStylePr w:type="firstRow">
      <w:rPr>
        <w:b/>
        <w:sz w:val="22"/>
      </w:rPr>
      <w:tblPr/>
      <w:tcPr>
        <w:shd w:val="clear" w:color="A5A5A5" w:fill="A5A5A5" w:themeFill="accent3"/>
      </w:tcPr>
    </w:tblStylePr>
    <w:tblStylePr w:type="lastCol">
      <w:rPr>
        <w:b/>
        <w:sz w:val="22"/>
      </w:rPr>
      <w:tblPr/>
      <w:tcPr>
        <w:shd w:val="clear" w:color="A5A5A5" w:fill="A5A5A5" w:themeFill="accent3"/>
      </w:tcPr>
    </w:tblStylePr>
    <w:tblStylePr w:type="lastRow">
      <w:rPr>
        <w:b/>
        <w:sz w:val="22"/>
      </w:rPr>
      <w:tblPr/>
      <w:tcPr>
        <w:tcBorders>
          <w:top w:val="single" w:color="FFFFFF" w:themeColor="light1" w:sz="4" w:space="0"/>
        </w:tcBorders>
        <w:shd w:val="clear" w:color="A5A5A5" w:fill="A5A5A5"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1">
    <w:name w:val="Grid Table 5 Dark- Accent 4"/>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FE28A" w:fill="FFE28A" w:themeFill="accent4" w:themeFillTint="75"/>
      </w:tcPr>
    </w:tblStylePr>
    <w:tblStylePr w:type="band1Vert">
      <w:tblPr/>
      <w:tcPr>
        <w:shd w:val="clear" w:color="FFE28A" w:fill="FFE28A" w:themeFill="accent4" w:themeFillTint="75"/>
      </w:tcPr>
    </w:tblStylePr>
    <w:tblStylePr w:type="band2Horz">
      <w:tblPr/>
    </w:tblStylePr>
    <w:tblStylePr w:type="band2Vert">
      <w:tblPr/>
    </w:tblStylePr>
    <w:tblStylePr w:type="firstCol">
      <w:rPr>
        <w:b/>
        <w:sz w:val="22"/>
      </w:rPr>
      <w:tblPr/>
      <w:tcPr>
        <w:shd w:val="clear" w:color="FFC000" w:fill="FFC000" w:themeFill="accent4"/>
      </w:tcPr>
    </w:tblStylePr>
    <w:tblStylePr w:type="firstRow">
      <w:rPr>
        <w:b/>
        <w:sz w:val="22"/>
      </w:rPr>
      <w:tblPr/>
      <w:tcPr>
        <w:shd w:val="clear" w:color="FFC000" w:fill="FFC000" w:themeFill="accent4"/>
      </w:tcPr>
    </w:tblStylePr>
    <w:tblStylePr w:type="lastCol">
      <w:rPr>
        <w:b/>
        <w:sz w:val="22"/>
      </w:rPr>
      <w:tblPr/>
      <w:tcPr>
        <w:shd w:val="clear" w:color="FFC000" w:fill="FFC000" w:themeFill="accent4"/>
      </w:tcPr>
    </w:tblStylePr>
    <w:tblStylePr w:type="lastRow">
      <w:rPr>
        <w:b/>
        <w:sz w:val="22"/>
      </w:rPr>
      <w:tblPr/>
      <w:tcPr>
        <w:tcBorders>
          <w:top w:val="single" w:color="FFFFFF" w:themeColor="light1" w:sz="4" w:space="0"/>
        </w:tcBorders>
        <w:shd w:val="clear" w:color="FFC000" w:fill="FFC000"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2">
    <w:name w:val="Grid Table 5 Dark - Accent 5"/>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A9BEE4" w:fill="A9BEE4" w:themeFill="accent5" w:themeFillTint="75"/>
      </w:tcPr>
    </w:tblStylePr>
    <w:tblStylePr w:type="band1Vert">
      <w:tblPr/>
      <w:tcPr>
        <w:shd w:val="clear" w:color="A9BEE4" w:fill="A9BEE4" w:themeFill="accent5" w:themeFillTint="75"/>
      </w:tcPr>
    </w:tblStylePr>
    <w:tblStylePr w:type="band2Horz">
      <w:tblPr/>
    </w:tblStylePr>
    <w:tblStylePr w:type="band2Vert">
      <w:tblPr/>
    </w:tblStylePr>
    <w:tblStylePr w:type="firstCol">
      <w:rPr>
        <w:b/>
        <w:sz w:val="22"/>
      </w:rPr>
      <w:tblPr/>
      <w:tcPr>
        <w:shd w:val="clear" w:color="4472C4" w:fill="4472C4" w:themeFill="accent5"/>
      </w:tcPr>
    </w:tblStylePr>
    <w:tblStylePr w:type="firstRow">
      <w:rPr>
        <w:b/>
        <w:sz w:val="22"/>
      </w:rPr>
      <w:tblPr/>
      <w:tcPr>
        <w:shd w:val="clear" w:color="4472C4" w:fill="4472C4" w:themeFill="accent5"/>
      </w:tcPr>
    </w:tblStylePr>
    <w:tblStylePr w:type="lastCol">
      <w:rPr>
        <w:b/>
        <w:sz w:val="22"/>
      </w:rPr>
      <w:tblPr/>
      <w:tcPr>
        <w:shd w:val="clear" w:color="4472C4" w:fill="4472C4" w:themeFill="accent5"/>
      </w:tcPr>
    </w:tblStylePr>
    <w:tblStylePr w:type="lastRow">
      <w:rPr>
        <w:b/>
        <w:sz w:val="22"/>
      </w:rPr>
      <w:tblPr/>
      <w:tcPr>
        <w:tcBorders>
          <w:top w:val="single" w:color="FFFFFF" w:themeColor="light1" w:sz="4" w:space="0"/>
        </w:tcBorders>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3">
    <w:name w:val="Grid Table 5 Dark - Accent 6"/>
    <w:basedOn w:val="146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CDBA8" w:fill="BCDBA8" w:themeFill="accent6" w:themeFillTint="75"/>
      </w:tcPr>
    </w:tblStylePr>
    <w:tblStylePr w:type="band1Vert">
      <w:tblPr/>
      <w:tcPr>
        <w:shd w:val="clear" w:color="BCDBA8" w:fill="BCDBA8" w:themeFill="accent6" w:themeFillTint="75"/>
      </w:tcPr>
    </w:tblStylePr>
    <w:tblStylePr w:type="band2Horz">
      <w:tblPr/>
    </w:tblStylePr>
    <w:tblStylePr w:type="band2Vert">
      <w:tblPr/>
    </w:tblStylePr>
    <w:tblStylePr w:type="firstCol">
      <w:rPr>
        <w:b/>
        <w:sz w:val="22"/>
      </w:rPr>
      <w:tblPr/>
      <w:tcPr>
        <w:shd w:val="clear" w:color="70AD47" w:fill="70AD47" w:themeFill="accent6"/>
      </w:tcPr>
    </w:tblStylePr>
    <w:tblStylePr w:type="firstRow">
      <w:rPr>
        <w:b/>
        <w:sz w:val="22"/>
      </w:rPr>
      <w:tblPr/>
      <w:tcPr>
        <w:shd w:val="clear" w:color="70AD47" w:fill="70AD47" w:themeFill="accent6"/>
      </w:tcPr>
    </w:tblStylePr>
    <w:tblStylePr w:type="lastCol">
      <w:rPr>
        <w:b/>
        <w:sz w:val="22"/>
      </w:rPr>
      <w:tblPr/>
      <w:tcPr>
        <w:shd w:val="clear" w:color="70AD47" w:fill="70AD47" w:themeFill="accent6"/>
      </w:tcPr>
    </w:tblStylePr>
    <w:tblStylePr w:type="lastRow">
      <w:rPr>
        <w:b/>
        <w:sz w:val="22"/>
      </w:rPr>
      <w:tblPr/>
      <w:tcPr>
        <w:tcBorders>
          <w:top w:val="single" w:color="FFFFFF" w:themeColor="light1" w:sz="4" w:space="0"/>
        </w:tcBorders>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1504">
    <w:name w:val="Grid Table 6 Colorful"/>
    <w:basedOn w:val="146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CBCBCB" w:fill="CBCBCB" w:themeFill="text1" w:themeFillTint="34"/>
      </w:tcPr>
    </w:tblStylePr>
    <w:tblStylePr w:type="band1Vert">
      <w:tblPr/>
      <w:tcPr>
        <w:shd w:val="clear" w:color="CBCBCB" w:fill="CBCBCB" w:themeFill="text1" w:themeFillTint="34"/>
      </w:tcPr>
    </w:tblStylePr>
    <w:tblStylePr w:type="band2Horz">
      <w:rPr>
        <w:color w:val="000000" w:themeColor="text1" w:themeTint="80" w:themeShade="95"/>
        <w:sz w:val="22"/>
      </w:rPr>
      <w:tblPr/>
    </w:tblStylePr>
    <w:tblStylePr w:type="band2Vert">
      <w:tblPr/>
    </w:tblStylePr>
    <w:tblStylePr w:type="firstCol">
      <w:rPr>
        <w:b/>
        <w:color w:val="000000" w:themeColor="text1" w:themeTint="80" w:themeShade="95"/>
      </w:rPr>
      <w:tblPr/>
    </w:tblStylePr>
    <w:tblStylePr w:type="firstRow">
      <w:rPr>
        <w:b/>
        <w:color w:val="000000" w:themeColor="text1" w:themeTint="80" w:themeShade="95"/>
      </w:rPr>
      <w:tblPr/>
      <w:tcPr>
        <w:tcBorders>
          <w:bottom w:val="single" w:color="000000" w:themeColor="text1" w:sz="12" w:space="0"/>
        </w:tcBorders>
      </w:tcPr>
    </w:tblStylePr>
    <w:tblStylePr w:type="lastCol">
      <w:rPr>
        <w:b/>
        <w:color w:val="000000" w:themeColor="text1" w:themeTint="80" w:themeShade="95"/>
      </w:rPr>
      <w:tblPr/>
    </w:tblStylePr>
    <w:tblStylePr w:type="lastRow">
      <w:rPr>
        <w:b/>
        <w:color w:val="000000" w:themeColor="tex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5">
    <w:name w:val="Grid Table 6 Colorful - Accent 1"/>
    <w:basedOn w:val="1463"/>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rPr>
        <w:b/>
        <w:color w:val="000000" w:themeColor="accent1" w:themeTint="80" w:themeShade="95"/>
      </w:rPr>
      <w:tblPr/>
    </w:tblStylePr>
    <w:tblStylePr w:type="firstRow">
      <w:rPr>
        <w:b/>
        <w:color w:val="000000" w:themeColor="accent1" w:themeTint="80" w:themeShade="95"/>
      </w:rPr>
      <w:tblPr/>
      <w:tcPr>
        <w:tcBorders>
          <w:bottom w:val="single" w:color="5B9BD5" w:themeColor="accent1" w:sz="12" w:space="0"/>
        </w:tcBorders>
      </w:tcPr>
    </w:tblStylePr>
    <w:tblStylePr w:type="lastCol">
      <w:rPr>
        <w:b/>
        <w:color w:val="000000" w:themeColor="accent1" w:themeTint="80" w:themeShade="95"/>
      </w:rPr>
      <w:tblPr/>
    </w:tblStylePr>
    <w:tblStylePr w:type="lastRow">
      <w:rPr>
        <w:b/>
        <w:color w:val="000000" w:themeColor="accen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6">
    <w:name w:val="Grid Table 6 Colorful - Accent 2"/>
    <w:basedOn w:val="146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12" w:space="0"/>
        </w:tcBorders>
      </w:tcPr>
    </w:tblStylePr>
    <w:tblStylePr w:type="lastCol">
      <w:rPr>
        <w:b/>
        <w:color w:val="000000" w:themeColor="accent2" w:themeTint="97" w:themeShade="95"/>
      </w:rPr>
      <w:tblPr/>
    </w:tblStylePr>
    <w:tblStylePr w:type="lastRow">
      <w:rPr>
        <w:b/>
        <w:color w:val="000000" w:themeColor="accent2" w:themeTint="97"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7">
    <w:name w:val="Grid Table 6 Colorful - Accent 3"/>
    <w:basedOn w:val="1463"/>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rPr>
        <w:b/>
        <w:color w:val="000000" w:themeColor="accent3" w:themeTint="fe" w:themeShade="95"/>
      </w:rPr>
      <w:tblPr/>
    </w:tblStylePr>
    <w:tblStylePr w:type="firstRow">
      <w:rPr>
        <w:b/>
        <w:color w:val="000000" w:themeColor="accent3" w:themeTint="fe" w:themeShade="95"/>
      </w:rPr>
      <w:tblPr/>
      <w:tcPr>
        <w:tcBorders>
          <w:bottom w:val="single" w:color="A5A5A5" w:themeColor="accent3" w:sz="12" w:space="0"/>
        </w:tcBorders>
      </w:tcPr>
    </w:tblStylePr>
    <w:tblStylePr w:type="lastCol">
      <w:rPr>
        <w:b/>
        <w:color w:val="000000" w:themeColor="accent3" w:themeTint="fe" w:themeShade="95"/>
      </w:rPr>
      <w:tblPr/>
    </w:tblStylePr>
    <w:tblStylePr w:type="lastRow">
      <w:rPr>
        <w:b/>
        <w:color w:val="000000" w:themeColor="accent3" w:themeTint="fe"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8">
    <w:name w:val="Grid Table 6 Colorful - Accent 4"/>
    <w:basedOn w:val="146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12" w:space="0"/>
        </w:tcBorders>
      </w:tcPr>
    </w:tblStylePr>
    <w:tblStylePr w:type="lastCol">
      <w:rPr>
        <w:b/>
        <w:color w:val="000000" w:themeColor="accent4" w:themeTint="9a" w:themeShade="95"/>
      </w:rPr>
      <w:tblPr/>
    </w:tblStylePr>
    <w:tblStylePr w:type="lastRow">
      <w:rPr>
        <w:b/>
        <w:color w:val="000000" w:themeColor="accent4" w:themeTint="9a"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09">
    <w:name w:val="Grid Table 6 Colorful - Accent 5"/>
    <w:basedOn w:val="1463"/>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4472C4" w:themeColor="accent5"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0">
    <w:name w:val="Grid Table 6 Colorful - Accent 6"/>
    <w:basedOn w:val="1463"/>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color w:val="000000" w:themeColor="accent5"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70AD47" w:themeColor="accent6"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styleId="1511">
    <w:name w:val="Grid Table 7 Colorful"/>
    <w:basedOn w:val="146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F2F2F2" w:fill="F2F2F2" w:themeFill="text1" w:themeFillTint="0"/>
      </w:tcPr>
    </w:tblStylePr>
    <w:tblStylePr w:type="band1Vert">
      <w:tblPr/>
      <w:tcPr>
        <w:shd w:val="clear" w:color="F2F2F2" w:fill="F2F2F2" w:themeFill="text1" w:themeFillTint="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b/>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b/>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2">
    <w:name w:val="Grid Table 7 Colorful - Accent 1"/>
    <w:basedOn w:val="1463"/>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pPr>
        <w:jc w:val="right"/>
      </w:pPr>
      <w:rPr>
        <w:i/>
        <w:color w:val="000000" w:themeColor="accent1" w:themeTint="80"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b/>
        <w:color w:val="000000" w:themeColor="accent1" w:themeTint="80"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Tint="80"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b/>
        <w:color w:val="000000" w:themeColor="accent1" w:themeTint="80"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3">
    <w:name w:val="Grid Table 7 Colorful - Accent 2"/>
    <w:basedOn w:val="1463"/>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b/>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b/>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4">
    <w:name w:val="Grid Table 7 Colorful - Accent 3"/>
    <w:basedOn w:val="1463"/>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pPr>
        <w:jc w:val="right"/>
      </w:pPr>
      <w:rPr>
        <w:i/>
        <w:color w:val="000000" w:themeColor="accent3" w:themeTint="fe"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b/>
        <w:color w:val="000000" w:themeColor="accent3" w:themeTint="fe"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fe"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b/>
        <w:color w:val="000000" w:themeColor="accent3" w:themeTint="fe"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5">
    <w:name w:val="Grid Table 7 Colorful - Accent 4"/>
    <w:basedOn w:val="1463"/>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b/>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b/>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6">
    <w:name w:val="Grid Table 7 Colorful - Accent 5"/>
    <w:basedOn w:val="1463"/>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pPr>
        <w:jc w:val="right"/>
      </w:pPr>
      <w:rPr>
        <w:i/>
        <w:color w:val="000000" w:themeColor="accent5"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b/>
        <w:color w:val="000000" w:themeColor="accent5"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b/>
        <w:color w:val="000000" w:themeColor="accent5"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7">
    <w:name w:val="Grid Table 7 Colorful - Accent 6"/>
    <w:basedOn w:val="1463"/>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color w:val="000000" w:themeColor="accent6"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6" w:themeShade="95"/>
        <w:sz w:val="22"/>
      </w:rPr>
      <w:tblPr/>
    </w:tblStylePr>
    <w:tblStylePr w:type="band2Vert">
      <w:tblPr/>
    </w:tblStylePr>
    <w:tblStylePr w:type="firstCol">
      <w:pPr>
        <w:jc w:val="right"/>
      </w:pPr>
      <w:rPr>
        <w:i/>
        <w:color w:val="000000" w:themeColor="accent6"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b/>
        <w:color w:val="000000" w:themeColor="accent6"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b/>
        <w:color w:val="000000" w:themeColor="accent6"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1518">
    <w:name w:val="List Table 1 Light"/>
    <w:basedOn w:val="1463"/>
    <w:uiPriority w:val="99"/>
    <w:tblPr>
      <w:tblStyleRowBandSize w:val="1"/>
      <w:tblStyleColBandSize w:val="1"/>
      <w:tblCellMar>
        <w:top w:w="0" w:type="dxa"/>
        <w:left w:w="108" w:type="dxa"/>
        <w:bottom w:w="0" w:type="dxa"/>
        <w:right w:w="108" w:type="dxa"/>
      </w:tblCellMar>
    </w:tblPr>
    <w:tblStylePr w:type="band1Horz">
      <w:tblPr/>
      <w:tcPr>
        <w:shd w:val="clear" w:color="BFBFBF" w:fill="BFBFBF" w:themeFill="text1" w:themeFillTint="40"/>
      </w:tcPr>
    </w:tblStylePr>
    <w:tblStylePr w:type="band1Vert">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19">
    <w:name w:val="List Table 1 Light - Accent 1"/>
    <w:basedOn w:val="1463"/>
    <w:uiPriority w:val="99"/>
    <w:tblPr>
      <w:tblStyleRowBandSize w:val="1"/>
      <w:tblStyleColBandSize w:val="1"/>
      <w:tblCellMar>
        <w:top w:w="0" w:type="dxa"/>
        <w:left w:w="108" w:type="dxa"/>
        <w:bottom w:w="0" w:type="dxa"/>
        <w:right w:w="108" w:type="dxa"/>
      </w:tblCellMar>
    </w:tblPr>
    <w:tblStylePr w:type="band1Horz">
      <w:tblPr/>
      <w:tcPr>
        <w:shd w:val="clear" w:color="D5E5F4" w:fill="D5E5F4" w:themeFill="accent1" w:themeFillTint="40"/>
      </w:tcPr>
    </w:tblStylePr>
    <w:tblStylePr w:type="band1Vert">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4" w:space="0"/>
          <w:right w:val="none" w:color="000000" w:sz="4" w:space="0"/>
        </w:tcBorders>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0">
    <w:name w:val="List Table 1 Light - Accent 2"/>
    <w:basedOn w:val="1463"/>
    <w:uiPriority w:val="99"/>
    <w:tblPr>
      <w:tblStyleRowBandSize w:val="1"/>
      <w:tblStyleColBandSize w:val="1"/>
      <w:tblCellMar>
        <w:top w:w="0" w:type="dxa"/>
        <w:left w:w="108" w:type="dxa"/>
        <w:bottom w:w="0" w:type="dxa"/>
        <w:right w:w="108" w:type="dxa"/>
      </w:tblCellMar>
    </w:tblPr>
    <w:tblStylePr w:type="band1Horz">
      <w:tblPr/>
      <w:tcPr>
        <w:shd w:val="clear" w:color="FADECB" w:fill="FADECB" w:themeFill="accent2" w:themeFillTint="40"/>
      </w:tcPr>
    </w:tblStylePr>
    <w:tblStylePr w:type="band1Vert">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4" w:space="0"/>
          <w:right w:val="none" w:color="000000" w:sz="4" w:space="0"/>
        </w:tcBorders>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1">
    <w:name w:val="List Table 1 Light - Accent 3"/>
    <w:basedOn w:val="1463"/>
    <w:uiPriority w:val="99"/>
    <w:tblPr>
      <w:tblStyleRowBandSize w:val="1"/>
      <w:tblStyleColBandSize w:val="1"/>
      <w:tblCellMar>
        <w:top w:w="0" w:type="dxa"/>
        <w:left w:w="108" w:type="dxa"/>
        <w:bottom w:w="0" w:type="dxa"/>
        <w:right w:w="108" w:type="dxa"/>
      </w:tblCellMar>
    </w:tblPr>
    <w:tblStylePr w:type="band1Horz">
      <w:tblPr/>
      <w:tcPr>
        <w:shd w:val="clear" w:color="E8E8E8" w:fill="E8E8E8" w:themeFill="accent3" w:themeFillTint="40"/>
      </w:tcPr>
    </w:tblStylePr>
    <w:tblStylePr w:type="band1Vert">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4" w:space="0"/>
          <w:right w:val="none" w:color="000000" w:sz="4" w:space="0"/>
        </w:tcBorders>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2">
    <w:name w:val="List Table 1 Light - Accent 4"/>
    <w:basedOn w:val="1463"/>
    <w:uiPriority w:val="99"/>
    <w:tblPr>
      <w:tblStyleRowBandSize w:val="1"/>
      <w:tblStyleColBandSize w:val="1"/>
      <w:tblCellMar>
        <w:top w:w="0" w:type="dxa"/>
        <w:left w:w="108" w:type="dxa"/>
        <w:bottom w:w="0" w:type="dxa"/>
        <w:right w:w="108" w:type="dxa"/>
      </w:tblCellMar>
    </w:tblPr>
    <w:tblStylePr w:type="band1Horz">
      <w:tblPr/>
      <w:tcPr>
        <w:shd w:val="clear" w:color="FFEFBF" w:fill="FFEFBF" w:themeFill="accent4" w:themeFillTint="40"/>
      </w:tcPr>
    </w:tblStylePr>
    <w:tblStylePr w:type="band1Vert">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4" w:space="0"/>
          <w:right w:val="none" w:color="000000" w:sz="4" w:space="0"/>
        </w:tcBorders>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3">
    <w:name w:val="List Table 1 Light - Accent 5"/>
    <w:basedOn w:val="1463"/>
    <w:uiPriority w:val="99"/>
    <w:tblPr>
      <w:tblStyleRowBandSize w:val="1"/>
      <w:tblStyleColBandSize w:val="1"/>
      <w:tblCellMar>
        <w:top w:w="0" w:type="dxa"/>
        <w:left w:w="108" w:type="dxa"/>
        <w:bottom w:w="0" w:type="dxa"/>
        <w:right w:w="108" w:type="dxa"/>
      </w:tblCellMar>
    </w:tblPr>
    <w:tblStylePr w:type="band1Horz">
      <w:tblPr/>
      <w:tcPr>
        <w:shd w:val="clear" w:color="CFDBF0" w:fill="CFDBF0" w:themeFill="accent5" w:themeFillTint="40"/>
      </w:tcPr>
    </w:tblStylePr>
    <w:tblStylePr w:type="band1Vert">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4" w:space="0"/>
          <w:right w:val="none" w:color="000000" w:sz="4" w:space="0"/>
        </w:tcBorders>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4">
    <w:name w:val="List Table 1 Light - Accent 6"/>
    <w:basedOn w:val="1463"/>
    <w:uiPriority w:val="99"/>
    <w:tblPr>
      <w:tblStyleRowBandSize w:val="1"/>
      <w:tblStyleColBandSize w:val="1"/>
      <w:tblCellMar>
        <w:top w:w="0" w:type="dxa"/>
        <w:left w:w="108" w:type="dxa"/>
        <w:bottom w:w="0" w:type="dxa"/>
        <w:right w:w="108" w:type="dxa"/>
      </w:tblCellMar>
    </w:tblPr>
    <w:tblStylePr w:type="band1Horz">
      <w:tblPr/>
      <w:tcPr>
        <w:shd w:val="clear" w:color="DAEBCF" w:fill="DAEBCF" w:themeFill="accent6" w:themeFillTint="40"/>
      </w:tcPr>
    </w:tblStylePr>
    <w:tblStylePr w:type="band1Vert">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4" w:space="0"/>
          <w:right w:val="none" w:color="000000" w:sz="4" w:space="0"/>
        </w:tcBorders>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25">
    <w:name w:val="List Table 2"/>
    <w:basedOn w:val="146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tbl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6">
    <w:name w:val="List Table 2 - Accent 1"/>
    <w:basedOn w:val="1463"/>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lastCol">
      <w:rPr>
        <w:b/>
        <w:sz w:val="22"/>
      </w:rPr>
      <w:tblPr/>
    </w:tblStylePr>
    <w:tblStylePr w:type="la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7">
    <w:name w:val="List Table 2 - Accent 2"/>
    <w:basedOn w:val="1463"/>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lastCol">
      <w:rPr>
        <w:b/>
        <w:sz w:val="22"/>
      </w:rPr>
      <w:tblPr/>
    </w:tblStylePr>
    <w:tblStylePr w:type="la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8">
    <w:name w:val="List Table 2 - Accent 3"/>
    <w:basedOn w:val="1463"/>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lastCol">
      <w:rPr>
        <w:b/>
        <w:sz w:val="22"/>
      </w:rPr>
      <w:tblPr/>
    </w:tblStylePr>
    <w:tblStylePr w:type="la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29">
    <w:name w:val="List Table 2 - Accent 4"/>
    <w:basedOn w:val="1463"/>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lastCol">
      <w:rPr>
        <w:b/>
        <w:sz w:val="22"/>
      </w:rPr>
      <w:tblPr/>
    </w:tblStylePr>
    <w:tblStylePr w:type="la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0">
    <w:name w:val="List Table 2 - Accent 5"/>
    <w:basedOn w:val="1463"/>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lastCol">
      <w:rPr>
        <w:b/>
        <w:sz w:val="22"/>
      </w:rPr>
      <w:tblPr/>
    </w:tblStylePr>
    <w:tblStylePr w:type="la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1">
    <w:name w:val="List Table 2 - Accent 6"/>
    <w:basedOn w:val="1463"/>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lastCol">
      <w:rPr>
        <w:b/>
        <w:sz w:val="22"/>
      </w:rPr>
      <w:tblPr/>
    </w:tblStylePr>
    <w:tblStylePr w:type="la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32">
    <w:name w:val="List Table 3"/>
    <w:basedOn w:val="146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band1Horz">
      <w:rPr>
        <w:sz w:val="22"/>
      </w:rPr>
      <w:tblPr/>
      <w:tcPr>
        <w:tcBorders>
          <w:top w:val="single" w:color="000000" w:themeColor="text1" w:sz="4" w:space="0"/>
          <w:bottom w:val="single" w:color="000000" w:themeColor="text1" w:sz="4" w:space="0"/>
        </w:tcBorders>
      </w:tcPr>
    </w:tblStylePr>
    <w:tblStylePr w:type="band1Vert">
      <w:rPr>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3">
    <w:name w:val="List Table 3 - Accent 1"/>
    <w:basedOn w:val="1463"/>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band1Horz">
      <w:rPr>
        <w:sz w:val="22"/>
      </w:rPr>
      <w:tblPr/>
      <w:tcPr>
        <w:tcBorders>
          <w:top w:val="single" w:color="5B9BD5" w:themeColor="accent1" w:sz="4" w:space="0"/>
          <w:bottom w:val="single" w:color="5B9BD5" w:themeColor="accent1" w:sz="4" w:space="0"/>
        </w:tcBorders>
      </w:tcPr>
    </w:tblStylePr>
    <w:tblStylePr w:type="band1Vert">
      <w:rPr>
        <w:sz w:val="22"/>
      </w:rPr>
      <w:tblPr/>
      <w:tcPr>
        <w:tcBorders>
          <w:left w:val="single" w:color="5B9BD5" w:themeColor="accent1" w:sz="4" w:space="0"/>
          <w:right w:val="single" w:color="5B9BD5" w:themeColor="accent1" w:sz="4" w:space="0"/>
        </w:tcBorders>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4">
    <w:name w:val="List Table 3 - Accent 2"/>
    <w:basedOn w:val="146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top w:w="0" w:type="dxa"/>
        <w:left w:w="108" w:type="dxa"/>
        <w:bottom w:w="0" w:type="dxa"/>
        <w:right w:w="108" w:type="dxa"/>
      </w:tblCellMar>
    </w:tblPr>
    <w:tblStylePr w:type="band1Horz">
      <w:rPr>
        <w:sz w:val="22"/>
      </w:rPr>
      <w:tblPr/>
      <w:tcPr>
        <w:tcBorders>
          <w:top w:val="single" w:color="ED7D31" w:themeColor="accent2" w:sz="4" w:space="0"/>
          <w:bottom w:val="single" w:color="ED7D31" w:themeColor="accent2" w:sz="4" w:space="0"/>
        </w:tcBorders>
      </w:tcPr>
    </w:tblStylePr>
    <w:tblStylePr w:type="band1Vert">
      <w:rPr>
        <w:sz w:val="22"/>
      </w:rPr>
      <w:tblPr/>
      <w:tcPr>
        <w:tcBorders>
          <w:left w:val="single" w:color="ED7D31" w:themeColor="accent2" w:sz="4" w:space="0"/>
          <w:right w:val="single" w:color="ED7D31" w:themeColor="accent2" w:sz="4" w:space="0"/>
        </w:tcBorders>
      </w:tcPr>
    </w:tblStylePr>
    <w:tblStylePr w:type="band2Horz">
      <w:tblPr/>
    </w:tblStylePr>
    <w:tblStylePr w:type="band2Vert">
      <w:tblPr/>
    </w:tblStylePr>
    <w:tblStylePr w:type="firstCol">
      <w:rPr>
        <w:b/>
      </w:rPr>
      <w:tblPr/>
    </w:tblStylePr>
    <w:tblStylePr w:type="firstRow">
      <w:rPr>
        <w:b/>
        <w:sz w:val="22"/>
      </w:rPr>
      <w:tblPr/>
      <w:tcPr>
        <w:shd w:val="clear" w:color="F4B184" w:fill="F4B184" w:themeFill="accent2" w:themeFillTint="97"/>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5">
    <w:name w:val="List Table 3 - Accent 3"/>
    <w:basedOn w:val="1463"/>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band1Horz">
      <w:rPr>
        <w:sz w:val="22"/>
      </w:rPr>
      <w:tblPr/>
      <w:tcPr>
        <w:tcBorders>
          <w:top w:val="single" w:color="A5A5A5" w:themeColor="accent3" w:sz="4" w:space="0"/>
          <w:bottom w:val="single" w:color="A5A5A5" w:themeColor="accent3" w:sz="4" w:space="0"/>
        </w:tcBorders>
      </w:tcPr>
    </w:tblStylePr>
    <w:tblStylePr w:type="band1Vert">
      <w:rPr>
        <w:sz w:val="22"/>
      </w:rPr>
      <w:tblPr/>
      <w:tcPr>
        <w:tcBorders>
          <w:left w:val="single" w:color="A5A5A5" w:themeColor="accent3" w:sz="4" w:space="0"/>
          <w:right w:val="single" w:color="A5A5A5" w:themeColor="accent3" w:sz="4" w:space="0"/>
        </w:tcBorders>
      </w:tcPr>
    </w:tblStylePr>
    <w:tblStylePr w:type="band2Horz">
      <w:tblPr/>
    </w:tblStylePr>
    <w:tblStylePr w:type="band2Vert">
      <w:tblPr/>
    </w:tblStylePr>
    <w:tblStylePr w:type="firstCol">
      <w:rPr>
        <w:b/>
      </w:rPr>
      <w:tblPr/>
    </w:tblStylePr>
    <w:tblStylePr w:type="firstRow">
      <w:rPr>
        <w:b/>
        <w:sz w:val="22"/>
      </w:rPr>
      <w:tblPr/>
      <w:tcPr>
        <w:shd w:val="clear" w:color="C9C9C9" w:fill="C9C9C9" w:themeFill="accent3"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6">
    <w:name w:val="List Table 3 - Accent 4"/>
    <w:basedOn w:val="146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top w:w="0" w:type="dxa"/>
        <w:left w:w="108" w:type="dxa"/>
        <w:bottom w:w="0" w:type="dxa"/>
        <w:right w:w="108" w:type="dxa"/>
      </w:tblCellMar>
    </w:tblPr>
    <w:tblStylePr w:type="band1Horz">
      <w:rPr>
        <w:sz w:val="22"/>
      </w:rPr>
      <w:tblPr/>
      <w:tcPr>
        <w:tcBorders>
          <w:top w:val="single" w:color="FFC000" w:themeColor="accent4" w:sz="4" w:space="0"/>
          <w:bottom w:val="single" w:color="FFC000" w:themeColor="accent4" w:sz="4" w:space="0"/>
        </w:tcBorders>
      </w:tcPr>
    </w:tblStylePr>
    <w:tblStylePr w:type="band1Vert">
      <w:rPr>
        <w:sz w:val="22"/>
      </w:rPr>
      <w:tblPr/>
      <w:tcPr>
        <w:tcBorders>
          <w:left w:val="single" w:color="FFC000" w:themeColor="accent4" w:sz="4" w:space="0"/>
          <w:right w:val="single" w:color="FFC000" w:themeColor="accent4" w:sz="4" w:space="0"/>
        </w:tcBorders>
      </w:tcPr>
    </w:tblStylePr>
    <w:tblStylePr w:type="band2Horz">
      <w:tblPr/>
    </w:tblStylePr>
    <w:tblStylePr w:type="band2Vert">
      <w:tblPr/>
    </w:tblStylePr>
    <w:tblStylePr w:type="firstCol">
      <w:rPr>
        <w:b/>
      </w:rPr>
      <w:tblPr/>
    </w:tblStylePr>
    <w:tblStylePr w:type="firstRow">
      <w:rPr>
        <w:b/>
        <w:sz w:val="22"/>
      </w:rPr>
      <w:tblPr/>
      <w:tcPr>
        <w:shd w:val="clear" w:color="FFD865" w:fill="FFD865" w:themeFill="accent4"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7">
    <w:name w:val="List Table 3 - Accent 5"/>
    <w:basedOn w:val="1463"/>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top w:w="0" w:type="dxa"/>
        <w:left w:w="108" w:type="dxa"/>
        <w:bottom w:w="0" w:type="dxa"/>
        <w:right w:w="108" w:type="dxa"/>
      </w:tblCellMar>
    </w:tblPr>
    <w:tblStylePr w:type="band1Horz">
      <w:rPr>
        <w:sz w:val="22"/>
      </w:rPr>
      <w:tblPr/>
      <w:tcPr>
        <w:tcBorders>
          <w:top w:val="single" w:color="4472C4" w:themeColor="accent5" w:sz="4" w:space="0"/>
          <w:bottom w:val="single" w:color="4472C4" w:themeColor="accent5" w:sz="4" w:space="0"/>
        </w:tcBorders>
      </w:tcPr>
    </w:tblStylePr>
    <w:tblStylePr w:type="band1Vert">
      <w:rPr>
        <w:sz w:val="22"/>
      </w:rPr>
      <w:tblPr/>
      <w:tcPr>
        <w:tcBorders>
          <w:left w:val="single" w:color="4472C4" w:themeColor="accent5" w:sz="4" w:space="0"/>
          <w:right w:val="single" w:color="4472C4" w:themeColor="accent5" w:sz="4" w:space="0"/>
        </w:tcBorders>
      </w:tcPr>
    </w:tblStylePr>
    <w:tblStylePr w:type="band2Horz">
      <w:tblPr/>
    </w:tblStylePr>
    <w:tblStylePr w:type="band2Vert">
      <w:tblPr/>
    </w:tblStylePr>
    <w:tblStylePr w:type="firstCol">
      <w:rPr>
        <w:b/>
      </w:rPr>
      <w:tblPr/>
    </w:tblStylePr>
    <w:tblStylePr w:type="firstRow">
      <w:rPr>
        <w:b/>
        <w:sz w:val="22"/>
      </w:rPr>
      <w:tblPr/>
      <w:tcPr>
        <w:shd w:val="clear" w:color="8DA9DB" w:fill="8DA9DB" w:themeFill="accent5"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38">
    <w:name w:val="List Table 3 - Accent 6"/>
    <w:basedOn w:val="1463"/>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band1Horz">
      <w:rPr>
        <w:sz w:val="22"/>
      </w:rPr>
      <w:tblPr/>
      <w:tcPr>
        <w:tcBorders>
          <w:top w:val="single" w:color="70AD47" w:themeColor="accent6" w:sz="4" w:space="0"/>
          <w:bottom w:val="single" w:color="70AD47" w:themeColor="accent6" w:sz="4" w:space="0"/>
        </w:tcBorders>
      </w:tcPr>
    </w:tblStylePr>
    <w:tblStylePr w:type="band1Vert">
      <w:rPr>
        <w:sz w:val="22"/>
      </w:rPr>
      <w:tblPr/>
      <w:tcPr>
        <w:tcBorders>
          <w:left w:val="single" w:color="70AD47" w:themeColor="accent6" w:sz="4" w:space="0"/>
          <w:right w:val="single" w:color="70AD47" w:themeColor="accent6" w:sz="4" w:space="0"/>
        </w:tcBorders>
      </w:tcPr>
    </w:tblStylePr>
    <w:tblStylePr w:type="band2Horz">
      <w:tblPr/>
    </w:tblStylePr>
    <w:tblStylePr w:type="band2Vert">
      <w:tblPr/>
    </w:tblStylePr>
    <w:tblStylePr w:type="firstCol">
      <w:rPr>
        <w:b/>
      </w:rPr>
      <w:tblPr/>
    </w:tblStylePr>
    <w:tblStylePr w:type="firstRow">
      <w:rPr>
        <w:b/>
        <w:sz w:val="22"/>
      </w:rPr>
      <w:tblPr/>
      <w:tcPr>
        <w:shd w:val="clear" w:color="A9D08E" w:fill="A9D08E" w:themeFill="accent6"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39">
    <w:name w:val="List Table 4"/>
    <w:basedOn w:val="146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0">
    <w:name w:val="List Table 4 - Accent 1"/>
    <w:basedOn w:val="1463"/>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1">
    <w:name w:val="List Table 4 - Accent 2"/>
    <w:basedOn w:val="1463"/>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sz w:val="22"/>
      </w:rPr>
      <w:tblPr/>
      <w:tcPr>
        <w:shd w:val="clear" w:color="ED7D31" w:fill="ED7D31" w:themeFill="accent2"/>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2">
    <w:name w:val="List Table 4 - Accent 3"/>
    <w:basedOn w:val="1463"/>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sz w:val="22"/>
      </w:rPr>
      <w:tblPr/>
      <w:tcPr>
        <w:shd w:val="clear" w:color="A5A5A5" w:fill="A5A5A5" w:themeFill="accent3"/>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3">
    <w:name w:val="List Table 4 - Accent 4"/>
    <w:basedOn w:val="1463"/>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sz w:val="22"/>
      </w:rPr>
      <w:tblPr/>
      <w:tcPr>
        <w:shd w:val="clear" w:color="FFC000" w:fill="FFC000" w:themeFill="accent4"/>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4">
    <w:name w:val="List Table 4 - Accent 5"/>
    <w:basedOn w:val="1463"/>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sz w:val="22"/>
      </w:rPr>
      <w:tblPr/>
      <w:tcPr>
        <w:shd w:val="clear" w:color="4472C4" w:fill="4472C4" w:themeFill="accent5"/>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5">
    <w:name w:val="List Table 4 - Accent 6"/>
    <w:basedOn w:val="1463"/>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sz w:val="22"/>
      </w:rPr>
      <w:tblPr/>
      <w:tcPr>
        <w:shd w:val="clear" w:color="70AD47" w:fill="70AD47" w:themeFill="accent6"/>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546">
    <w:name w:val="List Table 5 Dark"/>
    <w:basedOn w:val="146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000000" w:themeColor="text1" w:sz="32" w:space="0"/>
          <w:right w:val="single" w:color="FFFFFF" w:themeColor="light1" w:sz="4" w:space="0"/>
        </w:tcBorders>
      </w:tcPr>
    </w:tblStylePr>
    <w:tblStylePr w:type="firstRow">
      <w:rPr>
        <w:b/>
        <w:color w:val="000000"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Col">
      <w:tblPr/>
      <w:tcPr>
        <w:tcBorders>
          <w:left w:val="single" w:color="FFFFFF" w:themeColor="light1" w:sz="4" w:space="0"/>
          <w:right w:val="single" w:color="000000" w:themeColor="tex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7">
    <w:name w:val="List Table 5 Dark - Accent 1"/>
    <w:basedOn w:val="1463"/>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5B9BD5" w:fill="5B9BD5" w:themeFill="accent1"/>
      </w:tcPr>
    </w:tblStylePr>
    <w:tblStylePr w:type="band1Vert">
      <w:tblPr/>
      <w:tcPr>
        <w:tcBorders>
          <w:left w:val="single" w:color="FFFFFF" w:themeColor="light1" w:sz="4" w:space="0"/>
          <w:right w:val="single" w:color="FFFFFF" w:themeColor="light1" w:sz="4" w:space="0"/>
        </w:tcBorders>
        <w:shd w:val="clear" w:color="5B9BD5" w:fill="5B9BD5" w:themeFill="accent1"/>
      </w:tcPr>
    </w:tblStylePr>
    <w:tblStylePr w:type="band2Horz">
      <w:tblPr/>
      <w:tcPr>
        <w:tcBorders>
          <w:top w:val="single" w:color="FFFFFF" w:themeColor="light1" w:sz="4" w:space="0"/>
          <w:bottom w:val="single" w:color="FFFFFF" w:themeColor="light1" w:sz="4" w:space="0"/>
        </w:tcBorders>
        <w:shd w:val="clear" w:color="5B9BD5" w:fill="5B9BD5" w:themeFill="accent1"/>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5B9BD5" w:themeColor="accent1" w:sz="32" w:space="0"/>
          <w:right w:val="single" w:color="FFFFFF" w:themeColor="light1" w:sz="4" w:space="0"/>
        </w:tcBorders>
      </w:tcPr>
    </w:tblStylePr>
    <w:tblStylePr w:type="firstRow">
      <w:rPr>
        <w:b/>
        <w:color w:val="000000" w:themeColor="light1"/>
        <w:sz w:val="22"/>
      </w:rPr>
      <w:tblPr/>
      <w:tcPr>
        <w:tcBorders>
          <w:top w:val="single" w:color="5B9BD5" w:themeColor="accent1" w:sz="32" w:space="0"/>
          <w:bottom w:val="single" w:color="FFFFFF" w:themeColor="light1" w:sz="12" w:space="0"/>
        </w:tcBorders>
        <w:shd w:val="clear" w:color="5B9BD5" w:fill="5B9BD5" w:themeFill="accent1"/>
      </w:tcPr>
    </w:tblStylePr>
    <w:tblStylePr w:type="lastCol">
      <w:tblPr/>
      <w:tcPr>
        <w:tcBorders>
          <w:left w:val="single" w:color="FFFFFF" w:themeColor="light1" w:sz="4" w:space="0"/>
          <w:right w:val="single" w:color="5B9BD5" w:themeColor="accen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8">
    <w:name w:val="List Table 5 Dark - Accent 2"/>
    <w:basedOn w:val="1463"/>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4B184" w:fill="F4B184" w:themeFill="accent2" w:themeFillTint="97"/>
      </w:tcPr>
    </w:tblStylePr>
    <w:tblStylePr w:type="band1Vert">
      <w:tblPr/>
      <w:tcPr>
        <w:tcBorders>
          <w:left w:val="single" w:color="FFFFFF" w:themeColor="light1" w:sz="4" w:space="0"/>
          <w:right w:val="single" w:color="FFFFFF" w:themeColor="light1" w:sz="4" w:space="0"/>
        </w:tcBorders>
        <w:shd w:val="clear" w:color="F4B184" w:fill="F4B184" w:themeFill="accent2" w:themeFillTint="97"/>
      </w:tcPr>
    </w:tblStylePr>
    <w:tblStylePr w:type="band2Horz">
      <w:tblPr/>
      <w:tcPr>
        <w:tcBorders>
          <w:top w:val="single" w:color="FFFFFF" w:themeColor="light1" w:sz="4" w:space="0"/>
          <w:bottom w:val="single" w:color="FFFFFF" w:themeColor="light1" w:sz="4" w:space="0"/>
        </w:tcBorders>
        <w:shd w:val="clear" w:color="F4B184" w:fill="F4B184" w:themeFill="accent2" w:themeFillTint="97"/>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ED7D31" w:themeColor="accent2" w:sz="32" w:space="0"/>
          <w:right w:val="single" w:color="FFFFFF" w:themeColor="light1" w:sz="4" w:space="0"/>
        </w:tcBorders>
      </w:tcPr>
    </w:tblStylePr>
    <w:tblStylePr w:type="firstRow">
      <w:rPr>
        <w:b/>
        <w:color w:val="000000" w:themeColor="light1"/>
        <w:sz w:val="22"/>
      </w:rPr>
      <w:tblPr/>
      <w:tcPr>
        <w:tcBorders>
          <w:top w:val="single" w:color="ED7D31" w:themeColor="accent2" w:sz="32" w:space="0"/>
          <w:bottom w:val="single" w:color="FFFFFF" w:themeColor="light1" w:sz="12" w:space="0"/>
        </w:tcBorders>
        <w:shd w:val="clear" w:color="F4B184" w:fill="F4B184" w:themeFill="accent2" w:themeFillTint="97"/>
      </w:tcPr>
    </w:tblStylePr>
    <w:tblStylePr w:type="lastCol">
      <w:tblPr/>
      <w:tcPr>
        <w:tcBorders>
          <w:left w:val="single" w:color="FFFFFF" w:themeColor="light1" w:sz="4" w:space="0"/>
          <w:right w:val="single" w:color="ED7D31" w:themeColor="accent2"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49">
    <w:name w:val="List Table 5 Dark - Accent 3"/>
    <w:basedOn w:val="1463"/>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C9C9C9" w:fill="C9C9C9" w:themeFill="accent3" w:themeFillTint="98"/>
      </w:tcPr>
    </w:tblStylePr>
    <w:tblStylePr w:type="band1Vert">
      <w:tblPr/>
      <w:tcPr>
        <w:tcBorders>
          <w:left w:val="single" w:color="FFFFFF" w:themeColor="light1" w:sz="4" w:space="0"/>
          <w:right w:val="single" w:color="FFFFFF" w:themeColor="light1" w:sz="4" w:space="0"/>
        </w:tcBorders>
        <w:shd w:val="clear" w:color="C9C9C9"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A5A5A5" w:themeColor="accent3" w:sz="32" w:space="0"/>
          <w:right w:val="single" w:color="FFFFFF" w:themeColor="light1" w:sz="4" w:space="0"/>
        </w:tcBorders>
      </w:tcPr>
    </w:tblStylePr>
    <w:tblStylePr w:type="firstRow">
      <w:rPr>
        <w:b/>
        <w:color w:val="000000" w:themeColor="light1"/>
        <w:sz w:val="22"/>
      </w:rPr>
      <w:tblPr/>
      <w:tcPr>
        <w:tcBorders>
          <w:top w:val="single" w:color="A5A5A5" w:themeColor="accent3" w:sz="32" w:space="0"/>
          <w:bottom w:val="single" w:color="FFFFFF" w:themeColor="light1" w:sz="12" w:space="0"/>
        </w:tcBorders>
        <w:shd w:val="clear" w:color="C9C9C9" w:fill="C9C9C9" w:themeFill="accent3" w:themeFillTint="98"/>
      </w:tcPr>
    </w:tblStylePr>
    <w:tblStylePr w:type="lastCol">
      <w:tblPr/>
      <w:tcPr>
        <w:tcBorders>
          <w:left w:val="single" w:color="FFFFFF" w:themeColor="light1" w:sz="4" w:space="0"/>
          <w:right w:val="single" w:color="A5A5A5" w:themeColor="accent3"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0">
    <w:name w:val="List Table 5 Dark - Accent 4"/>
    <w:basedOn w:val="1463"/>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FD865" w:fill="FFD865" w:themeFill="accent4" w:themeFillTint="9a"/>
      </w:tcPr>
    </w:tblStylePr>
    <w:tblStylePr w:type="band1Vert">
      <w:tblPr/>
      <w:tcPr>
        <w:tcBorders>
          <w:left w:val="single" w:color="FFFFFF" w:themeColor="light1" w:sz="4" w:space="0"/>
          <w:right w:val="single" w:color="FFFFFF" w:themeColor="light1" w:sz="4" w:space="0"/>
        </w:tcBorders>
        <w:shd w:val="clear" w:color="FFD865" w:fill="FFD865" w:themeFill="accent4" w:themeFillTint="9a"/>
      </w:tcPr>
    </w:tblStylePr>
    <w:tblStylePr w:type="band2Horz">
      <w:tblPr/>
      <w:tcPr>
        <w:tcBorders>
          <w:top w:val="single" w:color="FFFFFF" w:themeColor="light1" w:sz="4" w:space="0"/>
          <w:bottom w:val="single" w:color="FFFFFF" w:themeColor="light1" w:sz="4" w:space="0"/>
        </w:tcBorders>
        <w:shd w:val="clear" w:color="FFD865" w:fill="FFD865" w:themeFill="accent4"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FFC000" w:themeColor="accent4" w:sz="32" w:space="0"/>
          <w:right w:val="single" w:color="FFFFFF" w:themeColor="light1" w:sz="4" w:space="0"/>
        </w:tcBorders>
      </w:tcPr>
    </w:tblStylePr>
    <w:tblStylePr w:type="firstRow">
      <w:rPr>
        <w:b/>
        <w:color w:val="000000" w:themeColor="light1"/>
        <w:sz w:val="22"/>
      </w:rPr>
      <w:tblPr/>
      <w:tcPr>
        <w:tcBorders>
          <w:top w:val="single" w:color="FFC000" w:themeColor="accent4" w:sz="32" w:space="0"/>
          <w:bottom w:val="single" w:color="FFFFFF" w:themeColor="light1" w:sz="12" w:space="0"/>
        </w:tcBorders>
        <w:shd w:val="clear" w:color="FFD865" w:fill="FFD865" w:themeFill="accent4" w:themeFillTint="9a"/>
      </w:tcPr>
    </w:tblStylePr>
    <w:tblStylePr w:type="lastCol">
      <w:tblPr/>
      <w:tcPr>
        <w:tcBorders>
          <w:left w:val="single" w:color="FFFFFF" w:themeColor="light1" w:sz="4" w:space="0"/>
          <w:right w:val="single" w:color="FFC000" w:themeColor="accent4"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1">
    <w:name w:val="List Table 5 Dark - Accent 5"/>
    <w:basedOn w:val="1463"/>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8DA9DB" w:fill="8DA9DB" w:themeFill="accent5" w:themeFillTint="9a"/>
      </w:tcPr>
    </w:tblStylePr>
    <w:tblStylePr w:type="band1Vert">
      <w:tblPr/>
      <w:tcPr>
        <w:tcBorders>
          <w:left w:val="single" w:color="FFFFFF" w:themeColor="light1" w:sz="4" w:space="0"/>
          <w:right w:val="single" w:color="FFFFFF" w:themeColor="light1" w:sz="4" w:space="0"/>
        </w:tcBorders>
        <w:shd w:val="clear" w:color="8DA9DB" w:fill="8DA9DB" w:themeFill="accent5" w:themeFillTint="9a"/>
      </w:tcPr>
    </w:tblStylePr>
    <w:tblStylePr w:type="band2Horz">
      <w:tblPr/>
      <w:tcPr>
        <w:tcBorders>
          <w:top w:val="single" w:color="FFFFFF" w:themeColor="light1" w:sz="4" w:space="0"/>
          <w:bottom w:val="single" w:color="FFFFFF" w:themeColor="light1" w:sz="4" w:space="0"/>
        </w:tcBorders>
        <w:shd w:val="clear" w:color="8DA9DB" w:fill="8DA9DB" w:themeFill="accent5"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4472C4" w:themeColor="accent5" w:sz="32" w:space="0"/>
          <w:right w:val="single" w:color="FFFFFF" w:themeColor="light1" w:sz="4" w:space="0"/>
        </w:tcBorders>
      </w:tcPr>
    </w:tblStylePr>
    <w:tblStylePr w:type="firstRow">
      <w:rPr>
        <w:b/>
        <w:color w:val="000000" w:themeColor="light1"/>
        <w:sz w:val="22"/>
      </w:rPr>
      <w:tblPr/>
      <w:tcPr>
        <w:tcBorders>
          <w:top w:val="single" w:color="4472C4" w:themeColor="accent5" w:sz="32" w:space="0"/>
          <w:bottom w:val="single" w:color="FFFFFF" w:themeColor="light1" w:sz="12" w:space="0"/>
        </w:tcBorders>
        <w:shd w:val="clear" w:color="8DA9DB" w:fill="8DA9DB" w:themeFill="accent5" w:themeFillTint="9a"/>
      </w:tcPr>
    </w:tblStylePr>
    <w:tblStylePr w:type="lastCol">
      <w:tblPr/>
      <w:tcPr>
        <w:tcBorders>
          <w:left w:val="single" w:color="FFFFFF" w:themeColor="light1" w:sz="4" w:space="0"/>
          <w:right w:val="single" w:color="4472C4" w:themeColor="accent5"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2">
    <w:name w:val="List Table 5 Dark - Accent 6"/>
    <w:basedOn w:val="1463"/>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A9D08E" w:fill="A9D08E" w:themeFill="accent6" w:themeFillTint="98"/>
      </w:tcPr>
    </w:tblStylePr>
    <w:tblStylePr w:type="band1Vert">
      <w:tblPr/>
      <w:tcPr>
        <w:tcBorders>
          <w:left w:val="single" w:color="FFFFFF" w:themeColor="light1" w:sz="4" w:space="0"/>
          <w:right w:val="single" w:color="FFFFFF" w:themeColor="light1" w:sz="4" w:space="0"/>
        </w:tcBorders>
        <w:shd w:val="clear" w:color="A9D08E"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70AD47" w:themeColor="accent6" w:sz="32" w:space="0"/>
          <w:right w:val="single" w:color="FFFFFF" w:themeColor="light1" w:sz="4" w:space="0"/>
        </w:tcBorders>
      </w:tcPr>
    </w:tblStylePr>
    <w:tblStylePr w:type="firstRow">
      <w:rPr>
        <w:b/>
        <w:color w:val="000000" w:themeColor="light1"/>
        <w:sz w:val="22"/>
      </w:rPr>
      <w:tblPr/>
      <w:tcPr>
        <w:tcBorders>
          <w:top w:val="single" w:color="70AD47" w:themeColor="accent6" w:sz="32" w:space="0"/>
          <w:bottom w:val="single" w:color="FFFFFF" w:themeColor="light1" w:sz="12" w:space="0"/>
        </w:tcBorders>
        <w:shd w:val="clear" w:color="A9D08E" w:fill="A9D08E" w:themeFill="accent6" w:themeFillTint="98"/>
      </w:tcPr>
    </w:tblStylePr>
    <w:tblStylePr w:type="lastCol">
      <w:tblPr/>
      <w:tcPr>
        <w:tcBorders>
          <w:left w:val="single" w:color="FFFFFF" w:themeColor="light1" w:sz="4" w:space="0"/>
          <w:right w:val="single" w:color="70AD47" w:themeColor="accent6"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553">
    <w:name w:val="List Table 6 Colorful"/>
    <w:basedOn w:val="1463"/>
    <w:uiPriority w:val="99"/>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band1Horz">
      <w:rPr>
        <w:color w:val="000000" w:themeColor="text1"/>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sz w:val="22"/>
      </w:rPr>
      <w:tblPr/>
    </w:tblStylePr>
    <w:tblStylePr w:type="band2Vert">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4">
    <w:name w:val="List Table 6 Colorful - Accent 1"/>
    <w:basedOn w:val="1463"/>
    <w:uiPriority w:val="99"/>
    <w:tblPr>
      <w:tblStyleRowBandSize w:val="1"/>
      <w:tblStyleColBandSize w:val="1"/>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rPr>
        <w:b/>
        <w:color w:val="000000" w:themeColor="accent1" w:themeShade="95"/>
      </w:rPr>
      <w:tblPr/>
    </w:tblStylePr>
    <w:tblStylePr w:type="firstRow">
      <w:rPr>
        <w:b/>
        <w:color w:val="000000" w:themeColor="accent1" w:themeShade="95"/>
      </w:rPr>
      <w:tblPr/>
      <w:tcPr>
        <w:tcBorders>
          <w:bottom w:val="single" w:color="5B9BD5" w:themeColor="accent1" w:sz="4" w:space="0"/>
        </w:tcBorders>
      </w:tcPr>
    </w:tblStylePr>
    <w:tblStylePr w:type="lastCol">
      <w:rPr>
        <w:b/>
        <w:color w:val="000000" w:themeColor="accent1" w:themeShade="95"/>
      </w:rPr>
      <w:tblPr/>
    </w:tblStylePr>
    <w:tblStylePr w:type="lastRow">
      <w:rPr>
        <w:b/>
        <w:color w:val="000000" w:themeColor="accent1" w:themeShade="95"/>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5">
    <w:name w:val="List Table 6 Colorful - Accent 2"/>
    <w:basedOn w:val="1463"/>
    <w:uiPriority w:val="99"/>
    <w:tblPr>
      <w:tblStyleRowBandSize w:val="1"/>
      <w:tblStyleColBandSize w:val="1"/>
      <w:tblBorders>
        <w:top w:val="single" w:color="F4B184" w:themeColor="accent2" w:themeTint="97" w:sz="4" w:space="0"/>
        <w:bottom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4" w:space="0"/>
        </w:tcBorders>
      </w:tcPr>
    </w:tblStylePr>
    <w:tblStylePr w:type="lastCol">
      <w:rPr>
        <w:b/>
        <w:color w:val="000000" w:themeColor="accent2" w:themeTint="97" w:themeShade="95"/>
      </w:rPr>
      <w:tblPr/>
    </w:tblStylePr>
    <w:tblStylePr w:type="lastRow">
      <w:rPr>
        <w:b/>
        <w:color w:val="000000" w:themeColor="accent2" w:themeTint="97" w:themeShade="95"/>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6">
    <w:name w:val="List Table 6 Colorful - Accent 3"/>
    <w:basedOn w:val="1463"/>
    <w:uiPriority w:val="99"/>
    <w:tblPr>
      <w:tblStyleRowBandSize w:val="1"/>
      <w:tblStyleColBandSize w:val="1"/>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rPr>
        <w:b/>
        <w:color w:val="000000" w:themeColor="accent3" w:themeTint="98" w:themeShade="95"/>
      </w:rPr>
      <w:tblPr/>
    </w:tblStylePr>
    <w:tblStylePr w:type="firstRow">
      <w:rPr>
        <w:b/>
        <w:color w:val="000000" w:themeColor="accent3" w:themeTint="98" w:themeShade="95"/>
      </w:rPr>
      <w:tblPr/>
      <w:tcPr>
        <w:tcBorders>
          <w:bottom w:val="single" w:color="A5A5A5" w:themeColor="accent3" w:sz="4" w:space="0"/>
        </w:tcBorders>
      </w:tcPr>
    </w:tblStylePr>
    <w:tblStylePr w:type="lastCol">
      <w:rPr>
        <w:b/>
        <w:color w:val="000000" w:themeColor="accent3" w:themeTint="98" w:themeShade="95"/>
      </w:rPr>
      <w:tblPr/>
    </w:tblStylePr>
    <w:tblStylePr w:type="lastRow">
      <w:rPr>
        <w:b/>
        <w:color w:val="000000" w:themeColor="accent3" w:themeTint="98" w:themeShade="95"/>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7">
    <w:name w:val="List Table 6 Colorful - Accent 4"/>
    <w:basedOn w:val="1463"/>
    <w:uiPriority w:val="99"/>
    <w:tblPr>
      <w:tblStyleRowBandSize w:val="1"/>
      <w:tblStyleColBandSize w:val="1"/>
      <w:tblBorders>
        <w:top w:val="single" w:color="FFD865" w:themeColor="accent4" w:themeTint="9a" w:sz="4" w:space="0"/>
        <w:bottom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4" w:space="0"/>
        </w:tcBorders>
      </w:tcPr>
    </w:tblStylePr>
    <w:tblStylePr w:type="lastCol">
      <w:rPr>
        <w:b/>
        <w:color w:val="000000" w:themeColor="accent4" w:themeTint="9a" w:themeShade="95"/>
      </w:rPr>
      <w:tblPr/>
    </w:tblStylePr>
    <w:tblStylePr w:type="lastRow">
      <w:rPr>
        <w:b/>
        <w:color w:val="000000" w:themeColor="accent4" w:themeTint="9a" w:themeShade="95"/>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8">
    <w:name w:val="List Table 6 Colorful - Accent 5"/>
    <w:basedOn w:val="1463"/>
    <w:uiPriority w:val="99"/>
    <w:tblPr>
      <w:tblStyleRowBandSize w:val="1"/>
      <w:tblStyleColBandSize w:val="1"/>
      <w:tblBorders>
        <w:top w:val="single" w:color="8DA9DB" w:themeColor="accent5" w:themeTint="9a" w:sz="4" w:space="0"/>
        <w:bottom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rPr>
        <w:b/>
        <w:color w:val="000000" w:themeColor="accent5" w:themeTint="9a" w:themeShade="95"/>
      </w:rPr>
      <w:tblPr/>
    </w:tblStylePr>
    <w:tblStylePr w:type="firstRow">
      <w:rPr>
        <w:b/>
        <w:color w:val="000000" w:themeColor="accent5" w:themeTint="9a" w:themeShade="95"/>
      </w:rPr>
      <w:tblPr/>
      <w:tcPr>
        <w:tcBorders>
          <w:bottom w:val="single" w:color="4472C4" w:themeColor="accent5" w:sz="4" w:space="0"/>
        </w:tcBorders>
      </w:tcPr>
    </w:tblStylePr>
    <w:tblStylePr w:type="lastCol">
      <w:rPr>
        <w:b/>
        <w:color w:val="000000" w:themeColor="accent5" w:themeTint="9a" w:themeShade="95"/>
      </w:rPr>
      <w:tblPr/>
    </w:tblStylePr>
    <w:tblStylePr w:type="lastRow">
      <w:rPr>
        <w:b/>
        <w:color w:val="000000" w:themeColor="accent5" w:themeTint="9a" w:themeShade="95"/>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59">
    <w:name w:val="List Table 6 Colorful - Accent 6"/>
    <w:basedOn w:val="1463"/>
    <w:uiPriority w:val="99"/>
    <w:tblPr>
      <w:tblStyleRowBandSize w:val="1"/>
      <w:tblStyleColBandSize w:val="1"/>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rPr>
        <w:b/>
        <w:color w:val="000000" w:themeColor="accent6" w:themeTint="98" w:themeShade="95"/>
      </w:rPr>
      <w:tblPr/>
    </w:tblStylePr>
    <w:tblStylePr w:type="firstRow">
      <w:rPr>
        <w:b/>
        <w:color w:val="000000" w:themeColor="accent6" w:themeTint="98" w:themeShade="95"/>
      </w:rPr>
      <w:tblPr/>
      <w:tcPr>
        <w:tcBorders>
          <w:bottom w:val="single" w:color="70AD47" w:themeColor="accent6" w:sz="4" w:space="0"/>
        </w:tcBorders>
      </w:tcPr>
    </w:tblStylePr>
    <w:tblStylePr w:type="lastCol">
      <w:rPr>
        <w:b/>
        <w:color w:val="000000" w:themeColor="accent6" w:themeTint="98" w:themeShade="95"/>
      </w:rPr>
      <w:tblPr/>
    </w:tblStylePr>
    <w:tblStylePr w:type="lastRow">
      <w:rPr>
        <w:b/>
        <w:color w:val="000000" w:themeColor="accent6" w:themeTint="98" w:themeShade="95"/>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60">
    <w:name w:val="List Table 7 Colorful"/>
    <w:basedOn w:val="1463"/>
    <w:uiPriority w:val="99"/>
    <w:tblPr>
      <w:tblStyleRowBandSize w:val="1"/>
      <w:tblStyleColBandSize w:val="1"/>
      <w:tblBorders>
        <w:right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i/>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i/>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1">
    <w:name w:val="List Table 7 Colorful - Accent 1"/>
    <w:basedOn w:val="1463"/>
    <w:uiPriority w:val="99"/>
    <w:tblPr>
      <w:tblStyleRowBandSize w:val="1"/>
      <w:tblStyleColBandSize w:val="1"/>
      <w:tblBorders>
        <w:right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pPr>
        <w:jc w:val="right"/>
      </w:pPr>
      <w:rPr>
        <w:i/>
        <w:color w:val="000000" w:themeColor="accent1"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i/>
        <w:color w:val="000000" w:themeColor="accent1"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i/>
        <w:color w:val="000000" w:themeColor="accent1"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2">
    <w:name w:val="List Table 7 Colorful - Accent 2"/>
    <w:basedOn w:val="1463"/>
    <w:uiPriority w:val="99"/>
    <w:tblPr>
      <w:tblStyleRowBandSize w:val="1"/>
      <w:tblStyleColBandSize w:val="1"/>
      <w:tblBorders>
        <w:right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i/>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i/>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3">
    <w:name w:val="List Table 7 Colorful - Accent 3"/>
    <w:basedOn w:val="1463"/>
    <w:uiPriority w:val="99"/>
    <w:tblPr>
      <w:tblStyleRowBandSize w:val="1"/>
      <w:tblStyleColBandSize w:val="1"/>
      <w:tblBorders>
        <w:right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pPr>
        <w:jc w:val="right"/>
      </w:pPr>
      <w:rPr>
        <w:i/>
        <w:color w:val="000000" w:themeColor="accent3" w:themeTint="98"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i/>
        <w:color w:val="000000" w:themeColor="accent3" w:themeTint="98"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98"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i/>
        <w:color w:val="000000" w:themeColor="accent3" w:themeTint="98"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4">
    <w:name w:val="List Table 7 Colorful - Accent 4"/>
    <w:basedOn w:val="1463"/>
    <w:uiPriority w:val="99"/>
    <w:tblPr>
      <w:tblStyleRowBandSize w:val="1"/>
      <w:tblStyleColBandSize w:val="1"/>
      <w:tblBorders>
        <w:right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i/>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i/>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5">
    <w:name w:val="List Table 7 Colorful - Accent 5"/>
    <w:basedOn w:val="1463"/>
    <w:uiPriority w:val="99"/>
    <w:tblPr>
      <w:tblStyleRowBandSize w:val="1"/>
      <w:tblStyleColBandSize w:val="1"/>
      <w:tblBorders>
        <w:right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pPr>
        <w:jc w:val="right"/>
      </w:pPr>
      <w:rPr>
        <w:i/>
        <w:color w:val="000000" w:themeColor="accent5" w:themeTint="9a"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i/>
        <w:color w:val="000000" w:themeColor="accent5" w:themeTint="9a"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Tint="9a"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i/>
        <w:color w:val="000000" w:themeColor="accent5" w:themeTint="9a"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6">
    <w:name w:val="List Table 7 Colorful - Accent 6"/>
    <w:basedOn w:val="1463"/>
    <w:uiPriority w:val="99"/>
    <w:tblPr>
      <w:tblStyleRowBandSize w:val="1"/>
      <w:tblStyleColBandSize w:val="1"/>
      <w:tblBorders>
        <w:right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pPr>
        <w:jc w:val="right"/>
      </w:pPr>
      <w:rPr>
        <w:i/>
        <w:color w:val="000000" w:themeColor="accent6" w:themeTint="98"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i/>
        <w:color w:val="000000" w:themeColor="accent6" w:themeTint="98"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Tint="98"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i/>
        <w:color w:val="000000" w:themeColor="accent6" w:themeTint="98"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7">
    <w:name w:val="Lined - Accent"/>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8">
    <w:name w:val="Lined - Accent 1"/>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69">
    <w:name w:val="Lined - Accent 2"/>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0">
    <w:name w:val="Lined - Accent 3"/>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1">
    <w:name w:val="Lined - Accent 4"/>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2">
    <w:name w:val="Lined - Accent 5"/>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3">
    <w:name w:val="Lined - Accent 6"/>
    <w:basedOn w:val="1463"/>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4">
    <w:name w:val="Bordered &amp; Lined - Accent"/>
    <w:basedOn w:val="1463"/>
    <w:uiPriority w:val="99"/>
    <w:rPr>
      <w:sz w:val="20"/>
      <w:szCs w:val="20"/>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5">
    <w:name w:val="Bordered &amp; Lined - Accent 1"/>
    <w:basedOn w:val="1463"/>
    <w:uiPriority w:val="99"/>
    <w:rPr>
      <w:sz w:val="20"/>
      <w:szCs w:val="20"/>
      <w:lang w:eastAsia="pt-BR"/>
    </w:r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insideH w:val="single" w:color="5B9BD5" w:themeColor="accent1" w:sz="4" w:space="0"/>
        <w:insideV w:val="single" w:color="5B9BD5" w:themeColor="accent1"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6">
    <w:name w:val="Bordered &amp; Lined - Accent 2"/>
    <w:basedOn w:val="1463"/>
    <w:uiPriority w:val="99"/>
    <w:rPr>
      <w:sz w:val="20"/>
      <w:szCs w:val="20"/>
      <w:lang w:eastAsia="pt-BR"/>
    </w:rPr>
    <w:tblPr>
      <w:tblStyleRowBandSize w:val="1"/>
      <w:tblStyleColBandSize w:val="1"/>
      <w:tblBorders>
        <w:top w:val="single" w:color="ED7D31" w:themeColor="accent2" w:sz="4" w:space="0"/>
        <w:left w:val="single" w:color="ED7D31" w:themeColor="accent2" w:sz="4" w:space="0"/>
        <w:bottom w:val="single" w:color="ED7D31" w:themeColor="accent2" w:sz="4" w:space="0"/>
        <w:right w:val="single" w:color="ED7D31" w:themeColor="accent2" w:sz="4" w:space="0"/>
        <w:insideH w:val="single" w:color="ED7D31" w:themeColor="accent2" w:sz="4" w:space="0"/>
        <w:insideV w:val="single" w:color="ED7D31" w:themeColor="accent2"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7">
    <w:name w:val="Bordered &amp; Lined - Accent 3"/>
    <w:basedOn w:val="1463"/>
    <w:uiPriority w:val="99"/>
    <w:rPr>
      <w:sz w:val="20"/>
      <w:szCs w:val="20"/>
      <w:lang w:eastAsia="pt-BR"/>
    </w:r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8">
    <w:name w:val="Bordered &amp; Lined - Accent 4"/>
    <w:basedOn w:val="1463"/>
    <w:uiPriority w:val="99"/>
    <w:rPr>
      <w:sz w:val="20"/>
      <w:szCs w:val="20"/>
      <w:lang w:eastAsia="pt-BR"/>
    </w:rPr>
    <w:tblPr>
      <w:tblStyleRowBandSize w:val="1"/>
      <w:tblStyleColBandSize w:val="1"/>
      <w:tblBorders>
        <w:top w:val="single" w:color="FFC000" w:themeColor="accent4" w:sz="4" w:space="0"/>
        <w:left w:val="single" w:color="FFC000" w:themeColor="accent4" w:sz="4" w:space="0"/>
        <w:bottom w:val="single" w:color="FFC000" w:themeColor="accent4" w:sz="4" w:space="0"/>
        <w:right w:val="single" w:color="FFC000" w:themeColor="accent4" w:sz="4" w:space="0"/>
        <w:insideH w:val="single" w:color="FFC000" w:themeColor="accent4" w:sz="4" w:space="0"/>
        <w:insideV w:val="single" w:color="FFC000" w:themeColor="accent4"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79">
    <w:name w:val="Bordered &amp; Lined - Accent 5"/>
    <w:basedOn w:val="1463"/>
    <w:uiPriority w:val="99"/>
    <w:rPr>
      <w:sz w:val="20"/>
      <w:szCs w:val="20"/>
      <w:lang w:eastAsia="pt-BR"/>
    </w:r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0">
    <w:name w:val="Bordered &amp; Lined - Accent 6"/>
    <w:basedOn w:val="1463"/>
    <w:uiPriority w:val="99"/>
    <w:rPr>
      <w:sz w:val="20"/>
      <w:szCs w:val="20"/>
      <w:lang w:eastAsia="pt-BR"/>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1">
    <w:name w:val="Bordered"/>
    <w:basedOn w:val="146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text1" w:sz="12" w:space="0"/>
        </w:tcBorders>
      </w:tcPr>
    </w:tblStylePr>
    <w:tblStylePr w:type="lastCol">
      <w:rPr>
        <w:sz w:val="22"/>
      </w:rPr>
      <w:tblPr/>
      <w:tcPr>
        <w:tcBorders>
          <w:left w:val="single" w:color="000000" w:themeColor="text1" w:sz="12" w:space="0"/>
        </w:tcBorders>
      </w:tcPr>
    </w:tblStylePr>
    <w:tblStylePr w:type="lastRow">
      <w:rPr>
        <w:sz w:val="22"/>
      </w:rPr>
      <w:tblPr/>
      <w:tcPr>
        <w:tcBorders>
          <w:top w:val="single" w:color="000000"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2">
    <w:name w:val="Bordered - Accent 1"/>
    <w:basedOn w:val="1463"/>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5B9BD5" w:themeColor="accent1" w:sz="12" w:space="0"/>
        </w:tcBorders>
      </w:tcPr>
    </w:tblStylePr>
    <w:tblStylePr w:type="lastCol">
      <w:rPr>
        <w:sz w:val="22"/>
      </w:rPr>
      <w:tblPr/>
      <w:tcPr>
        <w:tcBorders>
          <w:left w:val="single" w:color="5B9BD5" w:themeColor="accent1" w:sz="12" w:space="0"/>
        </w:tcBorders>
      </w:tcPr>
    </w:tblStylePr>
    <w:tblStylePr w:type="lastRow">
      <w:rPr>
        <w:sz w:val="22"/>
      </w:rPr>
      <w:tblPr/>
      <w:tcPr>
        <w:tcBorders>
          <w:top w:val="single" w:color="5B9BD5"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3">
    <w:name w:val="Bordered - Accent 2"/>
    <w:basedOn w:val="146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ED7D31" w:themeColor="accent2" w:sz="12" w:space="0"/>
        </w:tcBorders>
      </w:tcPr>
    </w:tblStylePr>
    <w:tblStylePr w:type="lastCol">
      <w:rPr>
        <w:sz w:val="22"/>
      </w:rPr>
      <w:tblPr/>
      <w:tcPr>
        <w:tcBorders>
          <w:left w:val="single" w:color="ED7D31" w:themeColor="accent2" w:sz="12" w:space="0"/>
        </w:tcBorders>
      </w:tcPr>
    </w:tblStylePr>
    <w:tblStylePr w:type="lastRow">
      <w:rPr>
        <w:sz w:val="22"/>
      </w:rPr>
      <w:tblPr/>
      <w:tcPr>
        <w:tcBorders>
          <w:top w:val="single" w:color="ED7D31"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4">
    <w:name w:val="Bordered - Accent 3"/>
    <w:basedOn w:val="146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A5A5A5" w:themeColor="accent3" w:sz="12" w:space="0"/>
        </w:tcBorders>
      </w:tcPr>
    </w:tblStylePr>
    <w:tblStylePr w:type="lastCol">
      <w:rPr>
        <w:sz w:val="22"/>
      </w:rPr>
      <w:tblPr/>
      <w:tcPr>
        <w:tcBorders>
          <w:left w:val="single" w:color="A5A5A5" w:themeColor="accent3" w:sz="12" w:space="0"/>
        </w:tcBorders>
      </w:tcPr>
    </w:tblStylePr>
    <w:tblStylePr w:type="lastRow">
      <w:rPr>
        <w:sz w:val="22"/>
      </w:rPr>
      <w:tblPr/>
      <w:tcPr>
        <w:tcBorders>
          <w:top w:val="single" w:color="A5A5A5"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5">
    <w:name w:val="Bordered - Accent 4"/>
    <w:basedOn w:val="146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FFC000" w:themeColor="accent4" w:sz="12" w:space="0"/>
        </w:tcBorders>
      </w:tcPr>
    </w:tblStylePr>
    <w:tblStylePr w:type="lastCol">
      <w:rPr>
        <w:sz w:val="22"/>
      </w:rPr>
      <w:tblPr/>
      <w:tcPr>
        <w:tcBorders>
          <w:left w:val="single" w:color="FFC000" w:themeColor="accent4" w:sz="12" w:space="0"/>
        </w:tcBorders>
      </w:tcPr>
    </w:tblStylePr>
    <w:tblStylePr w:type="lastRow">
      <w:rPr>
        <w:sz w:val="22"/>
      </w:rPr>
      <w:tblPr/>
      <w:tcPr>
        <w:tcBorders>
          <w:top w:val="single" w:color="FFC000"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6">
    <w:name w:val="Bordered - Accent 5"/>
    <w:basedOn w:val="1463"/>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4472C4" w:themeColor="accent5" w:sz="12" w:space="0"/>
        </w:tcBorders>
      </w:tcPr>
    </w:tblStylePr>
    <w:tblStylePr w:type="lastCol">
      <w:rPr>
        <w:sz w:val="22"/>
      </w:rPr>
      <w:tblPr/>
      <w:tcPr>
        <w:tcBorders>
          <w:left w:val="single" w:color="4472C4" w:themeColor="accent5" w:sz="12" w:space="0"/>
        </w:tcBorders>
      </w:tcPr>
    </w:tblStylePr>
    <w:tblStylePr w:type="lastRow">
      <w:rPr>
        <w:sz w:val="22"/>
      </w:rPr>
      <w:tblPr/>
      <w:tcPr>
        <w:tcBorders>
          <w:top w:val="single" w:color="4472C4"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587">
    <w:name w:val="Bordered - Accent 6"/>
    <w:basedOn w:val="146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70AD47" w:themeColor="accent6" w:sz="12" w:space="0"/>
        </w:tcBorders>
      </w:tcPr>
    </w:tblStylePr>
    <w:tblStylePr w:type="lastCol">
      <w:rPr>
        <w:sz w:val="22"/>
      </w:rPr>
      <w:tblPr/>
      <w:tcPr>
        <w:tcBorders>
          <w:left w:val="single" w:color="70AD47" w:themeColor="accent6" w:sz="12" w:space="0"/>
        </w:tcBorders>
      </w:tcPr>
    </w:tblStylePr>
    <w:tblStylePr w:type="lastRow">
      <w:rPr>
        <w:sz w:val="22"/>
      </w:rPr>
      <w:tblPr/>
      <w:tcPr>
        <w:tcBorders>
          <w:top w:val="single" w:color="70AD47"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588">
    <w:name w:val="Table Grid"/>
    <w:basedOn w:val="1463"/>
    <w:uiPriority w:val="39"/>
    <w:pPr>
      <w:spacing w:before="120" w:after="12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589">
    <w:name w:val="Plain Table 3"/>
    <w:basedOn w:val="1463"/>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Col">
      <w:rPr>
        <w:b/>
        <w:caps/>
      </w:rPr>
      <w:tblPr/>
    </w:tblStylePr>
    <w:tblStylePr w:type="lastRow">
      <w:rPr>
        <w:b/>
        <w:caps/>
      </w:rPr>
      <w:tbl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gov.br/compras" TargetMode="External"/><Relationship Id="rId4" Type="http://schemas.openxmlformats.org/officeDocument/2006/relationships/hyperlink" Target="https://transparencia.betha.cloud/"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8213cons.htm" TargetMode="External"/><Relationship Id="rId13" Type="http://schemas.openxmlformats.org/officeDocument/2006/relationships/hyperlink" Target="https://normas.leg.br/?urn=urn:lex:br:federal:constituicao:1988-10-05;1988"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header" Target="header3.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oter" Target="footer3.xm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86" Type="http://schemas.openxmlformats.org/officeDocument/2006/relationships/hyperlink" Target="https://www.planalto.gov.br/ccivil_03/_ato2011-2014/2012/decreto/d7724.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eader" Target="header4.xml"/><Relationship Id="rId90" Type="http://schemas.openxmlformats.org/officeDocument/2006/relationships/header" Target="header5.xml"/><Relationship Id="rId91" Type="http://schemas.openxmlformats.org/officeDocument/2006/relationships/header" Target="header6.xml"/><Relationship Id="rId92" Type="http://schemas.openxmlformats.org/officeDocument/2006/relationships/footer" Target="footer4.xml"/><Relationship Id="rId93" Type="http://schemas.openxmlformats.org/officeDocument/2006/relationships/footer" Target="footer5.xml"/><Relationship Id="rId94" Type="http://schemas.openxmlformats.org/officeDocument/2006/relationships/footer" Target="footer6.xml"/><Relationship Id="rId95" Type="http://schemas.openxmlformats.org/officeDocument/2006/relationships/numbering" Target="numbering.xml"/><Relationship Id="rId96" Type="http://schemas.openxmlformats.org/officeDocument/2006/relationships/fontTable" Target="fontTable.xml"/><Relationship Id="rId97" Type="http://schemas.openxmlformats.org/officeDocument/2006/relationships/settings" Target="settings.xml"/><Relationship Id="rId9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Arial" pitchFamily="0" charset="1"/>
        <a:cs typeface="Arial" pitchFamily="0" charset="1"/>
      </a:majorFont>
      <a:minorFont>
        <a:latin typeface="Calibri" pitchFamily="0" charset="1"/>
        <a:ea typeface="Arial" pitchFamily="0" charset="1"/>
        <a:cs typeface="Arial" pitchFamily="0" charset="1"/>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TotalTime>
  <Application>LibreOffice/25.8.6.2$Windows_X86_64 LibreOffice_project/b4b39682cd9868fa725bc664aff94278d315bd04</Application>
  <AppVersion>15.0000</AppVersion>
  <Pages>44</Pages>
  <Words>13402</Words>
  <Characters>75507</Characters>
  <CharactersWithSpaces>88409</CharactersWithSpaces>
  <Paragraphs>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2025-07-11T12:26:00Z</dcterms:created>
  <dc:creator>Conta da Microsoft</dc:creator>
  <dc:description/>
  <dc:language>pt-BR</dc:language>
  <cp:lastModifiedBy/>
  <dcterms:modified xsi:type="dcterms:W3CDTF">2026-06-03T15:34:18Z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file>