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744EDD" w:rsidRDefault="00CA6F9F" w:rsidP="00536CF4">
      <w:pPr>
        <w:jc w:val="center"/>
        <w:rPr>
          <w:rFonts w:ascii="Verdana" w:hAnsi="Verdana" w:cs="Arial"/>
          <w:b/>
          <w:i/>
          <w:szCs w:val="20"/>
        </w:rPr>
      </w:pPr>
      <w:r w:rsidRPr="00744EDD">
        <w:rPr>
          <w:rFonts w:ascii="Verdana" w:hAnsi="Verdana" w:cs="Arial"/>
          <w:b/>
          <w:i/>
          <w:szCs w:val="20"/>
        </w:rPr>
        <w:t>PREFEITURA MUNICIPAL DE RUY BARBOSA</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PREGÃO ELETRÔNICO Nº </w:t>
      </w:r>
      <w:r w:rsidR="001F11A4">
        <w:rPr>
          <w:rFonts w:ascii="Verdana" w:hAnsi="Verdana" w:cs="Arial"/>
          <w:b/>
          <w:szCs w:val="20"/>
        </w:rPr>
        <w:t>015/2024</w:t>
      </w:r>
      <w:r w:rsidRPr="00AC785D">
        <w:rPr>
          <w:rFonts w:ascii="Verdana" w:hAnsi="Verdana" w:cs="Arial"/>
          <w:b/>
          <w:szCs w:val="20"/>
        </w:rPr>
        <w:t>.</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(Processo Administrativo n° </w:t>
      </w:r>
      <w:r w:rsidR="006A18A8">
        <w:rPr>
          <w:rFonts w:ascii="Verdana" w:hAnsi="Verdana" w:cs="Arial"/>
          <w:b/>
          <w:szCs w:val="20"/>
        </w:rPr>
        <w:t>243</w:t>
      </w:r>
      <w:r w:rsidR="005847BF">
        <w:rPr>
          <w:rFonts w:ascii="Verdana" w:hAnsi="Verdana" w:cs="Arial"/>
          <w:b/>
          <w:szCs w:val="20"/>
        </w:rPr>
        <w:t>/2024</w:t>
      </w:r>
      <w:r w:rsidRPr="00AC785D">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000F6C90">
        <w:rPr>
          <w:rFonts w:ascii="Verdana" w:hAnsi="Verdana" w:cs="Arial"/>
          <w:bCs/>
          <w:szCs w:val="20"/>
        </w:rPr>
        <w:t>, por meio de</w:t>
      </w:r>
      <w:r w:rsidRPr="00CA6F9F">
        <w:rPr>
          <w:rFonts w:ascii="Verdana" w:hAnsi="Verdana" w:cs="Arial"/>
          <w:bCs/>
          <w:szCs w:val="20"/>
        </w:rPr>
        <w:t xml:space="preserve"> </w:t>
      </w:r>
      <w:r w:rsidR="000F6C90">
        <w:rPr>
          <w:rFonts w:ascii="Verdana" w:hAnsi="Verdana" w:cs="Arial"/>
          <w:bCs/>
          <w:szCs w:val="20"/>
        </w:rPr>
        <w:t>Luiz Claudio Miranda Pires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AC785D" w:rsidRDefault="00312A02" w:rsidP="00536CF4">
      <w:pPr>
        <w:rPr>
          <w:rFonts w:ascii="Verdana" w:hAnsi="Verdana" w:cs="Arial"/>
          <w:b/>
          <w:szCs w:val="20"/>
        </w:rPr>
      </w:pPr>
      <w:r w:rsidRPr="00AC785D">
        <w:rPr>
          <w:rFonts w:ascii="Verdana" w:hAnsi="Verdana" w:cs="Arial"/>
          <w:b/>
          <w:szCs w:val="20"/>
        </w:rPr>
        <w:t xml:space="preserve">PREGÃO ELETRÔNICO </w:t>
      </w:r>
      <w:r w:rsidRPr="001440CA">
        <w:rPr>
          <w:rFonts w:ascii="Verdana" w:hAnsi="Verdana" w:cs="Arial"/>
          <w:b/>
          <w:szCs w:val="20"/>
        </w:rPr>
        <w:t>Nº</w:t>
      </w:r>
      <w:r w:rsidRPr="001440CA">
        <w:rPr>
          <w:rFonts w:ascii="Verdana" w:hAnsi="Verdana" w:cs="Arial"/>
          <w:b/>
          <w:i/>
          <w:iCs/>
          <w:szCs w:val="20"/>
        </w:rPr>
        <w:t xml:space="preserve"> </w:t>
      </w:r>
      <w:r w:rsidR="001F11A4">
        <w:rPr>
          <w:rFonts w:ascii="Verdana" w:hAnsi="Verdana" w:cs="Arial"/>
          <w:b/>
          <w:i/>
          <w:iCs/>
          <w:szCs w:val="20"/>
        </w:rPr>
        <w:t>015/2024</w:t>
      </w:r>
    </w:p>
    <w:p w:rsidR="00312A02" w:rsidRPr="00744EDD" w:rsidRDefault="00312A02" w:rsidP="00536CF4">
      <w:pPr>
        <w:rPr>
          <w:rFonts w:ascii="Verdana" w:hAnsi="Verdana" w:cs="Arial"/>
          <w:bCs/>
          <w:szCs w:val="20"/>
        </w:rPr>
      </w:pPr>
      <w:r w:rsidRPr="00AC785D">
        <w:rPr>
          <w:rFonts w:ascii="Verdana" w:hAnsi="Verdana" w:cs="Arial"/>
          <w:b/>
          <w:szCs w:val="20"/>
        </w:rPr>
        <w:t xml:space="preserve">Data da sessão </w:t>
      </w:r>
      <w:r w:rsidRPr="00744EDD">
        <w:rPr>
          <w:rFonts w:ascii="Verdana" w:hAnsi="Verdana" w:cs="Arial"/>
          <w:b/>
          <w:szCs w:val="20"/>
        </w:rPr>
        <w:t>pública:</w:t>
      </w:r>
      <w:r w:rsidRPr="00744EDD">
        <w:rPr>
          <w:rFonts w:ascii="Verdana" w:hAnsi="Verdana" w:cs="Arial"/>
          <w:bCs/>
          <w:szCs w:val="20"/>
        </w:rPr>
        <w:t xml:space="preserve"> </w:t>
      </w:r>
      <w:r w:rsidR="003E0FDC">
        <w:rPr>
          <w:rFonts w:ascii="Verdana" w:hAnsi="Verdana" w:cs="Arial"/>
          <w:bCs/>
          <w:szCs w:val="20"/>
        </w:rPr>
        <w:t>11</w:t>
      </w:r>
      <w:r w:rsidRPr="00A0317D">
        <w:rPr>
          <w:rFonts w:ascii="Verdana" w:hAnsi="Verdana" w:cs="Arial"/>
          <w:b/>
          <w:i/>
          <w:iCs/>
          <w:szCs w:val="20"/>
        </w:rPr>
        <w:t>/</w:t>
      </w:r>
      <w:r w:rsidR="00744EDD" w:rsidRPr="00A0317D">
        <w:rPr>
          <w:rFonts w:ascii="Verdana" w:hAnsi="Verdana" w:cs="Arial"/>
          <w:b/>
          <w:i/>
          <w:iCs/>
          <w:szCs w:val="20"/>
        </w:rPr>
        <w:t>0</w:t>
      </w:r>
      <w:r w:rsidR="003E0FDC">
        <w:rPr>
          <w:rFonts w:ascii="Verdana" w:hAnsi="Verdana" w:cs="Arial"/>
          <w:b/>
          <w:i/>
          <w:iCs/>
          <w:szCs w:val="20"/>
        </w:rPr>
        <w:t>6</w:t>
      </w:r>
      <w:bookmarkStart w:id="0" w:name="_GoBack"/>
      <w:bookmarkEnd w:id="0"/>
      <w:r w:rsidR="00744EDD" w:rsidRPr="00744EDD">
        <w:rPr>
          <w:rFonts w:ascii="Verdana" w:hAnsi="Verdana" w:cs="Arial"/>
          <w:b/>
          <w:i/>
          <w:iCs/>
          <w:szCs w:val="20"/>
        </w:rPr>
        <w:t>/2024</w:t>
      </w:r>
      <w:r w:rsidRPr="00744EDD">
        <w:rPr>
          <w:rFonts w:ascii="Verdana" w:hAnsi="Verdana" w:cs="Arial"/>
          <w:b/>
          <w:i/>
          <w:iCs/>
          <w:szCs w:val="20"/>
        </w:rPr>
        <w:t>.</w:t>
      </w:r>
      <w:r w:rsidRPr="00744EDD">
        <w:rPr>
          <w:rFonts w:ascii="Verdana" w:hAnsi="Verdana" w:cs="Arial"/>
          <w:bCs/>
          <w:szCs w:val="20"/>
        </w:rPr>
        <w:t xml:space="preserve"> </w:t>
      </w:r>
    </w:p>
    <w:p w:rsidR="00312A02" w:rsidRPr="00744EDD" w:rsidRDefault="00312A02" w:rsidP="00536CF4">
      <w:pPr>
        <w:rPr>
          <w:rFonts w:ascii="Verdana" w:hAnsi="Verdana" w:cs="Arial"/>
          <w:bCs/>
          <w:szCs w:val="20"/>
        </w:rPr>
      </w:pPr>
      <w:r w:rsidRPr="00744EDD">
        <w:rPr>
          <w:rFonts w:ascii="Verdana" w:hAnsi="Verdana" w:cs="Arial"/>
          <w:b/>
          <w:szCs w:val="20"/>
        </w:rPr>
        <w:t>Horário da sessão pública</w:t>
      </w:r>
      <w:r w:rsidRPr="006A18A8">
        <w:rPr>
          <w:rFonts w:ascii="Verdana" w:hAnsi="Verdana" w:cs="Arial"/>
          <w:b/>
          <w:szCs w:val="20"/>
        </w:rPr>
        <w:t>:</w:t>
      </w:r>
      <w:r w:rsidRPr="006A18A8">
        <w:rPr>
          <w:rFonts w:ascii="Verdana" w:hAnsi="Verdana" w:cs="Arial"/>
          <w:b/>
          <w:bCs/>
          <w:szCs w:val="20"/>
        </w:rPr>
        <w:t xml:space="preserve"> de </w:t>
      </w:r>
      <w:r w:rsidR="00D938C0" w:rsidRPr="006A18A8">
        <w:rPr>
          <w:rFonts w:ascii="Verdana" w:hAnsi="Verdana" w:cs="Arial"/>
          <w:b/>
          <w:bCs/>
          <w:szCs w:val="20"/>
        </w:rPr>
        <w:t>08:30</w:t>
      </w:r>
      <w:r w:rsidRPr="006A18A8">
        <w:rPr>
          <w:rFonts w:ascii="Verdana" w:hAnsi="Verdana" w:cs="Arial"/>
          <w:b/>
          <w:bCs/>
          <w:szCs w:val="20"/>
        </w:rPr>
        <w:t>.</w:t>
      </w:r>
    </w:p>
    <w:p w:rsidR="00312A02" w:rsidRPr="00744EDD" w:rsidRDefault="00312A02" w:rsidP="00536CF4">
      <w:pPr>
        <w:rPr>
          <w:rFonts w:ascii="Verdana" w:hAnsi="Verdana" w:cs="Arial"/>
          <w:bCs/>
          <w:szCs w:val="20"/>
        </w:rPr>
      </w:pPr>
      <w:r w:rsidRPr="00744EDD">
        <w:rPr>
          <w:rFonts w:ascii="Verdana" w:hAnsi="Verdana" w:cs="Arial"/>
          <w:b/>
          <w:szCs w:val="20"/>
        </w:rPr>
        <w:t xml:space="preserve">Objeto: </w:t>
      </w:r>
      <w:r w:rsidR="001F11A4">
        <w:rPr>
          <w:rFonts w:ascii="Verdana" w:hAnsi="Verdana"/>
          <w:b/>
          <w:szCs w:val="20"/>
        </w:rPr>
        <w:t>REGISTRO DE PREÇO PARA AQUISIÇÃO DE POLTRONAS DIVERSAS PARA ATENDER AS NECESSIDADES DA SECRETARIA DE EDUCAÇÃO</w:t>
      </w:r>
      <w:r w:rsidR="006C4418">
        <w:rPr>
          <w:rFonts w:ascii="Verdana" w:hAnsi="Verdana"/>
          <w:b/>
          <w:szCs w:val="20"/>
        </w:rPr>
        <w:t>.</w:t>
      </w:r>
      <w:r w:rsidR="00744EDD" w:rsidRPr="00744EDD">
        <w:rPr>
          <w:rFonts w:ascii="Verdana" w:hAnsi="Verdana" w:cs="Arial"/>
          <w:b/>
          <w:bCs/>
          <w:i/>
          <w:szCs w:val="20"/>
        </w:rPr>
        <w:t xml:space="preserve"> </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7"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 w:name="_Toc138354308"/>
      <w:r w:rsidRPr="00AC785D">
        <w:rPr>
          <w:rFonts w:ascii="Verdana" w:hAnsi="Verdana" w:cs="Arial"/>
          <w:sz w:val="20"/>
          <w:szCs w:val="20"/>
        </w:rPr>
        <w:t>1. DO OBJETO</w:t>
      </w:r>
      <w:bookmarkEnd w:id="1"/>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1F11A4">
        <w:rPr>
          <w:rFonts w:ascii="Verdana" w:hAnsi="Verdana"/>
          <w:b/>
          <w:szCs w:val="20"/>
        </w:rPr>
        <w:t>REGISTRO DE PREÇO PARA AQUISIÇÃO DE POLTRONAS DIVERSAS PARA ATENDER AS NECESSIDADES DA SECRETARIA DE EDUCAÇÃO</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2" w:name="_Toc138354309"/>
      <w:r w:rsidRPr="00AC785D">
        <w:rPr>
          <w:rFonts w:ascii="Verdana" w:hAnsi="Verdana" w:cs="Arial"/>
          <w:color w:val="5B9BD5" w:themeColor="accent1"/>
          <w:sz w:val="20"/>
          <w:szCs w:val="20"/>
        </w:rPr>
        <w:t>2. DO REGISTRO DE PREÇOS</w:t>
      </w:r>
      <w:bookmarkEnd w:id="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3" w:name="_Toc138354310"/>
      <w:r w:rsidRPr="00AC785D">
        <w:rPr>
          <w:rFonts w:ascii="Verdana" w:hAnsi="Verdana" w:cs="Arial"/>
          <w:sz w:val="20"/>
          <w:szCs w:val="20"/>
        </w:rPr>
        <w:t>3. DA PARTICIPAÇÃO NA LICITAÇÃO</w:t>
      </w:r>
      <w:bookmarkEnd w:id="3"/>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lastRenderedPageBreak/>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4" w:name="_Ref113883579"/>
      <w:r w:rsidRPr="00AC785D">
        <w:rPr>
          <w:rFonts w:ascii="Verdana" w:hAnsi="Verdana"/>
        </w:rPr>
        <w:t>3.7.4. Empresas controladoras, controladas ou coligadas, nos termos da Lei nº 6.404, de 15 de dezembro de 1976, concorrendo entre si;</w:t>
      </w:r>
      <w:bookmarkEnd w:id="4"/>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5" w:name="_Ref113962336"/>
      <w:r w:rsidRPr="00AC785D">
        <w:rPr>
          <w:rFonts w:ascii="Verdana" w:hAnsi="Verdana"/>
        </w:rPr>
        <w:t>3.7.6. Agente público do órgão ou entidade licitante;</w:t>
      </w:r>
      <w:bookmarkEnd w:id="5"/>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lastRenderedPageBreak/>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3.8. O impedimento de que trata o item 3.7.2.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3.10. A vedação de que trata o item 3.7.6. estende-se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6" w:name="_Toc138354311"/>
      <w:r w:rsidRPr="00AC785D">
        <w:rPr>
          <w:rFonts w:ascii="Verdana" w:hAnsi="Verdana" w:cs="Arial"/>
          <w:sz w:val="20"/>
          <w:szCs w:val="20"/>
        </w:rPr>
        <w:t>4. DA APRESENTAÇÃO DA PROPOSTA E DOS DOCUMENTOS DE HABILITAÇÃO</w:t>
      </w:r>
      <w:bookmarkEnd w:id="6"/>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w:t>
      </w:r>
      <w:r w:rsidRPr="00AC785D">
        <w:rPr>
          <w:rFonts w:ascii="Verdana" w:hAnsi="Verdana" w:cs="Arial"/>
          <w:bCs/>
          <w:szCs w:val="20"/>
        </w:rPr>
        <w:lastRenderedPageBreak/>
        <w:t>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312A02" w:rsidP="00536CF4">
      <w:pPr>
        <w:pStyle w:val="Textodenotaderodap"/>
        <w:rPr>
          <w:rFonts w:ascii="Verdana" w:hAnsi="Verdana"/>
        </w:rPr>
      </w:pPr>
      <w:r w:rsidRPr="00AC785D">
        <w:rPr>
          <w:rFonts w:ascii="Verdana" w:hAnsi="Verdana"/>
        </w:rPr>
        <w:t xml:space="preserve">5.1. Será exigido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lastRenderedPageBreak/>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2"/>
      <w:r w:rsidRPr="00AC785D">
        <w:rPr>
          <w:rFonts w:ascii="Verdana" w:hAnsi="Verdana" w:cs="Arial"/>
          <w:sz w:val="20"/>
          <w:szCs w:val="20"/>
        </w:rPr>
        <w:t>6. DO PREENCHIMENTO DA PROPOSTA</w:t>
      </w:r>
      <w:bookmarkEnd w:id="7"/>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3"/>
      <w:r w:rsidRPr="00AC785D">
        <w:rPr>
          <w:rFonts w:ascii="Verdana" w:hAnsi="Verdana" w:cs="Arial"/>
          <w:sz w:val="20"/>
          <w:szCs w:val="20"/>
        </w:rPr>
        <w:t>7. DA ABERTURA DA SESSÃO, CLASSIFICAÇÃO DAS PROPOSTAS E FORMULAÇÃO DE LANCES</w:t>
      </w:r>
      <w:bookmarkEnd w:id="8"/>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m o.u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w:t>
      </w:r>
      <w:r w:rsidRPr="00AC785D">
        <w:rPr>
          <w:rFonts w:ascii="Verdana" w:hAnsi="Verdana" w:cs="Arial"/>
          <w:bCs/>
          <w:szCs w:val="20"/>
        </w:rPr>
        <w:lastRenderedPageBreak/>
        <w:t>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4"/>
      <w:r w:rsidRPr="00AC785D">
        <w:rPr>
          <w:rFonts w:ascii="Verdana" w:hAnsi="Verdana" w:cs="Arial"/>
          <w:sz w:val="20"/>
          <w:szCs w:val="20"/>
        </w:rPr>
        <w:t>8. DA FASE DE JULGAMENTO</w:t>
      </w:r>
      <w:bookmarkEnd w:id="9"/>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0" w:name="_Toc138354315"/>
      <w:r w:rsidRPr="00AC785D">
        <w:rPr>
          <w:rFonts w:ascii="Verdana" w:hAnsi="Verdana" w:cs="Arial"/>
          <w:sz w:val="20"/>
          <w:szCs w:val="20"/>
        </w:rPr>
        <w:t>9. DA FASE DE HABILITAÇÃO</w:t>
      </w:r>
      <w:bookmarkEnd w:id="10"/>
    </w:p>
    <w:p w:rsidR="00312A02" w:rsidRPr="00AC785D" w:rsidRDefault="00312A02" w:rsidP="00536CF4">
      <w:pPr>
        <w:rPr>
          <w:rFonts w:ascii="Verdana" w:hAnsi="Verdana" w:cs="Arial"/>
          <w:bCs/>
          <w:szCs w:val="20"/>
        </w:rPr>
      </w:pPr>
      <w:r w:rsidRPr="00AC785D">
        <w:rPr>
          <w:rFonts w:ascii="Verdana" w:hAnsi="Verdana" w:cs="Arial"/>
          <w:bCs/>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 xml:space="preserve">9.4. Quando permitida a participação de consórcio de empresas, a habilitação técnica, quando exigida, será feita por meio do somatório dos quantitativos de cada consorciado e, para efeito </w:t>
      </w:r>
      <w:r w:rsidRPr="00AC785D">
        <w:rPr>
          <w:rFonts w:ascii="Verdana" w:hAnsi="Verdana" w:cs="Arial"/>
          <w:bCs/>
          <w:szCs w:val="20"/>
        </w:rPr>
        <w:lastRenderedPageBreak/>
        <w:t>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1"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10.2.1. a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10.2.2. a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2" w:name="_Toc138354317"/>
      <w:r w:rsidRPr="00AC785D">
        <w:rPr>
          <w:rFonts w:ascii="Verdana" w:hAnsi="Verdana" w:cs="Arial"/>
          <w:color w:val="auto"/>
          <w:sz w:val="20"/>
          <w:szCs w:val="20"/>
        </w:rPr>
        <w:t>11. DA FORMAÇÃO DO CADASTRO DE RESERVA</w:t>
      </w:r>
      <w:bookmarkEnd w:id="1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dos licitantes </w:t>
      </w:r>
      <w:bookmarkStart w:id="13" w:name="_Hlk132991372"/>
      <w:r w:rsidRPr="00AC785D">
        <w:rPr>
          <w:rFonts w:ascii="Verdana" w:hAnsi="Verdana"/>
          <w:color w:val="auto"/>
        </w:rPr>
        <w:t xml:space="preserve">que </w:t>
      </w:r>
      <w:bookmarkStart w:id="14" w:name="_Hlk132989696"/>
      <w:r w:rsidRPr="00AC785D">
        <w:rPr>
          <w:rFonts w:ascii="Verdana" w:hAnsi="Verdana"/>
          <w:color w:val="auto"/>
        </w:rPr>
        <w:t>aceitarem cotar o objeto com preço igual ao do adjudicatári</w:t>
      </w:r>
      <w:bookmarkEnd w:id="13"/>
      <w:r w:rsidRPr="00AC785D">
        <w:rPr>
          <w:rFonts w:ascii="Verdana" w:hAnsi="Verdana"/>
          <w:color w:val="auto"/>
        </w:rPr>
        <w:t>o</w:t>
      </w:r>
      <w:bookmarkEnd w:id="14"/>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11.1.2. dos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11.3.1. quando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quando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lastRenderedPageBreak/>
        <w:t>11.4.1. convocar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11.4.2. adjudicar e firmar o contrato nas condições ofertadas pelos licitantes remanescentes, observada a ordem de classificação, quando frustrada a negociação de melhor condição.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5" w:name="_Toc138354318"/>
      <w:r w:rsidRPr="00AC785D">
        <w:rPr>
          <w:rFonts w:ascii="Verdana" w:hAnsi="Verdana" w:cs="Arial"/>
          <w:sz w:val="20"/>
          <w:szCs w:val="20"/>
        </w:rPr>
        <w:t>12. DOS RECURSOS</w:t>
      </w:r>
      <w:bookmarkEnd w:id="15"/>
    </w:p>
    <w:p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0"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AC785D" w:rsidRDefault="00312A02" w:rsidP="00536CF4">
      <w:pPr>
        <w:pStyle w:val="Ttulo1"/>
        <w:spacing w:before="0"/>
        <w:rPr>
          <w:rFonts w:ascii="Verdana" w:hAnsi="Verdana" w:cs="Arial"/>
          <w:sz w:val="20"/>
          <w:szCs w:val="20"/>
        </w:rPr>
      </w:pPr>
      <w:bookmarkStart w:id="16" w:name="_Toc138354319"/>
      <w:r w:rsidRPr="00AC785D">
        <w:rPr>
          <w:rFonts w:ascii="Verdana" w:hAnsi="Verdana" w:cs="Arial"/>
          <w:sz w:val="20"/>
          <w:szCs w:val="20"/>
        </w:rPr>
        <w:t>13. DAS INFRAÇÕES ADMINISTRATIVAS E SANÇÕES</w:t>
      </w:r>
      <w:bookmarkEnd w:id="16"/>
    </w:p>
    <w:p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13.3.3. as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C785D">
        <w:rPr>
          <w:rFonts w:ascii="Verdana" w:hAnsi="Verdana" w:cs="Arial"/>
          <w:bCs/>
          <w:szCs w:val="20"/>
        </w:rPr>
        <w:lastRenderedPageBreak/>
        <w:t xml:space="preserve">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7" w:name="_Toc138354320"/>
      <w:r w:rsidRPr="00AC785D">
        <w:rPr>
          <w:rFonts w:ascii="Verdana" w:hAnsi="Verdana" w:cs="Arial"/>
          <w:sz w:val="20"/>
          <w:szCs w:val="20"/>
        </w:rPr>
        <w:t>14. DA IMPUGNAÇÃO AO EDITAL E DO PEDIDO DE ESCLARECIMENTO</w:t>
      </w:r>
      <w:bookmarkEnd w:id="17"/>
    </w:p>
    <w:p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AC785D" w:rsidRDefault="00312A02" w:rsidP="00536CF4">
      <w:pPr>
        <w:pStyle w:val="Ttulo1"/>
        <w:spacing w:before="0"/>
        <w:rPr>
          <w:rFonts w:ascii="Verdana" w:hAnsi="Verdana" w:cs="Arial"/>
          <w:sz w:val="20"/>
          <w:szCs w:val="20"/>
        </w:rPr>
      </w:pPr>
      <w:bookmarkStart w:id="18" w:name="_Toc138354321"/>
      <w:r w:rsidRPr="00AC785D">
        <w:rPr>
          <w:rFonts w:ascii="Verdana" w:hAnsi="Verdana" w:cs="Arial"/>
          <w:sz w:val="20"/>
          <w:szCs w:val="20"/>
        </w:rPr>
        <w:t>15. DAS DISPOSIÇÕES GERAIS</w:t>
      </w:r>
      <w:bookmarkEnd w:id="18"/>
    </w:p>
    <w:p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1"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A0317D">
        <w:rPr>
          <w:rFonts w:ascii="Verdana" w:hAnsi="Verdana" w:cs="Arial"/>
          <w:szCs w:val="20"/>
        </w:rPr>
        <w:t>06</w:t>
      </w:r>
      <w:r w:rsidR="00312A02" w:rsidRPr="00607886">
        <w:rPr>
          <w:rFonts w:ascii="Verdana" w:hAnsi="Verdana" w:cs="Arial"/>
          <w:szCs w:val="20"/>
        </w:rPr>
        <w:t xml:space="preserve"> de </w:t>
      </w:r>
      <w:r w:rsidR="00A0317D">
        <w:rPr>
          <w:rFonts w:ascii="Verdana" w:hAnsi="Verdana" w:cs="Arial"/>
          <w:szCs w:val="20"/>
        </w:rPr>
        <w:t>maio</w:t>
      </w:r>
      <w:r w:rsidR="00312A02" w:rsidRPr="00AC785D">
        <w:rPr>
          <w:rFonts w:ascii="Verdana" w:hAnsi="Verdana" w:cs="Arial"/>
          <w:color w:val="FF0000"/>
          <w:szCs w:val="20"/>
        </w:rPr>
        <w:t xml:space="preserve"> </w:t>
      </w:r>
      <w:r w:rsidR="00312A02" w:rsidRPr="00AC785D">
        <w:rPr>
          <w:rFonts w:ascii="Verdana" w:hAnsi="Verdana" w:cs="Arial"/>
          <w:szCs w:val="20"/>
        </w:rPr>
        <w:t>de 20</w:t>
      </w:r>
      <w:r>
        <w:rPr>
          <w:rFonts w:ascii="Verdana" w:hAnsi="Verdana" w:cs="Arial"/>
          <w:szCs w:val="20"/>
        </w:rPr>
        <w:t>24</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AC785D" w:rsidRDefault="00312A02" w:rsidP="007C37F4">
      <w:pPr>
        <w:jc w:val="center"/>
        <w:rPr>
          <w:rFonts w:ascii="Verdana" w:hAnsi="Verdana" w:cs="Arial"/>
          <w:bCs/>
          <w:szCs w:val="20"/>
        </w:rPr>
      </w:pPr>
      <w:r w:rsidRPr="00AC785D">
        <w:rPr>
          <w:rFonts w:ascii="Verdana" w:hAnsi="Verdana" w:cs="Arial"/>
          <w:szCs w:val="20"/>
        </w:rPr>
        <w:t>Assinatura da autoridade competente</w:t>
      </w:r>
    </w:p>
    <w:p w:rsidR="007C37F4" w:rsidRPr="007C37F4" w:rsidRDefault="007C37F4" w:rsidP="007C37F4">
      <w:pPr>
        <w:jc w:val="center"/>
        <w:rPr>
          <w:rFonts w:ascii="Verdana" w:hAnsi="Verdana" w:cs="Arial"/>
          <w:bCs/>
          <w:szCs w:val="20"/>
        </w:rPr>
      </w:pPr>
    </w:p>
    <w:p w:rsidR="00AC785D" w:rsidRDefault="00AC785D" w:rsidP="00536CF4">
      <w:pPr>
        <w:rPr>
          <w:rFonts w:ascii="Verdana" w:hAnsi="Verdana"/>
          <w:szCs w:val="20"/>
        </w:rPr>
      </w:pPr>
    </w:p>
    <w:p w:rsidR="00F54AD7" w:rsidRDefault="00F54AD7" w:rsidP="00536CF4">
      <w:pPr>
        <w:jc w:val="center"/>
        <w:rPr>
          <w:rFonts w:ascii="Verdana" w:hAnsi="Verdana" w:cs="Arial"/>
          <w:b/>
          <w:sz w:val="16"/>
          <w:szCs w:val="16"/>
        </w:rPr>
      </w:pPr>
      <w:r w:rsidRPr="00BB705D">
        <w:rPr>
          <w:rFonts w:ascii="Verdana" w:hAnsi="Verdana" w:cs="Arial"/>
          <w:b/>
          <w:bCs/>
          <w:sz w:val="16"/>
          <w:szCs w:val="16"/>
        </w:rPr>
        <w:lastRenderedPageBreak/>
        <w:t xml:space="preserve">ANEXO I – </w:t>
      </w:r>
      <w:r w:rsidRPr="00BB705D">
        <w:rPr>
          <w:rFonts w:ascii="Verdana" w:hAnsi="Verdana" w:cs="Arial"/>
          <w:b/>
          <w:sz w:val="16"/>
          <w:szCs w:val="16"/>
        </w:rPr>
        <w:t>Termo de Referência</w:t>
      </w:r>
    </w:p>
    <w:p w:rsidR="00641577" w:rsidRPr="00BB705D" w:rsidRDefault="00641577" w:rsidP="00536CF4">
      <w:pPr>
        <w:jc w:val="center"/>
        <w:rPr>
          <w:rFonts w:ascii="Verdana" w:hAnsi="Verdana" w:cs="Arial"/>
          <w:b/>
          <w:sz w:val="16"/>
          <w:szCs w:val="16"/>
        </w:rPr>
      </w:pPr>
      <w:r>
        <w:rPr>
          <w:rFonts w:ascii="Verdana" w:hAnsi="Verdana" w:cs="Arial"/>
          <w:b/>
          <w:sz w:val="16"/>
          <w:szCs w:val="16"/>
        </w:rPr>
        <w:t xml:space="preserve">LOTE 01 </w:t>
      </w:r>
    </w:p>
    <w:p w:rsidR="00BB705D" w:rsidRDefault="00BB705D" w:rsidP="00BB705D">
      <w:pPr>
        <w:rPr>
          <w:rFonts w:ascii="Times New Roman"/>
        </w:rPr>
      </w:pPr>
    </w:p>
    <w:tbl>
      <w:tblPr>
        <w:tblStyle w:val="Tabelacomgrade"/>
        <w:tblW w:w="9067" w:type="dxa"/>
        <w:tblLook w:val="04A0" w:firstRow="1" w:lastRow="0" w:firstColumn="1" w:lastColumn="0" w:noHBand="0" w:noVBand="1"/>
      </w:tblPr>
      <w:tblGrid>
        <w:gridCol w:w="705"/>
        <w:gridCol w:w="4999"/>
        <w:gridCol w:w="822"/>
        <w:gridCol w:w="1267"/>
        <w:gridCol w:w="1274"/>
      </w:tblGrid>
      <w:tr w:rsidR="001F11A4" w:rsidTr="001F11A4">
        <w:tc>
          <w:tcPr>
            <w:tcW w:w="704" w:type="dxa"/>
            <w:vAlign w:val="center"/>
          </w:tcPr>
          <w:p w:rsidR="001F11A4" w:rsidRDefault="001F11A4" w:rsidP="001F11A4">
            <w:r>
              <w:rPr>
                <w:rStyle w:val="fontstyle01"/>
              </w:rPr>
              <w:t xml:space="preserve">ITEM </w:t>
            </w:r>
          </w:p>
        </w:tc>
        <w:tc>
          <w:tcPr>
            <w:tcW w:w="5103" w:type="dxa"/>
            <w:vAlign w:val="center"/>
          </w:tcPr>
          <w:p w:rsidR="001F11A4" w:rsidRDefault="001F11A4" w:rsidP="001F11A4">
            <w:r>
              <w:rPr>
                <w:rStyle w:val="fontstyle01"/>
              </w:rPr>
              <w:t xml:space="preserve">DESCRIÇÃO </w:t>
            </w:r>
          </w:p>
        </w:tc>
        <w:tc>
          <w:tcPr>
            <w:tcW w:w="709" w:type="dxa"/>
            <w:vAlign w:val="center"/>
          </w:tcPr>
          <w:p w:rsidR="001F11A4" w:rsidRDefault="001F11A4" w:rsidP="001F11A4">
            <w:r>
              <w:rPr>
                <w:rStyle w:val="fontstyle01"/>
              </w:rPr>
              <w:t xml:space="preserve">Quant. </w:t>
            </w:r>
          </w:p>
        </w:tc>
        <w:tc>
          <w:tcPr>
            <w:tcW w:w="1276" w:type="dxa"/>
            <w:vAlign w:val="center"/>
          </w:tcPr>
          <w:p w:rsidR="001F11A4" w:rsidRDefault="001F11A4" w:rsidP="001F11A4">
            <w:r>
              <w:rPr>
                <w:rStyle w:val="fontstyle01"/>
              </w:rPr>
              <w:t xml:space="preserve">UNT </w:t>
            </w:r>
          </w:p>
        </w:tc>
        <w:tc>
          <w:tcPr>
            <w:tcW w:w="1275" w:type="dxa"/>
            <w:vAlign w:val="center"/>
          </w:tcPr>
          <w:p w:rsidR="001F11A4" w:rsidRDefault="001F11A4" w:rsidP="001F11A4">
            <w:r>
              <w:rPr>
                <w:rStyle w:val="fontstyle01"/>
              </w:rPr>
              <w:t>TOTAL</w:t>
            </w:r>
          </w:p>
        </w:tc>
      </w:tr>
      <w:tr w:rsidR="001F11A4" w:rsidTr="001F11A4">
        <w:trPr>
          <w:trHeight w:val="1686"/>
        </w:trPr>
        <w:tc>
          <w:tcPr>
            <w:tcW w:w="704" w:type="dxa"/>
            <w:vAlign w:val="center"/>
          </w:tcPr>
          <w:p w:rsidR="001F11A4" w:rsidRDefault="001F11A4" w:rsidP="001F11A4">
            <w:pPr>
              <w:rPr>
                <w:rStyle w:val="fontstyle01"/>
              </w:rPr>
            </w:pPr>
            <w:r>
              <w:rPr>
                <w:rStyle w:val="fontstyle01"/>
              </w:rPr>
              <w:t>01</w:t>
            </w:r>
          </w:p>
        </w:tc>
        <w:tc>
          <w:tcPr>
            <w:tcW w:w="5103" w:type="dxa"/>
            <w:vAlign w:val="center"/>
          </w:tcPr>
          <w:p w:rsidR="001F11A4" w:rsidRPr="005174BC" w:rsidRDefault="001F11A4" w:rsidP="001F11A4">
            <w:pPr>
              <w:rPr>
                <w:rStyle w:val="fontstyle01"/>
              </w:rPr>
            </w:pPr>
            <w:r w:rsidRPr="005174BC">
              <w:rPr>
                <w:rStyle w:val="fontstyle01"/>
              </w:rPr>
              <w:t xml:space="preserve">POLTRONA PARA AUDITÓRIO COM PRANCHETA ESCAMOTEÁVEL: Poltrona para auditório assento: Rebatimento automático silencioso. Estrutura interna do assento em madeira laminada moldada anatomicamente com 16mm de espessura, com espuma em poliuretano de densidade aproximada de 50kg/m3, com formato anatômico e bordas arredondadas. Capa do assento em polipropileno injetado, resistente a riscos e impactos, fixada à estrutura, na cor preta. Dimensões aproximadas do assento: 460mm x 550mm (pxl) com espessura de 98mm. ENCOSTO: Estrutura interna em madeira laminada, moldada anatomicamente, com furações para porca garra, com 16mm de espessura. Espuma injetada de poliuretano antichamas expandido com densidade aproximada de 50g/m3, com formato anatômico e bordas arredondadas e encaixe para a estrutura. Dimensões aproximadas do encosto: 470 mm x 540mm (LxA) com 90mm de espessura. Estrutura: Estrutura confeccionada em aço oblongo 1010/1020 dimensões 30x16mm e espessura de parede 2,0mm. Painel duplo de fechamento das estruturas laterais confeccionados em MDF com 12mm de espessura cada um e medindo 616mm de comprimento por 470mm de largura. Acabamento dos painéis em revestido em tecido ou curo ecológico. Apoio de braço injetado em duas partes na cor preta, sendo a parte inferior e a parte superior, a parte superior deve possuir 397mm x 60mmx2,7mm,a parte inferior 322mm x 51mm x 14,4mm. A parte superior do apoio de braço deve possuir quatro torres com diâmetro 6mm com furo central de diâmetro 3,2mm, que auxiliam na fixação </w:t>
            </w:r>
            <w:r w:rsidRPr="005174BC">
              <w:rPr>
                <w:rStyle w:val="fontstyle01"/>
              </w:rPr>
              <w:lastRenderedPageBreak/>
              <w:t xml:space="preserve">da parte superior com a parte inferior do apoio de braço, possui também um rebaixo retangular com 290mm x 45mm onde encaixa a parte inferior do apoio de braço, a parte inferior possui quatro furos com diâmetro 6,5mm para fixação na parte superior através de parafusos. O apoio de braço deve possuir acabamento texturizado. Deverá possuir apoio de braços com prancheta escamoteável, produzido em tubo retangular 25x70x1,5mm SAE 1006/1010, deverá ter sapata estampada e repuxada em chapa de aço SAE 1006/1010 com espessura de 3mm com furação de 10mm para fixação ao piso, orelha lateral para fixação do encosto, travessa central com articulador em nylon para fixação e articulação do assento. Deverá possuir suporte reforçado para fixação de apoia braços. Prancheta articulável produzida em MDF com espessura de 16mm, com acabamento melamínico na cor preta em ambos os lados, Medidas gerais da prancheta: Largura de 260mm x profundidade – 300mm, x espessura – 16mm. Chassi em madeira laminada com espessura de 10mm para acabamento lateral. Medidas gerais aproximadas: Altura 700mm, profundidade 400mm e espessura 120mm. A espuma utilizada no produto deverá ser isenta de CFC, ter a densidade mínima de 55kg/m2,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competente comprovando a </w:t>
            </w:r>
            <w:r w:rsidRPr="005174BC">
              <w:rPr>
                <w:rStyle w:val="fontstyle01"/>
              </w:rPr>
              <w:lastRenderedPageBreak/>
              <w:t>ausência de CFC na espuma, conforme NBR 8537/15; Laudo emitido por laboratório acreditado pelo INMETRO, com análise nas normas ABNT/NBR 8619 (Determinação de resiliência da espuma), ABNT 8797 (Determinação da deformação permanente à compressão, da espuma), ABNTNBR8910 (Resistência a compressão);Laudo emitido por laboratório acreditado pelo INMETRO com análise nas NBR/ABNT 9176 e 9177 (Determinação de força de identação e fadiga dinâmica da espuma); Laudo emitido por laboratório competente conforme as NBR/ABNT 9178 e 14961 (Determinação de característica de queima e teor de sinzas). Certificado de Regularidade - CR / CTF lbama, em nome do fabricante da marca cotada, dentro do prazo de validade; Laudo de ergonomia emitido por profissional habilitado, conforme CONFEA, juntamente com documento do profissional. Os laudos e certificados deverão ser em nome do fabricante do produto cotado. Catálogo com imagens coloridas e nítidas. Cor padrão da unidade. O licitante arrematante deverá apresentar amostra em 07 (sete) dias. Garantia 02 anos.</w:t>
            </w:r>
          </w:p>
        </w:tc>
        <w:tc>
          <w:tcPr>
            <w:tcW w:w="709" w:type="dxa"/>
            <w:vAlign w:val="center"/>
          </w:tcPr>
          <w:p w:rsidR="001F11A4" w:rsidRDefault="001F11A4" w:rsidP="001F11A4">
            <w:pPr>
              <w:rPr>
                <w:rStyle w:val="fontstyle01"/>
              </w:rPr>
            </w:pPr>
            <w:r>
              <w:rPr>
                <w:rStyle w:val="fontstyle01"/>
              </w:rPr>
              <w:lastRenderedPageBreak/>
              <w:t>300</w:t>
            </w:r>
          </w:p>
        </w:tc>
        <w:tc>
          <w:tcPr>
            <w:tcW w:w="1276" w:type="dxa"/>
            <w:vAlign w:val="center"/>
          </w:tcPr>
          <w:p w:rsidR="001F11A4" w:rsidRDefault="001F11A4" w:rsidP="001F11A4">
            <w:pPr>
              <w:rPr>
                <w:rStyle w:val="fontstyle01"/>
              </w:rPr>
            </w:pPr>
            <w:r>
              <w:rPr>
                <w:rStyle w:val="fontstyle01"/>
              </w:rPr>
              <w:t>R$</w:t>
            </w:r>
            <w:r>
              <w:rPr>
                <w:rFonts w:ascii="CIDFont+F4" w:hAnsi="CIDFont+F4"/>
                <w:b/>
                <w:bCs/>
                <w:color w:val="000000"/>
                <w:szCs w:val="20"/>
              </w:rPr>
              <w:br/>
            </w:r>
            <w:r>
              <w:rPr>
                <w:rStyle w:val="fontstyle01"/>
              </w:rPr>
              <w:t>2.263,30</w:t>
            </w:r>
          </w:p>
        </w:tc>
        <w:tc>
          <w:tcPr>
            <w:tcW w:w="1275" w:type="dxa"/>
            <w:vAlign w:val="center"/>
          </w:tcPr>
          <w:p w:rsidR="001F11A4" w:rsidRDefault="001F11A4" w:rsidP="001F11A4">
            <w:pPr>
              <w:rPr>
                <w:rStyle w:val="fontstyle01"/>
              </w:rPr>
            </w:pPr>
            <w:r>
              <w:rPr>
                <w:rStyle w:val="fontstyle01"/>
              </w:rPr>
              <w:t>R$</w:t>
            </w:r>
            <w:r>
              <w:rPr>
                <w:rFonts w:ascii="CIDFont+F4" w:hAnsi="CIDFont+F4"/>
                <w:b/>
                <w:bCs/>
                <w:color w:val="000000"/>
                <w:szCs w:val="20"/>
              </w:rPr>
              <w:br/>
            </w:r>
            <w:r>
              <w:rPr>
                <w:rStyle w:val="fontstyle01"/>
              </w:rPr>
              <w:t>678.990,00</w:t>
            </w:r>
          </w:p>
        </w:tc>
      </w:tr>
    </w:tbl>
    <w:p w:rsidR="00F54AD7" w:rsidRDefault="00F54AD7" w:rsidP="00876C0E">
      <w:pPr>
        <w:rPr>
          <w:rFonts w:ascii="Verdana" w:hAnsi="Verdana" w:cs="Arial"/>
          <w:b/>
          <w:bCs/>
          <w:szCs w:val="20"/>
        </w:rPr>
      </w:pPr>
    </w:p>
    <w:p w:rsidR="001F11A4" w:rsidRDefault="001F11A4" w:rsidP="00876C0E">
      <w:pPr>
        <w:rPr>
          <w:rFonts w:ascii="Verdana" w:hAnsi="Verdana" w:cs="Arial"/>
          <w:b/>
          <w:bCs/>
          <w:szCs w:val="20"/>
        </w:rPr>
      </w:pPr>
    </w:p>
    <w:p w:rsidR="001F11A4" w:rsidRDefault="001F11A4" w:rsidP="00876C0E">
      <w:pPr>
        <w:rPr>
          <w:rFonts w:ascii="Verdana" w:hAnsi="Verdana" w:cs="Arial"/>
          <w:b/>
          <w:bCs/>
          <w:szCs w:val="20"/>
        </w:rPr>
      </w:pPr>
      <w:r>
        <w:rPr>
          <w:rFonts w:ascii="Verdana" w:hAnsi="Verdana" w:cs="Arial"/>
          <w:b/>
          <w:bCs/>
          <w:szCs w:val="20"/>
        </w:rPr>
        <w:t>LOTE 02</w:t>
      </w:r>
    </w:p>
    <w:p w:rsidR="001F11A4" w:rsidRDefault="001F11A4" w:rsidP="00876C0E">
      <w:pPr>
        <w:rPr>
          <w:rFonts w:ascii="Verdana" w:hAnsi="Verdana" w:cs="Arial"/>
          <w:b/>
          <w:bCs/>
          <w:szCs w:val="20"/>
        </w:rPr>
      </w:pPr>
    </w:p>
    <w:tbl>
      <w:tblPr>
        <w:tblStyle w:val="Tabelacomgrade"/>
        <w:tblW w:w="9067" w:type="dxa"/>
        <w:tblLook w:val="04A0" w:firstRow="1" w:lastRow="0" w:firstColumn="1" w:lastColumn="0" w:noHBand="0" w:noVBand="1"/>
      </w:tblPr>
      <w:tblGrid>
        <w:gridCol w:w="704"/>
        <w:gridCol w:w="5002"/>
        <w:gridCol w:w="822"/>
        <w:gridCol w:w="1268"/>
        <w:gridCol w:w="1271"/>
      </w:tblGrid>
      <w:tr w:rsidR="001F11A4" w:rsidTr="001F11A4">
        <w:tc>
          <w:tcPr>
            <w:tcW w:w="704" w:type="dxa"/>
            <w:vAlign w:val="center"/>
          </w:tcPr>
          <w:p w:rsidR="001F11A4" w:rsidRDefault="001F11A4" w:rsidP="001F11A4">
            <w:r>
              <w:rPr>
                <w:rStyle w:val="fontstyle01"/>
              </w:rPr>
              <w:t xml:space="preserve">ITEM </w:t>
            </w:r>
          </w:p>
        </w:tc>
        <w:tc>
          <w:tcPr>
            <w:tcW w:w="5103" w:type="dxa"/>
            <w:vAlign w:val="center"/>
          </w:tcPr>
          <w:p w:rsidR="001F11A4" w:rsidRDefault="001F11A4" w:rsidP="001F11A4">
            <w:r>
              <w:rPr>
                <w:rStyle w:val="fontstyle01"/>
              </w:rPr>
              <w:t xml:space="preserve">DESCRIÇÃO </w:t>
            </w:r>
          </w:p>
        </w:tc>
        <w:tc>
          <w:tcPr>
            <w:tcW w:w="709" w:type="dxa"/>
            <w:vAlign w:val="center"/>
          </w:tcPr>
          <w:p w:rsidR="001F11A4" w:rsidRDefault="001F11A4" w:rsidP="001F11A4">
            <w:r>
              <w:rPr>
                <w:rStyle w:val="fontstyle01"/>
              </w:rPr>
              <w:t xml:space="preserve">Quant. </w:t>
            </w:r>
          </w:p>
        </w:tc>
        <w:tc>
          <w:tcPr>
            <w:tcW w:w="1276" w:type="dxa"/>
            <w:vAlign w:val="center"/>
          </w:tcPr>
          <w:p w:rsidR="001F11A4" w:rsidRDefault="001F11A4" w:rsidP="001F11A4">
            <w:r>
              <w:rPr>
                <w:rStyle w:val="fontstyle01"/>
              </w:rPr>
              <w:t xml:space="preserve">UNT </w:t>
            </w:r>
          </w:p>
        </w:tc>
        <w:tc>
          <w:tcPr>
            <w:tcW w:w="1275" w:type="dxa"/>
            <w:vAlign w:val="center"/>
          </w:tcPr>
          <w:p w:rsidR="001F11A4" w:rsidRDefault="001F11A4" w:rsidP="001F11A4">
            <w:r>
              <w:rPr>
                <w:rStyle w:val="fontstyle01"/>
              </w:rPr>
              <w:t>TOTAL</w:t>
            </w:r>
          </w:p>
        </w:tc>
      </w:tr>
      <w:tr w:rsidR="001F11A4" w:rsidTr="001F11A4">
        <w:tc>
          <w:tcPr>
            <w:tcW w:w="704" w:type="dxa"/>
            <w:vAlign w:val="center"/>
          </w:tcPr>
          <w:p w:rsidR="001F11A4" w:rsidRDefault="001F11A4" w:rsidP="001F11A4">
            <w:pPr>
              <w:rPr>
                <w:rStyle w:val="fontstyle01"/>
              </w:rPr>
            </w:pPr>
            <w:r>
              <w:rPr>
                <w:rStyle w:val="fontstyle01"/>
              </w:rPr>
              <w:t>01</w:t>
            </w:r>
          </w:p>
        </w:tc>
        <w:tc>
          <w:tcPr>
            <w:tcW w:w="5103" w:type="dxa"/>
            <w:vAlign w:val="center"/>
          </w:tcPr>
          <w:p w:rsidR="001F11A4" w:rsidRPr="001F11A4" w:rsidRDefault="001F11A4" w:rsidP="001F11A4">
            <w:pPr>
              <w:pStyle w:val="Nivel1"/>
              <w:numPr>
                <w:ilvl w:val="0"/>
                <w:numId w:val="5"/>
              </w:numPr>
              <w:tabs>
                <w:tab w:val="num" w:pos="360"/>
              </w:tabs>
            </w:pPr>
            <w:r w:rsidRPr="001F11A4">
              <w:t xml:space="preserve">POLTRONA PARA OBESO COM PRANCHETA ESCAMOTEÁVEL: Estrutura interna do  assento  em  madeira  laminada moldada  anatomicamente com 16mm de espessura, com espuma em poliuretano de densidade aproximada de 50kg/m3, com formato anatômico e bordas arredondadas. Capa do assento em polipropileno  injetado,  resistente  a  riscos  e  impactos,  fixada  à  estrutura, na cor preta. ENCOSTO: Estrutura interna em madeira </w:t>
            </w:r>
            <w:r w:rsidRPr="001F11A4">
              <w:lastRenderedPageBreak/>
              <w:t>laminada, moldada anatomicamente, com furações para porca-garra, Espuma em poliuretano expandido com densidade aproximada de 50g/m3, com formato anatômico e bordas arredondadas e encaixe para a estrutura. Capa do assento em polipropileno injetado, texturizado, com 3mm de espessura, resistente a riscos e impactos, fixada à estrutura de modo a impossibilitar a flexão do  material.  Espumas e revestimento: Assento com espuma injetada de poliuretano antichamas com densidade de 55kg/m3, moldada anatomicamente  com  borda  frontal  arredondada  para  facilitar  a  circulação sanguínea   do   usuário.    Encosto   com   espuma   injetada   de poliuretano antichamas, com formato  anatômico,  densidade  de  55kg/m3. Revestimento em tecido ou couro ecológico.  Apoio de braço com alma de aço em formato de L fixados no assento e no encosto. Deverá possuir apoio de braço reforçado com fixação no encosto e no assento.  O apoio de braço deve possuir acabamento texturizado ao centro. Prancheta articulável produzida em MDF com espessura de 16mm, com acabamento melamínico na cor preta em ambos os lados, Medidas aproximadas da prancheta: Largura de 260mm x profundidade – 300mm, x espessura – 16mm.  A espuma utilizada no produto deverá ser isenta de CFC, ter a densidade mínima de 50kg/m2, ter resistência a rasgamento e deformação permanente e tratamento para retardamento da propagação de fogo. Base fixa 4 pés. Certificado de Conformidade emitido por OCP, processo de preparação e pintura de superfícies metálicas, garantindo o atendimento e conformidade com as normas ABNT NBR 8094, ABNT NBR 8095, ABNT NBR 8096, ABNT NBR 11003, NBR ISO 4628-3, emitido pela ABNT ou OCP acreditado pelo Inmetro;  Certificado Técnico do IBAMA, (CTF) dentro do prazo de validade, em nome do fabricante dos móveis. Cor padrão da unidade. Catálogo com imagens coloridas e nítidas, contendo a marca e código/referência do produto cotado que necessariamente deverá ser o mesmo indicado na proposta. Cor padrão da unidade. Garantia mínima de 02 anos.</w:t>
            </w:r>
          </w:p>
          <w:p w:rsidR="001F11A4" w:rsidRDefault="001F11A4" w:rsidP="001F11A4">
            <w:pPr>
              <w:rPr>
                <w:rStyle w:val="fontstyle01"/>
              </w:rPr>
            </w:pPr>
          </w:p>
        </w:tc>
        <w:tc>
          <w:tcPr>
            <w:tcW w:w="709" w:type="dxa"/>
            <w:vAlign w:val="center"/>
          </w:tcPr>
          <w:p w:rsidR="001F11A4" w:rsidRDefault="001F11A4" w:rsidP="001F11A4">
            <w:pPr>
              <w:rPr>
                <w:rStyle w:val="fontstyle01"/>
              </w:rPr>
            </w:pPr>
            <w:r>
              <w:rPr>
                <w:rStyle w:val="fontstyle01"/>
              </w:rPr>
              <w:lastRenderedPageBreak/>
              <w:t>06</w:t>
            </w:r>
          </w:p>
        </w:tc>
        <w:tc>
          <w:tcPr>
            <w:tcW w:w="1276" w:type="dxa"/>
            <w:vAlign w:val="center"/>
          </w:tcPr>
          <w:p w:rsidR="001F11A4" w:rsidRDefault="001F11A4" w:rsidP="001F11A4">
            <w:pPr>
              <w:rPr>
                <w:rStyle w:val="fontstyle01"/>
              </w:rPr>
            </w:pPr>
            <w:r>
              <w:rPr>
                <w:rStyle w:val="fontstyle01"/>
              </w:rPr>
              <w:t>R$</w:t>
            </w:r>
            <w:r>
              <w:rPr>
                <w:rFonts w:ascii="CIDFont+F4" w:hAnsi="CIDFont+F4"/>
                <w:b/>
                <w:bCs/>
                <w:color w:val="000000"/>
                <w:szCs w:val="20"/>
              </w:rPr>
              <w:br/>
            </w:r>
            <w:r>
              <w:rPr>
                <w:rStyle w:val="fontstyle01"/>
              </w:rPr>
              <w:t>3.550,66</w:t>
            </w:r>
          </w:p>
        </w:tc>
        <w:tc>
          <w:tcPr>
            <w:tcW w:w="1275" w:type="dxa"/>
            <w:vAlign w:val="center"/>
          </w:tcPr>
          <w:p w:rsidR="001F11A4" w:rsidRDefault="001F11A4" w:rsidP="001F11A4">
            <w:pPr>
              <w:rPr>
                <w:rStyle w:val="fontstyle01"/>
              </w:rPr>
            </w:pPr>
            <w:r>
              <w:rPr>
                <w:rStyle w:val="fontstyle01"/>
              </w:rPr>
              <w:t>R$ 21.303,96</w:t>
            </w:r>
          </w:p>
        </w:tc>
      </w:tr>
    </w:tbl>
    <w:p w:rsidR="001F11A4" w:rsidRDefault="001F11A4" w:rsidP="00876C0E">
      <w:pPr>
        <w:rPr>
          <w:rFonts w:ascii="Verdana" w:hAnsi="Verdana" w:cs="Arial"/>
          <w:b/>
          <w:bCs/>
          <w:szCs w:val="20"/>
        </w:rPr>
      </w:pPr>
    </w:p>
    <w:p w:rsidR="00F54AD7" w:rsidRDefault="00F54AD7"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C20073" w:rsidP="00536CF4">
      <w:pPr>
        <w:jc w:val="center"/>
        <w:rPr>
          <w:rFonts w:ascii="Verdana" w:hAnsi="Verdana" w:cs="Arial"/>
          <w:b/>
          <w:bCs/>
          <w:szCs w:val="20"/>
        </w:rPr>
      </w:pPr>
      <w:r>
        <w:rPr>
          <w:rFonts w:ascii="Verdana" w:hAnsi="Verdana" w:cs="Arial"/>
          <w:b/>
          <w:bCs/>
          <w:szCs w:val="20"/>
        </w:rPr>
        <w:t>LOTE 03</w:t>
      </w:r>
    </w:p>
    <w:p w:rsidR="00412459" w:rsidRDefault="00412459" w:rsidP="00536CF4">
      <w:pPr>
        <w:jc w:val="center"/>
        <w:rPr>
          <w:rFonts w:ascii="Verdana" w:hAnsi="Verdana" w:cs="Arial"/>
          <w:b/>
          <w:bCs/>
          <w:szCs w:val="20"/>
        </w:rPr>
      </w:pPr>
    </w:p>
    <w:tbl>
      <w:tblPr>
        <w:tblStyle w:val="Tabelacomgrade"/>
        <w:tblW w:w="9067" w:type="dxa"/>
        <w:tblLook w:val="04A0" w:firstRow="1" w:lastRow="0" w:firstColumn="1" w:lastColumn="0" w:noHBand="0" w:noVBand="1"/>
      </w:tblPr>
      <w:tblGrid>
        <w:gridCol w:w="704"/>
        <w:gridCol w:w="5004"/>
        <w:gridCol w:w="822"/>
        <w:gridCol w:w="1268"/>
        <w:gridCol w:w="1269"/>
      </w:tblGrid>
      <w:tr w:rsidR="001F11A4" w:rsidTr="001F11A4">
        <w:tc>
          <w:tcPr>
            <w:tcW w:w="704" w:type="dxa"/>
            <w:vAlign w:val="center"/>
          </w:tcPr>
          <w:p w:rsidR="001F11A4" w:rsidRDefault="001F11A4" w:rsidP="001F11A4">
            <w:r>
              <w:rPr>
                <w:rStyle w:val="fontstyle01"/>
              </w:rPr>
              <w:t xml:space="preserve">ITEM </w:t>
            </w:r>
          </w:p>
        </w:tc>
        <w:tc>
          <w:tcPr>
            <w:tcW w:w="5103" w:type="dxa"/>
            <w:vAlign w:val="center"/>
          </w:tcPr>
          <w:p w:rsidR="001F11A4" w:rsidRDefault="001F11A4" w:rsidP="001F11A4">
            <w:r>
              <w:rPr>
                <w:rStyle w:val="fontstyle01"/>
              </w:rPr>
              <w:t xml:space="preserve">DESCRIÇÃO </w:t>
            </w:r>
          </w:p>
        </w:tc>
        <w:tc>
          <w:tcPr>
            <w:tcW w:w="709" w:type="dxa"/>
            <w:vAlign w:val="center"/>
          </w:tcPr>
          <w:p w:rsidR="001F11A4" w:rsidRDefault="001F11A4" w:rsidP="001F11A4">
            <w:r>
              <w:rPr>
                <w:rStyle w:val="fontstyle01"/>
              </w:rPr>
              <w:t xml:space="preserve">Quant. </w:t>
            </w:r>
          </w:p>
        </w:tc>
        <w:tc>
          <w:tcPr>
            <w:tcW w:w="1276" w:type="dxa"/>
            <w:vAlign w:val="center"/>
          </w:tcPr>
          <w:p w:rsidR="001F11A4" w:rsidRDefault="001F11A4" w:rsidP="001F11A4">
            <w:r>
              <w:rPr>
                <w:rStyle w:val="fontstyle01"/>
              </w:rPr>
              <w:t xml:space="preserve">UNT </w:t>
            </w:r>
          </w:p>
        </w:tc>
        <w:tc>
          <w:tcPr>
            <w:tcW w:w="1275" w:type="dxa"/>
            <w:vAlign w:val="center"/>
          </w:tcPr>
          <w:p w:rsidR="001F11A4" w:rsidRDefault="001F11A4" w:rsidP="001F11A4">
            <w:r>
              <w:rPr>
                <w:rStyle w:val="fontstyle01"/>
              </w:rPr>
              <w:t>TOTAL</w:t>
            </w:r>
          </w:p>
        </w:tc>
      </w:tr>
      <w:tr w:rsidR="001F11A4" w:rsidTr="001F11A4">
        <w:tc>
          <w:tcPr>
            <w:tcW w:w="704" w:type="dxa"/>
            <w:vAlign w:val="center"/>
          </w:tcPr>
          <w:p w:rsidR="001F11A4" w:rsidRDefault="005174BC" w:rsidP="001F11A4">
            <w:pPr>
              <w:rPr>
                <w:rStyle w:val="fontstyle01"/>
              </w:rPr>
            </w:pPr>
            <w:r>
              <w:rPr>
                <w:rStyle w:val="fontstyle01"/>
              </w:rPr>
              <w:t>01</w:t>
            </w:r>
          </w:p>
        </w:tc>
        <w:tc>
          <w:tcPr>
            <w:tcW w:w="5103" w:type="dxa"/>
            <w:vAlign w:val="center"/>
          </w:tcPr>
          <w:p w:rsidR="005174BC" w:rsidRPr="005174BC" w:rsidRDefault="005174BC" w:rsidP="005174BC">
            <w:pPr>
              <w:pStyle w:val="Nivel1"/>
              <w:numPr>
                <w:ilvl w:val="0"/>
                <w:numId w:val="6"/>
              </w:numPr>
              <w:tabs>
                <w:tab w:val="num" w:pos="360"/>
              </w:tabs>
            </w:pPr>
            <w:r w:rsidRPr="005174BC">
              <w:t xml:space="preserve">POLTRONA   PARA   AUDITÓRIO– PARA PMR (PNE):    Estrutura interna do  assento  em  madeira  laminada moldada  anatomicamente com 16mm de espessura, com espuma em poliuretano de densidade aproximada de 50kg/m3, com formato anatômico e bordas arredondadas. Capa do assento em polipropileno injetado, resistente  a  riscos  e  impactos,  fixada  à  estrutura, na cor preta. ENCOSTO: Estrutura interna em madeira laminada, moldada anatomicamente, com furações para porca-garra. Espuma em poliuretano expandido com densidade aproximada de 50g/m3, com formato anatômico e bordas arredondadas e encaixe para a estrutura. Capa do assento em polipropileno injetado, texturizado, com 3mm de espessura, resistente a riscos e impactos, fixada à estrutura de modo a impossibilitar a flexão do material  e  consequente  geração  de  ruídos.   Espumas e revestimento: Assento com espuma injetada de poliuretano antichamas com densidade de 50kg/m3, moldada anatomicamente com  borda  frontal  arredondada  para  facilitar  a  circulação sanguínea   do   usuário.    Encosto   com   espuma   injetada   de poliuretano antichamas, com formato anatômico, densidade de  50kg/m3. Revestimento em tecido ou couro ecológico.  Painel duplo de fechamento das estruturas laterais confeccionados em  MDF  com  12mm  de espessura  cada  um  e  medindo  616mm  de  comprimento  por  470mm  de  largura. Acabamento dos painéis em revestido em tecido ou curo ecológico.  Apoio de braço injetado em duas partes na cor preta. O apoio de braço deve possuir acabamento texturizado, deverá ser articulado, escamoteável em atendimento a NBR9050. Deverá possuir apoio de braços com prancheta produzida em MDF com </w:t>
            </w:r>
            <w:r w:rsidRPr="005174BC">
              <w:lastRenderedPageBreak/>
              <w:t>espessura de 16mm, com acabamento melamínico na cor preta em ambos os lados, Medidas gerais da prancheta: Largura de 260mm x profundidade – 300mm, x espessura – 16mm.  A espuma utilizada no produto deverá ser isenta de CFC, ter a densidade mínima de 50kg/m2,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competente conforme NBR 8537/15; Laudo emitido por laboratório acreditado pelo INMETRO, com análise nas normas ABNT/NBR 8619 (Determinação de resiliência da espuma), ABNT 8797 (Determinação da deformação permanente à compressão, da espuma), ABNTNBR 8910 (Resistência a compressão);Laudo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queima e teor de cinzas). Laudo que comprove o atendimento a NBR/ABNT 9050, emitido por profissional habilitado; Relatório de Ensaio comprovando a resistência a exposição ao dióxido de enxofre, conforme NBR/ABNT 8096; Laudo de ergonomia emitido por profissional habilitado, conforme CONFEA, juntamente com documento do profissional. Os laudos e certificados deverão ser em nome do fabricante do produto cotado. Catálogo com imagens coloridas e nítidas, contendo a marca e código/referência do produto cotado que necessariamente deverá ser o mesmo indicado na proposta. Cor padrão da unidade. Garantia mínima de 02 anos.</w:t>
            </w:r>
          </w:p>
          <w:p w:rsidR="001F11A4" w:rsidRDefault="001F11A4" w:rsidP="001F11A4">
            <w:pPr>
              <w:rPr>
                <w:rStyle w:val="fontstyle01"/>
              </w:rPr>
            </w:pPr>
          </w:p>
        </w:tc>
        <w:tc>
          <w:tcPr>
            <w:tcW w:w="709" w:type="dxa"/>
            <w:vAlign w:val="center"/>
          </w:tcPr>
          <w:p w:rsidR="001F11A4" w:rsidRDefault="005174BC" w:rsidP="001F11A4">
            <w:pPr>
              <w:rPr>
                <w:rStyle w:val="fontstyle01"/>
              </w:rPr>
            </w:pPr>
            <w:r>
              <w:rPr>
                <w:rStyle w:val="fontstyle01"/>
              </w:rPr>
              <w:lastRenderedPageBreak/>
              <w:t>06</w:t>
            </w:r>
          </w:p>
        </w:tc>
        <w:tc>
          <w:tcPr>
            <w:tcW w:w="1276" w:type="dxa"/>
            <w:vAlign w:val="center"/>
          </w:tcPr>
          <w:p w:rsidR="001F11A4" w:rsidRDefault="005174BC" w:rsidP="001F11A4">
            <w:pPr>
              <w:rPr>
                <w:rStyle w:val="fontstyle01"/>
              </w:rPr>
            </w:pPr>
            <w:r>
              <w:rPr>
                <w:rStyle w:val="fontstyle01"/>
              </w:rPr>
              <w:t>R$</w:t>
            </w:r>
            <w:r>
              <w:rPr>
                <w:rFonts w:ascii="CIDFont+F4" w:hAnsi="CIDFont+F4"/>
                <w:b/>
                <w:bCs/>
                <w:color w:val="000000"/>
                <w:szCs w:val="20"/>
              </w:rPr>
              <w:br/>
            </w:r>
            <w:r>
              <w:rPr>
                <w:rStyle w:val="fontstyle01"/>
              </w:rPr>
              <w:t>2.497,33</w:t>
            </w:r>
          </w:p>
        </w:tc>
        <w:tc>
          <w:tcPr>
            <w:tcW w:w="1275" w:type="dxa"/>
            <w:vAlign w:val="center"/>
          </w:tcPr>
          <w:p w:rsidR="001F11A4" w:rsidRDefault="005174BC" w:rsidP="001F11A4">
            <w:pPr>
              <w:rPr>
                <w:rStyle w:val="fontstyle01"/>
              </w:rPr>
            </w:pPr>
            <w:r>
              <w:rPr>
                <w:rStyle w:val="fontstyle01"/>
              </w:rPr>
              <w:t>R$ 14983,98</w:t>
            </w:r>
          </w:p>
        </w:tc>
      </w:tr>
    </w:tbl>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lastRenderedPageBreak/>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Prefeito Municipal Luiz Claudio Miranda Pires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6C4418">
        <w:rPr>
          <w:rFonts w:ascii="Verdana" w:hAnsi="Verdana" w:cstheme="minorHAnsi"/>
          <w:b/>
          <w:i/>
          <w:iCs/>
          <w:szCs w:val="20"/>
        </w:rPr>
        <w:t>008/2024</w:t>
      </w:r>
      <w:r w:rsidRPr="00CC0076">
        <w:rPr>
          <w:rFonts w:ascii="Verdana" w:hAnsi="Verdana" w:cstheme="minorHAnsi"/>
          <w:bCs/>
          <w:szCs w:val="20"/>
        </w:rPr>
        <w:t>, mediante as cláusulas e condições a seguir enunciadas.</w:t>
      </w:r>
    </w:p>
    <w:p w:rsidR="008B5F05" w:rsidRPr="00B837C1" w:rsidRDefault="008B5F05" w:rsidP="00536CF4">
      <w:pPr>
        <w:rPr>
          <w:rStyle w:val="Forte"/>
          <w:rFonts w:ascii="Verdana" w:eastAsiaTheme="majorEastAsia" w:hAnsi="Verdana"/>
          <w:szCs w:val="20"/>
        </w:rPr>
      </w:pPr>
      <w:bookmarkStart w:id="19" w:name="_Toc138359487"/>
      <w:r w:rsidRPr="00B837C1">
        <w:rPr>
          <w:rStyle w:val="Ttulo1Char"/>
          <w:rFonts w:ascii="Verdana" w:hAnsi="Verdana"/>
          <w:sz w:val="20"/>
          <w:szCs w:val="20"/>
        </w:rPr>
        <w:t>CLÁUSULA PRIMEIRA – DO OBJETO</w:t>
      </w:r>
      <w:bookmarkEnd w:id="19"/>
      <w:r w:rsidRPr="00B837C1">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1F11A4">
        <w:rPr>
          <w:rFonts w:ascii="Verdana" w:hAnsi="Verdana"/>
          <w:b/>
          <w:szCs w:val="20"/>
        </w:rPr>
        <w:t>REGISTRO DE PREÇO PARA AQUISIÇÃO DE POLTRONAS DIVERSAS PARA ATENDER AS NECESSIDADES DA SECRETARIA DE EDUCAÇÃO</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tbl>
      <w:tblPr>
        <w:tblStyle w:val="Tabelacomgrade"/>
        <w:tblW w:w="0" w:type="auto"/>
        <w:tblLook w:val="04A0" w:firstRow="1" w:lastRow="0" w:firstColumn="1" w:lastColumn="0" w:noHBand="0" w:noVBand="1"/>
      </w:tblPr>
      <w:tblGrid>
        <w:gridCol w:w="1947"/>
        <w:gridCol w:w="1947"/>
        <w:gridCol w:w="1947"/>
        <w:gridCol w:w="1947"/>
        <w:gridCol w:w="1948"/>
      </w:tblGrid>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bl>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rPr>
          <w:rFonts w:ascii="Verdana" w:hAnsi="Verdana" w:cstheme="minorHAnsi"/>
          <w:bCs/>
          <w:szCs w:val="20"/>
        </w:rPr>
      </w:pPr>
    </w:p>
    <w:p w:rsidR="008B5F05" w:rsidRPr="00B837C1" w:rsidRDefault="008B5F05" w:rsidP="00536CF4">
      <w:pPr>
        <w:pStyle w:val="Textodecomentrio"/>
        <w:rPr>
          <w:rStyle w:val="Forte"/>
          <w:rFonts w:ascii="Verdana" w:eastAsiaTheme="majorEastAsia" w:hAnsi="Verdana"/>
        </w:rPr>
      </w:pPr>
      <w:bookmarkStart w:id="20" w:name="_Toc138359488"/>
      <w:r w:rsidRPr="00B837C1">
        <w:rPr>
          <w:rStyle w:val="Ttulo1Char"/>
          <w:rFonts w:ascii="Verdana" w:hAnsi="Verdana"/>
          <w:sz w:val="20"/>
          <w:szCs w:val="20"/>
        </w:rPr>
        <w:lastRenderedPageBreak/>
        <w:t>CLÁUSULA SEGUNDA – DA VIGÊNCIA E DA PRORROGAÇÃO</w:t>
      </w:r>
      <w:bookmarkEnd w:id="20"/>
      <w:r w:rsidRPr="00B837C1">
        <w:rPr>
          <w:rStyle w:val="Forte"/>
          <w:rFonts w:ascii="Verdana" w:eastAsiaTheme="majorEastAsia" w:hAnsi="Verdana"/>
        </w:rPr>
        <w:t xml:space="preserve"> (ARTS 105 A 107 DA LEI Nº 14.133, DE 2021)</w:t>
      </w:r>
    </w:p>
    <w:p w:rsidR="008B5F05" w:rsidRPr="00B837C1" w:rsidRDefault="008B5F05" w:rsidP="00536CF4">
      <w:pPr>
        <w:rPr>
          <w:rFonts w:ascii="Verdana" w:hAnsi="Verdana" w:cs="Arial"/>
          <w:bCs/>
          <w:szCs w:val="20"/>
        </w:rPr>
      </w:pPr>
      <w:r w:rsidRPr="00BB705D">
        <w:rPr>
          <w:rFonts w:ascii="Verdana" w:hAnsi="Verdana" w:cs="Arial"/>
          <w:bCs/>
          <w:szCs w:val="20"/>
        </w:rPr>
        <w:t xml:space="preserve">2.1. O prazo de vigência da contratação é de </w:t>
      </w:r>
      <w:r w:rsidR="00CC0076" w:rsidRPr="00BB705D">
        <w:rPr>
          <w:rFonts w:ascii="Verdana" w:hAnsi="Verdana" w:cs="Arial"/>
          <w:bCs/>
          <w:szCs w:val="20"/>
        </w:rPr>
        <w:t>11</w:t>
      </w:r>
      <w:r w:rsidRPr="00BB705D">
        <w:rPr>
          <w:rFonts w:ascii="Verdana" w:hAnsi="Verdana" w:cs="Arial"/>
          <w:b/>
          <w:i/>
          <w:iCs/>
          <w:szCs w:val="20"/>
        </w:rPr>
        <w:t>(meses)</w:t>
      </w:r>
      <w:r w:rsidRPr="00BB705D">
        <w:rPr>
          <w:rFonts w:ascii="Verdana" w:hAnsi="Verdana" w:cs="Arial"/>
          <w:bCs/>
          <w:szCs w:val="20"/>
        </w:rPr>
        <w:t xml:space="preserve">, contados do(a)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B837C1" w:rsidRDefault="008B5F05" w:rsidP="00536CF4">
      <w:pPr>
        <w:rPr>
          <w:rStyle w:val="Forte"/>
          <w:rFonts w:ascii="Verdana" w:eastAsiaTheme="majorEastAsia" w:hAnsi="Verdana" w:cs="Arial"/>
          <w:szCs w:val="20"/>
        </w:rPr>
      </w:pPr>
      <w:bookmarkStart w:id="21" w:name="_Toc138359489"/>
      <w:r w:rsidRPr="00B837C1">
        <w:rPr>
          <w:rStyle w:val="Ttulo1Char"/>
          <w:rFonts w:ascii="Verdana" w:hAnsi="Verdana" w:cs="Arial"/>
          <w:sz w:val="20"/>
          <w:szCs w:val="20"/>
        </w:rPr>
        <w:t>CLÁUSULA TERCEIRA – DO MODELOS DE EXECUÇÃO E GESTÃO</w:t>
      </w:r>
      <w:bookmarkEnd w:id="21"/>
      <w:r w:rsidRPr="00B837C1">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rsidR="008B5F05" w:rsidRPr="00B837C1" w:rsidRDefault="008B5F05" w:rsidP="00536CF4">
      <w:pPr>
        <w:pStyle w:val="Textodecomentrio"/>
        <w:rPr>
          <w:rStyle w:val="Forte"/>
          <w:rFonts w:ascii="Verdana" w:eastAsiaTheme="majorEastAsia" w:hAnsi="Verdana" w:cs="Arial"/>
        </w:rPr>
      </w:pPr>
      <w:bookmarkStart w:id="22" w:name="_Toc138359490"/>
      <w:r w:rsidRPr="00B837C1">
        <w:rPr>
          <w:rStyle w:val="Ttulo1Char"/>
          <w:rFonts w:ascii="Verdana" w:hAnsi="Verdana" w:cs="Arial"/>
          <w:sz w:val="20"/>
          <w:szCs w:val="20"/>
        </w:rPr>
        <w:t>CLÁUSULA QUARTA – DA SUBCONTRATAÇÃO</w:t>
      </w:r>
      <w:bookmarkEnd w:id="22"/>
      <w:r w:rsidRPr="00B837C1">
        <w:rPr>
          <w:rStyle w:val="Forte"/>
          <w:rFonts w:ascii="Verdana" w:eastAsiaTheme="majorEastAsia" w:hAnsi="Verdana" w:cs="Arial"/>
        </w:rPr>
        <w:t xml:space="preserve"> (ART. 122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rsidR="008B5F05" w:rsidRPr="00B837C1" w:rsidRDefault="008B5F05" w:rsidP="00536CF4">
      <w:pPr>
        <w:rPr>
          <w:rStyle w:val="Forte"/>
          <w:rFonts w:ascii="Verdana" w:eastAsiaTheme="majorEastAsia" w:hAnsi="Verdana" w:cs="Arial"/>
          <w:color w:val="2E74B5" w:themeColor="accent1" w:themeShade="BF"/>
          <w:szCs w:val="20"/>
        </w:rPr>
      </w:pPr>
      <w:bookmarkStart w:id="23" w:name="_Toc138359491"/>
      <w:r w:rsidRPr="00B837C1">
        <w:rPr>
          <w:rStyle w:val="Ttulo1Char"/>
          <w:rFonts w:ascii="Verdana" w:hAnsi="Verdana" w:cs="Arial"/>
          <w:sz w:val="20"/>
          <w:szCs w:val="20"/>
        </w:rPr>
        <w:t>CLÁUSULA QUINTA – DO VALOR</w:t>
      </w:r>
      <w:bookmarkEnd w:id="23"/>
      <w:r w:rsidRPr="00B837C1">
        <w:rPr>
          <w:rStyle w:val="Forte"/>
          <w:rFonts w:ascii="Verdana" w:eastAsiaTheme="majorEastAsia" w:hAnsi="Verdana" w:cs="Arial"/>
          <w:color w:val="2E74B5" w:themeColor="accent1" w:themeShade="BF"/>
          <w:szCs w:val="20"/>
        </w:rPr>
        <w:t xml:space="preserve"> (ART. 92, V DA LEI Nº 14.133, DE 2021)</w:t>
      </w:r>
    </w:p>
    <w:p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B837C1"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rsidR="008B5F05" w:rsidRPr="00B837C1" w:rsidRDefault="008B5F05" w:rsidP="00536CF4">
      <w:pPr>
        <w:pStyle w:val="Textodecomentrio"/>
        <w:rPr>
          <w:rStyle w:val="Forte"/>
          <w:rFonts w:ascii="Verdana" w:eastAsiaTheme="majorEastAsia" w:hAnsi="Verdana"/>
        </w:rPr>
      </w:pPr>
      <w:bookmarkStart w:id="24" w:name="_Toc138359492"/>
      <w:r w:rsidRPr="00B837C1">
        <w:rPr>
          <w:rStyle w:val="Ttulo1Char"/>
          <w:rFonts w:ascii="Verdana" w:hAnsi="Verdana"/>
          <w:sz w:val="20"/>
          <w:szCs w:val="20"/>
        </w:rPr>
        <w:t>CLÁUSULA SEXTA - PAGAMENTO</w:t>
      </w:r>
      <w:bookmarkEnd w:id="24"/>
      <w:r w:rsidRPr="00B837C1">
        <w:rPr>
          <w:rStyle w:val="Forte"/>
          <w:rFonts w:ascii="Verdana" w:eastAsiaTheme="majorEastAsia" w:hAnsi="Verdana"/>
        </w:rPr>
        <w:t xml:space="preserve"> (ART. 92, V e VI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rsidR="008B5F05" w:rsidRPr="00B837C1" w:rsidRDefault="008B5F05" w:rsidP="00536CF4">
      <w:pPr>
        <w:rPr>
          <w:rStyle w:val="Forte"/>
          <w:rFonts w:ascii="Verdana" w:eastAsiaTheme="majorEastAsia" w:hAnsi="Verdana"/>
          <w:szCs w:val="20"/>
        </w:rPr>
      </w:pPr>
      <w:bookmarkStart w:id="25" w:name="_Toc138359493"/>
      <w:r w:rsidRPr="00B837C1">
        <w:rPr>
          <w:rStyle w:val="Ttulo1Char"/>
          <w:rFonts w:ascii="Verdana" w:hAnsi="Verdana"/>
          <w:sz w:val="20"/>
          <w:szCs w:val="20"/>
        </w:rPr>
        <w:t>CLÁUSULA SÉTIMA – DO REAJUSTE</w:t>
      </w:r>
      <w:bookmarkEnd w:id="25"/>
      <w:r w:rsidRPr="00B837C1">
        <w:rPr>
          <w:rStyle w:val="Forte"/>
          <w:rFonts w:ascii="Verdana" w:eastAsiaTheme="majorEastAsia" w:hAnsi="Verdana"/>
          <w:szCs w:val="20"/>
        </w:rPr>
        <w:t xml:space="preserve"> (ART. 92, 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12"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será(ão), obrigatoriamente, o(s)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7.6. Caso o(s) índice(s) estabelecido(s) para reajustamento venha(m) a ser extinto(s) ou de qualquer forma não possa(m) mais ser utilizado(s), será(ão) adotado(s), em substituição, o(s) que vier(em) a ser determinado(s) pela legislação então em vigor.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erá realizado por apostilamento.</w:t>
      </w:r>
    </w:p>
    <w:p w:rsidR="008B5F05" w:rsidRPr="00B837C1" w:rsidRDefault="008B5F05" w:rsidP="00536CF4">
      <w:pPr>
        <w:rPr>
          <w:rStyle w:val="Forte"/>
          <w:rFonts w:ascii="Verdana" w:eastAsiaTheme="majorEastAsia" w:hAnsi="Verdana"/>
          <w:szCs w:val="20"/>
        </w:rPr>
      </w:pPr>
      <w:bookmarkStart w:id="26" w:name="_Toc138359494"/>
      <w:r w:rsidRPr="00B837C1">
        <w:rPr>
          <w:rStyle w:val="Ttulo1Char"/>
          <w:rFonts w:ascii="Verdana" w:hAnsi="Verdana"/>
          <w:sz w:val="20"/>
          <w:szCs w:val="20"/>
        </w:rPr>
        <w:t>CLÁUSULA OITAVA – DAS OBRIGAÇÕES DO CONTRATANTE</w:t>
      </w:r>
      <w:bookmarkEnd w:id="26"/>
      <w:r w:rsidRPr="00B837C1">
        <w:rPr>
          <w:rStyle w:val="Forte"/>
          <w:rFonts w:ascii="Verdana" w:eastAsiaTheme="majorEastAsia" w:hAnsi="Verdana"/>
          <w:szCs w:val="20"/>
        </w:rPr>
        <w:t xml:space="preserve"> (ART. 92, X, XI E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lastRenderedPageBreak/>
        <w:t>8.1.9. Notificar os emitentes das garantias quanto ao início de processo administrativo para apuração de descumprimento de cláusulas contratuais.</w:t>
      </w:r>
    </w:p>
    <w:p w:rsidR="008B5F05"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B5F05" w:rsidRPr="00B837C1" w:rsidRDefault="008B5F05" w:rsidP="00536CF4">
      <w:pPr>
        <w:rPr>
          <w:rStyle w:val="Forte"/>
          <w:rFonts w:ascii="Verdana" w:eastAsiaTheme="majorEastAsia" w:hAnsi="Verdana" w:cs="Arial"/>
          <w:szCs w:val="20"/>
        </w:rPr>
      </w:pPr>
      <w:bookmarkStart w:id="27" w:name="_Toc138359495"/>
      <w:r w:rsidRPr="00B837C1">
        <w:rPr>
          <w:rStyle w:val="Ttulo1Char"/>
          <w:rFonts w:ascii="Verdana" w:hAnsi="Verdana" w:cs="Arial"/>
          <w:sz w:val="20"/>
          <w:szCs w:val="20"/>
        </w:rPr>
        <w:t>CLÁUSULA NONA – DAS OBRIGAÇÕES DO CONTRATADO</w:t>
      </w:r>
      <w:bookmarkEnd w:id="27"/>
      <w:r w:rsidRPr="00B837C1">
        <w:rPr>
          <w:rStyle w:val="Forte"/>
          <w:rFonts w:ascii="Verdana" w:eastAsiaTheme="majorEastAsia" w:hAnsi="Verdana" w:cs="Arial"/>
          <w:szCs w:val="20"/>
        </w:rPr>
        <w:t xml:space="preserve"> (ART. 92, XIV, XVI E XVII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t>9.1.17. Submeter previamente, por escrito, ao CONTRATANTE, para análise e aprovação, quaisquer mudanças nos métodos executivos que fujam às especificações do Termo de Referência e demais documentos da contratação.</w:t>
      </w:r>
    </w:p>
    <w:p w:rsidR="008B5F05" w:rsidRPr="00B837C1" w:rsidRDefault="008B5F05" w:rsidP="00536CF4">
      <w:pPr>
        <w:rPr>
          <w:rStyle w:val="Forte"/>
          <w:rFonts w:ascii="Verdana" w:eastAsiaTheme="majorEastAsia" w:hAnsi="Verdana"/>
          <w:color w:val="5B9BD5" w:themeColor="accent1"/>
          <w:szCs w:val="20"/>
        </w:rPr>
      </w:pPr>
      <w:bookmarkStart w:id="28" w:name="_Toc138359496"/>
      <w:r w:rsidRPr="00B837C1">
        <w:rPr>
          <w:rStyle w:val="Ttulo1Char"/>
          <w:rFonts w:ascii="Verdana" w:hAnsi="Verdana"/>
          <w:color w:val="5B9BD5" w:themeColor="accent1"/>
          <w:sz w:val="20"/>
          <w:szCs w:val="20"/>
        </w:rPr>
        <w:t>CLÁUSULA DÉCIMA – DA GARANTIA DE EXECUÇÃO</w:t>
      </w:r>
      <w:bookmarkEnd w:id="28"/>
      <w:r w:rsidRPr="00B837C1">
        <w:rPr>
          <w:rStyle w:val="Forte"/>
          <w:rFonts w:ascii="Verdana" w:eastAsiaTheme="majorEastAsia" w:hAnsi="Verdana"/>
          <w:color w:val="5B9BD5" w:themeColor="accent1"/>
          <w:szCs w:val="20"/>
        </w:rPr>
        <w:t xml:space="preserve"> (ART. 92, XII E XIII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rsidR="008B5F05"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rsidR="008B5F05" w:rsidRPr="00B837C1" w:rsidRDefault="008B5F05" w:rsidP="00536CF4">
      <w:pPr>
        <w:rPr>
          <w:rStyle w:val="Forte"/>
          <w:rFonts w:ascii="Verdana" w:eastAsiaTheme="majorEastAsia" w:hAnsi="Verdana"/>
          <w:szCs w:val="20"/>
        </w:rPr>
      </w:pPr>
      <w:bookmarkStart w:id="29" w:name="_Toc138359497"/>
      <w:r w:rsidRPr="00B837C1">
        <w:rPr>
          <w:rStyle w:val="Ttulo1Char"/>
          <w:rFonts w:ascii="Verdana" w:hAnsi="Verdana"/>
          <w:sz w:val="20"/>
          <w:szCs w:val="20"/>
        </w:rPr>
        <w:t>CLÁUSULA DÉCIMA PRIMEIRA – DAS INFRAÇÕES E DAS SANÇÕES ADMINISTRATIVAS</w:t>
      </w:r>
      <w:bookmarkEnd w:id="29"/>
      <w:r w:rsidRPr="00B837C1">
        <w:rPr>
          <w:rStyle w:val="Forte"/>
          <w:rFonts w:ascii="Verdana" w:eastAsiaTheme="majorEastAsia" w:hAnsi="Verdana"/>
          <w:szCs w:val="20"/>
        </w:rPr>
        <w:t xml:space="preserve"> (ART. 92,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 Comete infração administrativa o licitante que praticar quaisquer das hipóteses previstas no art. 155 da Lei nº 14.133, de 2021, quais sejam:</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Der causa à inexecução parcial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os casos dos subitens 11.1.5. a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sobre o valor total do contrato, para as infrações descritas nos subitens 11.1.5. a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11.9. A personalidade jurídica do CONTRATADO poderá ser desconsiderada sempre que utilizada com abuso do direito para facilitar, encobrir ou dissimular a prática dos atos ilícitos previstos neste Contrato ou para provocar confusão patrimonial, e, nesse caso, todos os efeitos </w:t>
      </w:r>
      <w:r w:rsidRPr="00B837C1">
        <w:rPr>
          <w:rFonts w:ascii="Verdana" w:hAnsi="Verdana" w:cstheme="minorHAnsi"/>
          <w:bCs/>
          <w:szCs w:val="20"/>
        </w:rPr>
        <w:lastRenderedPageBreak/>
        <w:t>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8B5F05" w:rsidRPr="00B837C1" w:rsidRDefault="008B5F05" w:rsidP="00536CF4">
      <w:pPr>
        <w:rPr>
          <w:rStyle w:val="Forte"/>
          <w:rFonts w:ascii="Verdana" w:eastAsiaTheme="majorEastAsia" w:hAnsi="Verdana" w:cs="Arial"/>
          <w:szCs w:val="20"/>
        </w:rPr>
      </w:pPr>
      <w:bookmarkStart w:id="30" w:name="_Toc138359498"/>
      <w:r w:rsidRPr="00B837C1">
        <w:rPr>
          <w:rStyle w:val="Ttulo1Char"/>
          <w:rFonts w:ascii="Verdana" w:hAnsi="Verdana" w:cs="Arial"/>
          <w:sz w:val="20"/>
          <w:szCs w:val="20"/>
        </w:rPr>
        <w:t>CLÁUSULA DÉCIMA SEGUNDA – DA EXTINÇÃO CONTRATUAL</w:t>
      </w:r>
      <w:bookmarkEnd w:id="30"/>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12.1. O contrato será extinto quando cumpridas as obrigações de ambas as partes, ainda que isso ocorra antes do prazo estipulado para tanto.</w:t>
      </w:r>
    </w:p>
    <w:p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B837C1">
        <w:rPr>
          <w:rFonts w:ascii="Verdana" w:hAnsi="Verdana" w:cs="Arial"/>
          <w:bCs/>
          <w:szCs w:val="20"/>
        </w:rPr>
        <w:t>12.3. Quando a não conclusão 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B837C1" w:rsidRDefault="008B5F05" w:rsidP="00536CF4">
      <w:pPr>
        <w:rPr>
          <w:rStyle w:val="Forte"/>
          <w:rFonts w:ascii="Verdana" w:eastAsiaTheme="majorEastAsia" w:hAnsi="Verdana" w:cs="Arial"/>
          <w:szCs w:val="20"/>
        </w:rPr>
      </w:pPr>
      <w:bookmarkStart w:id="31" w:name="_Toc138359499"/>
      <w:r w:rsidRPr="00B837C1">
        <w:rPr>
          <w:rStyle w:val="Ttulo1Char"/>
          <w:rFonts w:ascii="Verdana" w:hAnsi="Verdana" w:cs="Arial"/>
          <w:sz w:val="20"/>
          <w:szCs w:val="20"/>
        </w:rPr>
        <w:t>CLÁUSULA DÉCIMA TERCEIRA – DA DOTAÇÃO ORÇAMENTÁRIA</w:t>
      </w:r>
      <w:bookmarkEnd w:id="31"/>
      <w:r w:rsidRPr="00B837C1">
        <w:rPr>
          <w:rStyle w:val="Forte"/>
          <w:rFonts w:ascii="Verdana" w:eastAsiaTheme="majorEastAsia" w:hAnsi="Verdana" w:cs="Arial"/>
          <w:szCs w:val="20"/>
        </w:rPr>
        <w:t xml:space="preserve"> (ART. 92, VIII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B837C1" w:rsidRDefault="008B5F05" w:rsidP="00536CF4">
      <w:pPr>
        <w:rPr>
          <w:rFonts w:ascii="Verdana" w:hAnsi="Verdana" w:cs="Arial"/>
          <w:szCs w:val="20"/>
        </w:rPr>
      </w:pPr>
      <w:r w:rsidRPr="00B837C1">
        <w:rPr>
          <w:rFonts w:ascii="Verdana" w:hAnsi="Verdana" w:cs="Arial"/>
          <w:szCs w:val="20"/>
        </w:rPr>
        <w:t>13.2. A dotação relativa aos exercícios financeiros subsequentes será indicada após aprovação da Lei Orçamentária respectiva e liberação dos créditos correspondentes, mediante apostilamento.</w:t>
      </w:r>
    </w:p>
    <w:p w:rsidR="008B5F05" w:rsidRPr="00B837C1" w:rsidRDefault="008B5F05" w:rsidP="00536CF4">
      <w:pPr>
        <w:rPr>
          <w:rStyle w:val="Forte"/>
          <w:rFonts w:ascii="Verdana" w:eastAsiaTheme="majorEastAsia" w:hAnsi="Verdana" w:cs="Arial"/>
          <w:szCs w:val="20"/>
        </w:rPr>
      </w:pPr>
      <w:bookmarkStart w:id="32" w:name="_Toc138359500"/>
      <w:r w:rsidRPr="00B837C1">
        <w:rPr>
          <w:rStyle w:val="Ttulo1Char"/>
          <w:rFonts w:ascii="Verdana" w:hAnsi="Verdana" w:cs="Arial"/>
          <w:sz w:val="20"/>
          <w:szCs w:val="20"/>
        </w:rPr>
        <w:t>CLÁUSULA DÉCIMA QUARTA – DOS CASOS OMISSOS</w:t>
      </w:r>
      <w:bookmarkEnd w:id="32"/>
      <w:r w:rsidRPr="00B837C1">
        <w:rPr>
          <w:rStyle w:val="Forte"/>
          <w:rFonts w:ascii="Verdana" w:eastAsiaTheme="majorEastAsia" w:hAnsi="Verdana" w:cs="Arial"/>
          <w:szCs w:val="20"/>
        </w:rPr>
        <w:t xml:space="preserve"> (ART. 92, 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B837C1" w:rsidRDefault="008B5F05" w:rsidP="00536CF4">
      <w:pPr>
        <w:pStyle w:val="Textodecomentrio"/>
        <w:rPr>
          <w:rStyle w:val="Forte"/>
          <w:rFonts w:ascii="Verdana" w:eastAsiaTheme="majorEastAsia" w:hAnsi="Verdana" w:cs="Arial"/>
        </w:rPr>
      </w:pPr>
      <w:bookmarkStart w:id="33" w:name="_Toc138359501"/>
      <w:r w:rsidRPr="00B837C1">
        <w:rPr>
          <w:rStyle w:val="Ttulo1Char"/>
          <w:rFonts w:ascii="Verdana" w:hAnsi="Verdana" w:cs="Arial"/>
          <w:sz w:val="20"/>
          <w:szCs w:val="20"/>
        </w:rPr>
        <w:t>CLÁUSULA DÉCIMA QUINTA – DAS ALTERAÇÕES</w:t>
      </w:r>
      <w:bookmarkEnd w:id="33"/>
      <w:r w:rsidRPr="00B837C1">
        <w:rPr>
          <w:rStyle w:val="Forte"/>
          <w:rFonts w:ascii="Verdana" w:eastAsiaTheme="majorEastAsia" w:hAnsi="Verdana" w:cs="Arial"/>
        </w:rPr>
        <w:t xml:space="preserve">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15.1. Eventuais alterações contratuais reger-se-ão pela disciplina dos arts. 124 e seguintes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B837C1" w:rsidRDefault="008B5F05" w:rsidP="00536CF4">
      <w:pPr>
        <w:pStyle w:val="Textodecomentrio"/>
        <w:rPr>
          <w:rStyle w:val="Forte"/>
          <w:rFonts w:ascii="Verdana" w:eastAsiaTheme="majorEastAsia" w:hAnsi="Verdana" w:cs="Arial"/>
        </w:rPr>
      </w:pPr>
      <w:bookmarkStart w:id="34" w:name="_Toc138359502"/>
      <w:r w:rsidRPr="00B837C1">
        <w:rPr>
          <w:rStyle w:val="Ttulo1Char"/>
          <w:rFonts w:ascii="Verdana" w:hAnsi="Verdana" w:cs="Arial"/>
          <w:sz w:val="20"/>
          <w:szCs w:val="20"/>
        </w:rPr>
        <w:t>CLÁUSULA DÉCIMA SEXTA – DA PUBLICAÇÃO</w:t>
      </w:r>
      <w:bookmarkEnd w:id="34"/>
      <w:r w:rsidRPr="00B837C1">
        <w:rPr>
          <w:rStyle w:val="Forte"/>
          <w:rFonts w:ascii="Verdana" w:eastAsiaTheme="majorEastAsia" w:hAnsi="Verdana" w:cs="Arial"/>
        </w:rPr>
        <w:t xml:space="preserve"> (ART. 94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rsidR="008B5F05" w:rsidRPr="00B837C1" w:rsidRDefault="008B5F05" w:rsidP="00536CF4">
      <w:pPr>
        <w:rPr>
          <w:rStyle w:val="Forte"/>
          <w:rFonts w:ascii="Verdana" w:eastAsiaTheme="majorEastAsia" w:hAnsi="Verdana" w:cs="Arial"/>
          <w:szCs w:val="20"/>
        </w:rPr>
      </w:pPr>
      <w:bookmarkStart w:id="35" w:name="_Toc138359503"/>
      <w:r w:rsidRPr="00B837C1">
        <w:rPr>
          <w:rStyle w:val="Ttulo1Char"/>
          <w:rFonts w:ascii="Verdana" w:hAnsi="Verdana" w:cs="Arial"/>
          <w:sz w:val="20"/>
          <w:szCs w:val="20"/>
        </w:rPr>
        <w:t>CLÁUSULA DÉCIMA SÉTIMA – DO FORO</w:t>
      </w:r>
      <w:bookmarkEnd w:id="35"/>
      <w:r w:rsidRPr="00B837C1">
        <w:rPr>
          <w:rStyle w:val="Forte"/>
          <w:rFonts w:ascii="Verdana" w:eastAsiaTheme="majorEastAsia" w:hAnsi="Verdana" w:cs="Arial"/>
          <w:szCs w:val="20"/>
        </w:rPr>
        <w:t xml:space="preserve"> (ART. 92, §1º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131663">
        <w:rPr>
          <w:rFonts w:ascii="Verdana" w:hAnsi="Verdana" w:cs="Arial"/>
          <w:bCs/>
          <w:szCs w:val="20"/>
        </w:rPr>
        <w:t>Ruy Barbosa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131663" w:rsidRDefault="008B5F05" w:rsidP="00536CF4">
      <w:pPr>
        <w:rPr>
          <w:rFonts w:ascii="Verdana" w:hAnsi="Verdana" w:cs="Arial"/>
          <w:bCs/>
          <w:szCs w:val="20"/>
        </w:rPr>
      </w:pPr>
    </w:p>
    <w:p w:rsidR="008B5F05" w:rsidRDefault="00131663" w:rsidP="00536CF4">
      <w:pPr>
        <w:spacing w:line="240" w:lineRule="auto"/>
        <w:ind w:right="-15"/>
        <w:jc w:val="left"/>
        <w:rPr>
          <w:rFonts w:ascii="Verdana" w:hAnsi="Verdana" w:cstheme="minorHAnsi"/>
          <w:szCs w:val="20"/>
        </w:rPr>
      </w:pPr>
      <w:r w:rsidRPr="00131663">
        <w:rPr>
          <w:rFonts w:ascii="Verdana" w:hAnsi="Verdana" w:cstheme="minorHAnsi"/>
          <w:b/>
          <w:i/>
          <w:szCs w:val="20"/>
        </w:rPr>
        <w:t>Ruy Barbosa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Pr="00131663">
        <w:rPr>
          <w:rFonts w:ascii="Verdana" w:hAnsi="Verdana" w:cstheme="minorHAnsi"/>
          <w:szCs w:val="20"/>
        </w:rPr>
        <w:t>24</w:t>
      </w:r>
      <w:r w:rsidR="008B5F05" w:rsidRPr="00131663">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rsidR="008B5F05" w:rsidRDefault="008B5F05" w:rsidP="00536CF4">
      <w:pPr>
        <w:jc w:val="center"/>
        <w:rPr>
          <w:rFonts w:ascii="Verdana" w:hAnsi="Verdana" w:cs="Arial"/>
          <w:b/>
          <w:bCs/>
          <w:szCs w:val="20"/>
        </w:rPr>
      </w:pPr>
    </w:p>
    <w:p w:rsidR="008B5F05" w:rsidRDefault="008B5F05"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lastRenderedPageBreak/>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2024</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Luiz </w:t>
      </w:r>
      <w:r w:rsidR="00131663" w:rsidRPr="00131663">
        <w:rPr>
          <w:rFonts w:ascii="Verdana" w:hAnsi="Verdana" w:cs="Arial"/>
          <w:szCs w:val="20"/>
        </w:rPr>
        <w:t>Claudio Miranda Pires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001</w:t>
      </w:r>
      <w:r w:rsidRPr="00131663">
        <w:rPr>
          <w:rFonts w:ascii="Verdana" w:hAnsi="Verdana" w:cs="Arial"/>
          <w:szCs w:val="20"/>
        </w:rPr>
        <w:t xml:space="preserve"> /202</w:t>
      </w:r>
      <w:r w:rsidR="00131663" w:rsidRPr="00131663">
        <w:rPr>
          <w:rFonts w:ascii="Verdana" w:hAnsi="Verdana" w:cs="Arial"/>
          <w:szCs w:val="20"/>
        </w:rPr>
        <w:t>4</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1F11A4">
        <w:rPr>
          <w:rFonts w:ascii="Verdana" w:hAnsi="Verdana"/>
          <w:b/>
        </w:rPr>
        <w:t>REGISTRO DE PREÇO PARA AQUISIÇÃO DE POLTRONAS DIVERSAS PARA ATENDER AS NECESSIDADES DA SECRETARIA DE EDUCAÇÃO</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(s) item(ns)</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do Edital de Licitação nº</w:t>
      </w:r>
      <w:r w:rsidRPr="00131663">
        <w:rPr>
          <w:rFonts w:ascii="Verdana" w:hAnsi="Verdana"/>
          <w:i/>
        </w:rPr>
        <w:t xml:space="preserve"> </w:t>
      </w:r>
      <w:r w:rsidR="006C4418">
        <w:rPr>
          <w:rFonts w:ascii="Verdana" w:hAnsi="Verdana"/>
          <w:i/>
        </w:rPr>
        <w:t>008/2024</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fornecedor(es) e as demais condições ofertadas na(s) proposta(s) são as que seguem: </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Style w:val="Tabelacomgrade"/>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bl>
    <w:p w:rsidR="00AC785D" w:rsidRPr="00934403" w:rsidRDefault="00AC785D" w:rsidP="00536CF4">
      <w:pPr>
        <w:pStyle w:val="Nivel2"/>
        <w:numPr>
          <w:ilvl w:val="0"/>
          <w:numId w:val="0"/>
        </w:numPr>
        <w:tabs>
          <w:tab w:val="left" w:pos="284"/>
        </w:tabs>
        <w:spacing w:before="0" w:after="0"/>
        <w:rPr>
          <w:rFonts w:ascii="Verdana" w:hAnsi="Verdana"/>
        </w:rPr>
      </w:pP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2.2. A listagem do cadastro de reserva referente ao presente registro de preços consta como anexo a esta Ata.</w:t>
      </w: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r w:rsidRPr="00934403">
        <w:rPr>
          <w:rFonts w:ascii="Verdana" w:hAnsi="Verdana"/>
          <w:color w:val="2E74B5" w:themeColor="accent1" w:themeShade="BF"/>
        </w:rPr>
        <w:t>ÓRGÃO(S)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 Ruy Barbosa</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lastRenderedPageBreak/>
        <w:t>3.2. Além do gerenciador, não há órgãos e entidades públicas participantes do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t xml:space="preserve">DA ADESÃO À ATA DE REGISTRO DE PREÇOS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lastRenderedPageBreak/>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111454">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lastRenderedPageBreak/>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9. CANCELAMENTO DO REGISTRO DO LICITANTE VENCEDOR E DOS PREÇOS REGISTRADOS</w:t>
      </w:r>
      <w:bookmarkStart w:id="45" w:name="cancelamento"/>
      <w:bookmarkEnd w:id="45"/>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9.1.3. Não aceitar manter seu preço registrado, na hipótese prevista §2º do art. 27 do Decreto nº 11.462, de 2023;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10.3. O órgão ou entidade participante deverá comunicar ao órgão gerenciador qualquer das ocorrências previstas no item 9.1, dada a necessidade de instauração de procedimento para cancelamento do registro do fornecedor.</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24</w:t>
      </w:r>
    </w:p>
    <w:p w:rsidR="00C01541" w:rsidRPr="00C01541" w:rsidRDefault="00C01541"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Secretaria Municipal de Educação</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CNPJ: xxxxxxxxxxxxx</w:t>
      </w: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AC785D" w:rsidRDefault="00AC785D"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 xml:space="preserve">relação de fornecedores que aceitaram cotar os </w:t>
      </w:r>
      <w:r w:rsidRPr="00934403">
        <w:rPr>
          <w:rFonts w:ascii="Verdana" w:hAnsi="Verdana" w:cs="Arial"/>
          <w:b/>
          <w:bCs/>
          <w:color w:val="000000"/>
          <w:szCs w:val="20"/>
        </w:rPr>
        <w:lastRenderedPageBreak/>
        <w:t>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13"/>
      <w:footerReference w:type="default" r:id="rId14"/>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7F5" w:rsidRDefault="002427F5" w:rsidP="00312A02">
      <w:pPr>
        <w:spacing w:line="240" w:lineRule="auto"/>
      </w:pPr>
      <w:r>
        <w:separator/>
      </w:r>
    </w:p>
  </w:endnote>
  <w:endnote w:type="continuationSeparator" w:id="0">
    <w:p w:rsidR="002427F5" w:rsidRDefault="002427F5"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4">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1A4" w:rsidRPr="00C94251" w:rsidRDefault="001F11A4"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3E0FDC">
      <w:rPr>
        <w:noProof/>
        <w:color w:val="323E4F" w:themeColor="text2" w:themeShade="BF"/>
        <w:sz w:val="22"/>
        <w:szCs w:val="22"/>
      </w:rPr>
      <w:t>2</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3E0FDC">
      <w:rPr>
        <w:noProof/>
        <w:color w:val="323E4F" w:themeColor="text2" w:themeShade="BF"/>
        <w:sz w:val="22"/>
        <w:szCs w:val="22"/>
      </w:rPr>
      <w:t>49</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7F5" w:rsidRDefault="002427F5" w:rsidP="00312A02">
      <w:pPr>
        <w:spacing w:line="240" w:lineRule="auto"/>
      </w:pPr>
      <w:r>
        <w:separator/>
      </w:r>
    </w:p>
  </w:footnote>
  <w:footnote w:type="continuationSeparator" w:id="0">
    <w:p w:rsidR="002427F5" w:rsidRDefault="002427F5"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11A4" w:rsidRPr="00352186" w:rsidRDefault="001F11A4" w:rsidP="00AC785D">
    <w:pPr>
      <w:pStyle w:val="Cabealho"/>
      <w:jc w:val="right"/>
      <w:rPr>
        <w:b/>
        <w:bCs/>
        <w:noProof/>
      </w:rPr>
    </w:pPr>
    <w:r w:rsidRPr="00544B8F">
      <w:rPr>
        <w:noProof/>
      </w:rPr>
      <w:drawing>
        <wp:inline distT="0" distB="0" distL="0" distR="0" wp14:anchorId="175B5A29" wp14:editId="269E855A">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7AD7"/>
    <w:rsid w:val="000640C3"/>
    <w:rsid w:val="00084544"/>
    <w:rsid w:val="000A369F"/>
    <w:rsid w:val="000B34BB"/>
    <w:rsid w:val="000B39C7"/>
    <w:rsid w:val="000F6C90"/>
    <w:rsid w:val="00111454"/>
    <w:rsid w:val="00131663"/>
    <w:rsid w:val="001440CA"/>
    <w:rsid w:val="001F1171"/>
    <w:rsid w:val="001F11A4"/>
    <w:rsid w:val="00207CA3"/>
    <w:rsid w:val="002326AD"/>
    <w:rsid w:val="002427F5"/>
    <w:rsid w:val="002C3BD3"/>
    <w:rsid w:val="002D655A"/>
    <w:rsid w:val="00312A02"/>
    <w:rsid w:val="003A76D2"/>
    <w:rsid w:val="003C0BCA"/>
    <w:rsid w:val="003E0FDC"/>
    <w:rsid w:val="003E3F06"/>
    <w:rsid w:val="00412459"/>
    <w:rsid w:val="00430AC5"/>
    <w:rsid w:val="00431526"/>
    <w:rsid w:val="00436B78"/>
    <w:rsid w:val="00442ACC"/>
    <w:rsid w:val="00465517"/>
    <w:rsid w:val="005174BC"/>
    <w:rsid w:val="00536CF4"/>
    <w:rsid w:val="00567DF8"/>
    <w:rsid w:val="005847BF"/>
    <w:rsid w:val="005F1BCE"/>
    <w:rsid w:val="00607886"/>
    <w:rsid w:val="00617AD7"/>
    <w:rsid w:val="00641577"/>
    <w:rsid w:val="006473A5"/>
    <w:rsid w:val="00650D89"/>
    <w:rsid w:val="006A18A8"/>
    <w:rsid w:val="006B453E"/>
    <w:rsid w:val="006C4418"/>
    <w:rsid w:val="00700DB9"/>
    <w:rsid w:val="00707B52"/>
    <w:rsid w:val="007302C0"/>
    <w:rsid w:val="00731565"/>
    <w:rsid w:val="00744EDD"/>
    <w:rsid w:val="00777833"/>
    <w:rsid w:val="00791214"/>
    <w:rsid w:val="007C37F4"/>
    <w:rsid w:val="007D0CEE"/>
    <w:rsid w:val="008120BB"/>
    <w:rsid w:val="008135D1"/>
    <w:rsid w:val="00817AD7"/>
    <w:rsid w:val="00822799"/>
    <w:rsid w:val="0084715E"/>
    <w:rsid w:val="00850D0F"/>
    <w:rsid w:val="00876C0E"/>
    <w:rsid w:val="008848CC"/>
    <w:rsid w:val="008B5F05"/>
    <w:rsid w:val="00915C75"/>
    <w:rsid w:val="009D66DD"/>
    <w:rsid w:val="009F5113"/>
    <w:rsid w:val="00A0317D"/>
    <w:rsid w:val="00A467D8"/>
    <w:rsid w:val="00A533C7"/>
    <w:rsid w:val="00A64FA5"/>
    <w:rsid w:val="00A72A46"/>
    <w:rsid w:val="00A810F9"/>
    <w:rsid w:val="00AC785D"/>
    <w:rsid w:val="00AE2E4A"/>
    <w:rsid w:val="00AF4298"/>
    <w:rsid w:val="00B37C51"/>
    <w:rsid w:val="00B5058C"/>
    <w:rsid w:val="00BA4381"/>
    <w:rsid w:val="00BB705D"/>
    <w:rsid w:val="00C01541"/>
    <w:rsid w:val="00C05A47"/>
    <w:rsid w:val="00C1161E"/>
    <w:rsid w:val="00C20073"/>
    <w:rsid w:val="00C21BD3"/>
    <w:rsid w:val="00C4153F"/>
    <w:rsid w:val="00C41AE7"/>
    <w:rsid w:val="00C74F81"/>
    <w:rsid w:val="00CA6F9F"/>
    <w:rsid w:val="00CB4675"/>
    <w:rsid w:val="00CC0076"/>
    <w:rsid w:val="00D522A8"/>
    <w:rsid w:val="00D873A5"/>
    <w:rsid w:val="00D938C0"/>
    <w:rsid w:val="00DA68DB"/>
    <w:rsid w:val="00DC400C"/>
    <w:rsid w:val="00DC6632"/>
    <w:rsid w:val="00E546C3"/>
    <w:rsid w:val="00E86F00"/>
    <w:rsid w:val="00F07356"/>
    <w:rsid w:val="00F26382"/>
    <w:rsid w:val="00F4225B"/>
    <w:rsid w:val="00F44B14"/>
    <w:rsid w:val="00F54AD7"/>
    <w:rsid w:val="00F83293"/>
    <w:rsid w:val="00FD01C6"/>
    <w:rsid w:val="00FD436D"/>
    <w:rsid w:val="00FE3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59C789-B64F-4E72-8EA8-F5FFED91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312A02"/>
    <w:pPr>
      <w:ind w:left="720"/>
      <w:contextualSpacing/>
    </w:p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rsid w:val="00312A02"/>
    <w:rPr>
      <w:color w:val="000080"/>
      <w:u w:val="single"/>
    </w:rPr>
  </w:style>
  <w:style w:type="table" w:styleId="Tabelacomgrade">
    <w:name w:val="Table Grid"/>
    <w:basedOn w:val="Tabelanormal"/>
    <w:uiPriority w:val="39"/>
    <w:rsid w:val="00312A02"/>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nhideWhenUsed/>
    <w:rsid w:val="00312A02"/>
    <w:rPr>
      <w:rFonts w:ascii="Segoe UI" w:hAnsi="Segoe UI" w:cs="Segoe UI"/>
      <w:sz w:val="18"/>
      <w:szCs w:val="18"/>
    </w:rPr>
  </w:style>
  <w:style w:type="character" w:customStyle="1" w:styleId="TextodebaloChar">
    <w:name w:val="Texto de balão Char"/>
    <w:basedOn w:val="Fontepargpadro"/>
    <w:link w:val="Textodebalo"/>
    <w:rsid w:val="00312A02"/>
    <w:rPr>
      <w:rFonts w:ascii="Segoe UI" w:eastAsia="Times New Roman" w:hAnsi="Segoe UI" w:cs="Segoe UI"/>
      <w:sz w:val="18"/>
      <w:szCs w:val="18"/>
      <w:lang w:eastAsia="pt-BR"/>
    </w:rPr>
  </w:style>
  <w:style w:type="paragraph" w:styleId="Cabealho">
    <w:name w:val="header"/>
    <w:aliases w:val="Cabeçalho superior,encabezado,Heading 1a"/>
    <w:basedOn w:val="Normal"/>
    <w:link w:val="CabealhoChar"/>
    <w:unhideWhenUsed/>
    <w:rsid w:val="00312A02"/>
    <w:pPr>
      <w:tabs>
        <w:tab w:val="center" w:pos="4252"/>
        <w:tab w:val="right" w:pos="8504"/>
      </w:tabs>
    </w:pPr>
  </w:style>
  <w:style w:type="character" w:customStyle="1" w:styleId="CabealhoChar">
    <w:name w:val="Cabeçalho Char"/>
    <w:aliases w:val="Cabeçalho superior Char,encabezado Char,Heading 1a Char"/>
    <w:basedOn w:val="Fontepargpadro"/>
    <w:link w:val="Cabealho"/>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iPriority w:val="99"/>
    <w:unhideWhenUsed/>
    <w:rsid w:val="00312A02"/>
    <w:pPr>
      <w:spacing w:line="240" w:lineRule="auto"/>
    </w:pPr>
    <w:rPr>
      <w:szCs w:val="20"/>
    </w:rPr>
  </w:style>
  <w:style w:type="character" w:customStyle="1" w:styleId="TextodenotaderodapChar">
    <w:name w:val="Texto de nota de rodapé Char"/>
    <w:basedOn w:val="Fontepargpadro"/>
    <w:link w:val="Textodenotaderodap"/>
    <w:uiPriority w:val="99"/>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iPriority w:val="99"/>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styleId="Corpodetexto">
    <w:name w:val="Body Text"/>
    <w:basedOn w:val="Normal"/>
    <w:link w:val="CorpodetextoChar"/>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rsid w:val="007C37F4"/>
    <w:rPr>
      <w:rFonts w:ascii="Arial" w:eastAsia="Times New Roman" w:hAnsi="Arial" w:cs="Arial"/>
      <w:b/>
      <w:color w:val="000000"/>
      <w:szCs w:val="20"/>
      <w:lang w:eastAsia="pt-BR"/>
    </w:r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 w:type="character" w:customStyle="1" w:styleId="fontstyle01">
    <w:name w:val="fontstyle01"/>
    <w:basedOn w:val="Fontepargpadro"/>
    <w:rsid w:val="001F11A4"/>
    <w:rPr>
      <w:rFonts w:ascii="CIDFont+F4" w:hAnsi="CIDFont+F4"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www.cora.com.br/blog/para-que-serve-o-ipc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nc.org.br/"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1</Pages>
  <Words>17895</Words>
  <Characters>96637</Characters>
  <Application>Microsoft Office Word</Application>
  <DocSecurity>0</DocSecurity>
  <Lines>805</Lines>
  <Paragraphs>228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cp:lastModifiedBy>
  <cp:revision>83</cp:revision>
  <cp:lastPrinted>2024-02-16T15:02:00Z</cp:lastPrinted>
  <dcterms:created xsi:type="dcterms:W3CDTF">2024-01-15T13:48:00Z</dcterms:created>
  <dcterms:modified xsi:type="dcterms:W3CDTF">2024-05-27T17:15:00Z</dcterms:modified>
</cp:coreProperties>
</file>