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7D5F51" w14:textId="3F5C0CA2" w:rsidR="00927F50" w:rsidRPr="004B0069" w:rsidRDefault="00626E4D" w:rsidP="00ED3AF3">
      <w:pPr>
        <w:pStyle w:val="Ttulo1"/>
        <w:shd w:val="clear" w:color="auto" w:fill="FFFFFF"/>
        <w:rPr>
          <w:rFonts w:ascii="Arial" w:eastAsia="Arial" w:hAnsi="Arial" w:cs="Arial"/>
          <w:sz w:val="22"/>
          <w:szCs w:val="22"/>
        </w:rPr>
      </w:pPr>
      <w:r w:rsidRPr="004B0069">
        <w:rPr>
          <w:rFonts w:ascii="Arial" w:eastAsia="Arial" w:hAnsi="Arial" w:cs="Arial"/>
          <w:sz w:val="22"/>
          <w:szCs w:val="22"/>
        </w:rPr>
        <w:t>TERMO DE AUTORIZAÇÃO DE INEXIGIBILIDADE DE LICITAÇÃO</w:t>
      </w:r>
    </w:p>
    <w:p w14:paraId="28BE6FDB" w14:textId="4BB52CF6" w:rsidR="00927F50" w:rsidRPr="004B0069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22"/>
          <w:szCs w:val="22"/>
        </w:rPr>
      </w:pPr>
      <w:r w:rsidRPr="004B0069">
        <w:rPr>
          <w:rFonts w:ascii="Arial" w:eastAsia="Arial" w:hAnsi="Arial" w:cs="Arial"/>
          <w:b/>
          <w:sz w:val="22"/>
          <w:szCs w:val="22"/>
        </w:rPr>
        <w:t xml:space="preserve">PROCESSO ADMINISTRATIVO Nº </w:t>
      </w:r>
      <w:r w:rsidR="006F3F7D" w:rsidRPr="004B0069">
        <w:rPr>
          <w:rFonts w:ascii="Arial" w:eastAsia="Arial" w:hAnsi="Arial" w:cs="Arial"/>
          <w:b/>
          <w:sz w:val="22"/>
          <w:szCs w:val="22"/>
        </w:rPr>
        <w:t>150</w:t>
      </w:r>
      <w:r w:rsidR="008340FD" w:rsidRPr="004B0069">
        <w:rPr>
          <w:rFonts w:ascii="Arial" w:eastAsia="Arial" w:hAnsi="Arial" w:cs="Arial"/>
          <w:b/>
          <w:sz w:val="22"/>
          <w:szCs w:val="22"/>
        </w:rPr>
        <w:t>/</w:t>
      </w:r>
      <w:r w:rsidR="00111E14" w:rsidRPr="004B0069">
        <w:rPr>
          <w:rFonts w:ascii="Arial" w:eastAsia="Arial" w:hAnsi="Arial" w:cs="Arial"/>
          <w:b/>
          <w:sz w:val="22"/>
          <w:szCs w:val="22"/>
        </w:rPr>
        <w:t>202</w:t>
      </w:r>
      <w:r w:rsidR="006B3F4C" w:rsidRPr="004B0069">
        <w:rPr>
          <w:rFonts w:ascii="Arial" w:eastAsia="Arial" w:hAnsi="Arial" w:cs="Arial"/>
          <w:b/>
          <w:sz w:val="22"/>
          <w:szCs w:val="22"/>
        </w:rPr>
        <w:t>5</w:t>
      </w:r>
    </w:p>
    <w:p w14:paraId="2CD5FEB3" w14:textId="57912163" w:rsidR="00927F50" w:rsidRPr="004B0069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22"/>
          <w:szCs w:val="22"/>
        </w:rPr>
      </w:pPr>
      <w:r w:rsidRPr="004B0069">
        <w:rPr>
          <w:rFonts w:ascii="Arial" w:eastAsia="Arial" w:hAnsi="Arial" w:cs="Arial"/>
          <w:b/>
          <w:sz w:val="22"/>
          <w:szCs w:val="22"/>
        </w:rPr>
        <w:t>INEXIGIBILIDADE DE LICI</w:t>
      </w:r>
      <w:r w:rsidR="006F3F7D" w:rsidRPr="004B0069">
        <w:rPr>
          <w:rFonts w:ascii="Arial" w:eastAsia="Arial" w:hAnsi="Arial" w:cs="Arial"/>
          <w:b/>
          <w:sz w:val="22"/>
          <w:szCs w:val="22"/>
        </w:rPr>
        <w:t>TAÇÃO Nº39</w:t>
      </w:r>
      <w:r w:rsidR="003C2812" w:rsidRPr="004B0069">
        <w:rPr>
          <w:rFonts w:ascii="Arial" w:eastAsia="Arial" w:hAnsi="Arial" w:cs="Arial"/>
          <w:b/>
          <w:sz w:val="22"/>
          <w:szCs w:val="22"/>
        </w:rPr>
        <w:t>/</w:t>
      </w:r>
      <w:r w:rsidR="00111E14" w:rsidRPr="004B0069">
        <w:rPr>
          <w:rFonts w:ascii="Arial" w:eastAsia="Arial" w:hAnsi="Arial" w:cs="Arial"/>
          <w:b/>
          <w:sz w:val="22"/>
          <w:szCs w:val="22"/>
        </w:rPr>
        <w:t>202</w:t>
      </w:r>
      <w:r w:rsidR="006B3F4C" w:rsidRPr="004B0069">
        <w:rPr>
          <w:rFonts w:ascii="Arial" w:eastAsia="Arial" w:hAnsi="Arial" w:cs="Arial"/>
          <w:b/>
          <w:sz w:val="22"/>
          <w:szCs w:val="22"/>
        </w:rPr>
        <w:t>5</w:t>
      </w:r>
    </w:p>
    <w:p w14:paraId="2898E036" w14:textId="77777777" w:rsidR="00927F50" w:rsidRPr="004B0069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</w:rPr>
      </w:pPr>
    </w:p>
    <w:p w14:paraId="0BDE4087" w14:textId="0ED4FAED" w:rsidR="00927F50" w:rsidRPr="004B0069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</w:rPr>
      </w:pPr>
      <w:r w:rsidRPr="004B0069">
        <w:rPr>
          <w:rFonts w:ascii="Arial" w:eastAsia="Arial" w:hAnsi="Arial" w:cs="Arial"/>
          <w:sz w:val="22"/>
          <w:szCs w:val="22"/>
        </w:rPr>
        <w:t xml:space="preserve">À vista dos elementos contidos no presente Processo devidamente justificado, CONSIDERANDO que a INEXIGIBILIDADE DE LICITAÇÃO está em conformidade ao disposto </w:t>
      </w:r>
      <w:r w:rsidR="006F6079" w:rsidRPr="004B0069">
        <w:rPr>
          <w:rFonts w:ascii="Arial" w:eastAsia="Arial" w:hAnsi="Arial" w:cs="Arial"/>
          <w:b/>
          <w:sz w:val="22"/>
          <w:szCs w:val="22"/>
        </w:rPr>
        <w:t>no art. 74, III</w:t>
      </w:r>
      <w:r w:rsidR="008D72B8" w:rsidRPr="004B0069">
        <w:rPr>
          <w:rFonts w:ascii="Arial" w:eastAsia="Arial" w:hAnsi="Arial" w:cs="Arial"/>
          <w:b/>
          <w:sz w:val="22"/>
          <w:szCs w:val="22"/>
        </w:rPr>
        <w:t>,</w:t>
      </w:r>
      <w:r w:rsidR="006F6079" w:rsidRPr="004B0069">
        <w:rPr>
          <w:rFonts w:ascii="Arial" w:eastAsia="Arial" w:hAnsi="Arial" w:cs="Arial"/>
          <w:b/>
          <w:sz w:val="22"/>
          <w:szCs w:val="22"/>
        </w:rPr>
        <w:t xml:space="preserve"> alínea “c”, c/c art. 6, XVIII, “c”, da</w:t>
      </w:r>
      <w:r w:rsidRPr="004B0069">
        <w:rPr>
          <w:rFonts w:ascii="Arial" w:eastAsia="Arial" w:hAnsi="Arial" w:cs="Arial"/>
          <w:b/>
          <w:sz w:val="22"/>
          <w:szCs w:val="22"/>
        </w:rPr>
        <w:t xml:space="preserve"> Lei 14.133/21, CONSIDERANDO ainda</w:t>
      </w:r>
      <w:r w:rsidRPr="004B0069">
        <w:rPr>
          <w:rFonts w:ascii="Arial" w:eastAsia="Arial" w:hAnsi="Arial" w:cs="Arial"/>
          <w:sz w:val="22"/>
          <w:szCs w:val="22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4B0069">
        <w:rPr>
          <w:rFonts w:ascii="Arial" w:eastAsia="Arial" w:hAnsi="Arial" w:cs="Arial"/>
          <w:b/>
          <w:sz w:val="22"/>
          <w:szCs w:val="22"/>
        </w:rPr>
        <w:t>AUTORIZO e HOMOLOGO a INEXIGIBILIDADE DE LICITAÇÃ</w:t>
      </w:r>
      <w:r w:rsidR="006F6079" w:rsidRPr="004B0069">
        <w:rPr>
          <w:rFonts w:ascii="Arial" w:eastAsia="Arial" w:hAnsi="Arial" w:cs="Arial"/>
          <w:b/>
          <w:sz w:val="22"/>
          <w:szCs w:val="22"/>
        </w:rPr>
        <w:t xml:space="preserve">O </w:t>
      </w:r>
      <w:r w:rsidR="006F3F7D" w:rsidRPr="004B0069">
        <w:rPr>
          <w:rFonts w:ascii="Arial" w:eastAsia="Arial" w:hAnsi="Arial" w:cs="Arial"/>
          <w:b/>
          <w:sz w:val="22"/>
          <w:szCs w:val="22"/>
        </w:rPr>
        <w:t>39</w:t>
      </w:r>
      <w:r w:rsidR="003C2812" w:rsidRPr="004B0069">
        <w:rPr>
          <w:rFonts w:ascii="Arial" w:eastAsia="Arial" w:hAnsi="Arial" w:cs="Arial"/>
          <w:b/>
          <w:sz w:val="22"/>
          <w:szCs w:val="22"/>
        </w:rPr>
        <w:t>/202</w:t>
      </w:r>
      <w:r w:rsidR="009D592E" w:rsidRPr="004B0069">
        <w:rPr>
          <w:rFonts w:ascii="Arial" w:eastAsia="Arial" w:hAnsi="Arial" w:cs="Arial"/>
          <w:b/>
          <w:sz w:val="22"/>
          <w:szCs w:val="22"/>
        </w:rPr>
        <w:t>5</w:t>
      </w:r>
      <w:r w:rsidRPr="004B0069">
        <w:rPr>
          <w:rFonts w:ascii="Arial" w:eastAsia="Arial" w:hAnsi="Arial" w:cs="Arial"/>
          <w:sz w:val="22"/>
          <w:szCs w:val="22"/>
        </w:rPr>
        <w:t xml:space="preserve">. </w:t>
      </w:r>
    </w:p>
    <w:p w14:paraId="685E2467" w14:textId="77777777" w:rsidR="00927F50" w:rsidRPr="004B0069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</w:rPr>
      </w:pPr>
    </w:p>
    <w:p w14:paraId="7EA76772" w14:textId="77777777" w:rsidR="00927F50" w:rsidRPr="004B0069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</w:rPr>
      </w:pPr>
      <w:r w:rsidRPr="004B0069">
        <w:rPr>
          <w:rFonts w:ascii="Arial" w:eastAsia="Arial" w:hAnsi="Arial" w:cs="Arial"/>
          <w:sz w:val="22"/>
          <w:szCs w:val="22"/>
        </w:rPr>
        <w:t>Autorizo em consequência, a proceder-se à contratação, conforme abaixo descrito:</w:t>
      </w:r>
    </w:p>
    <w:p w14:paraId="77386D0F" w14:textId="77777777" w:rsidR="00927F50" w:rsidRPr="004B0069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426764" w:rsidRPr="004B0069" w14:paraId="38BF1D6B" w14:textId="77777777">
        <w:tc>
          <w:tcPr>
            <w:tcW w:w="2943" w:type="dxa"/>
          </w:tcPr>
          <w:p w14:paraId="4ABCC0F9" w14:textId="77777777" w:rsidR="00927F50" w:rsidRPr="004B0069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 w:rsidRPr="004B0069">
              <w:rPr>
                <w:rFonts w:ascii="Arial" w:eastAsia="Arial" w:hAnsi="Arial" w:cs="Arial"/>
                <w:sz w:val="22"/>
                <w:szCs w:val="22"/>
              </w:rPr>
              <w:t xml:space="preserve">Objeto a ser contratado: </w:t>
            </w:r>
          </w:p>
        </w:tc>
        <w:tc>
          <w:tcPr>
            <w:tcW w:w="6836" w:type="dxa"/>
          </w:tcPr>
          <w:p w14:paraId="4CD5EDBB" w14:textId="28F9CB8F" w:rsidR="004B0069" w:rsidRPr="004B0069" w:rsidRDefault="004B0069" w:rsidP="004B00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4"/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4B0069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Contratação de empresa para prestação de serviços </w:t>
            </w:r>
            <w:r w:rsidRPr="004B0069">
              <w:rPr>
                <w:rFonts w:ascii="Arial" w:hAnsi="Arial" w:cs="Arial"/>
                <w:sz w:val="22"/>
                <w:szCs w:val="22"/>
              </w:rPr>
              <w:t xml:space="preserve">técnicos profissionais de consultoria jurídica, especializada nas áreas do Direito Público Administrativo e Municipal junto, para orientação técnica jurídica, emissão de pareceres e elaboração de defesas administrativas junto ao Tribunal de Contas do Município, do Estado do Bahia TCM/BA e União elaborando defesas e fazendo acompanhamento dos processos nestes órgãos técnicos, bem como sustentação oral. Apresentação de relatórios analíticos sobre riscos de responsabilização e proposição de medidas preventivas para adequação </w:t>
            </w:r>
            <w:r w:rsidR="001B5698">
              <w:rPr>
                <w:rFonts w:ascii="Arial" w:hAnsi="Arial" w:cs="Arial"/>
                <w:sz w:val="22"/>
                <w:szCs w:val="22"/>
              </w:rPr>
              <w:t>ás normas do controle externo, a</w:t>
            </w:r>
            <w:r w:rsidRPr="004B0069">
              <w:rPr>
                <w:rFonts w:ascii="Arial" w:hAnsi="Arial" w:cs="Arial"/>
                <w:sz w:val="22"/>
                <w:szCs w:val="22"/>
              </w:rPr>
              <w:t xml:space="preserve">companhamento dos processos com expedição de precatórios formados e discutindo prazos de </w:t>
            </w:r>
            <w:r w:rsidR="001B5698" w:rsidRPr="004B0069">
              <w:rPr>
                <w:rFonts w:ascii="Arial" w:hAnsi="Arial" w:cs="Arial"/>
                <w:sz w:val="22"/>
                <w:szCs w:val="22"/>
              </w:rPr>
              <w:t>pagamento,</w:t>
            </w:r>
            <w:r w:rsidR="001B5698">
              <w:rPr>
                <w:rFonts w:ascii="Arial" w:hAnsi="Arial" w:cs="Arial"/>
                <w:sz w:val="22"/>
                <w:szCs w:val="22"/>
              </w:rPr>
              <w:t xml:space="preserve"> incluindo também,</w:t>
            </w:r>
            <w:r w:rsidR="001B5698">
              <w:t xml:space="preserve"> </w:t>
            </w:r>
            <w:r w:rsidR="001B5698" w:rsidRPr="001B5698">
              <w:rPr>
                <w:rFonts w:ascii="Arial" w:hAnsi="Arial" w:cs="Arial"/>
                <w:sz w:val="22"/>
                <w:szCs w:val="22"/>
              </w:rPr>
              <w:t xml:space="preserve">defesas dos ordenadores de despesas junto aos órgãos competentes e também acompanhamento dos processos junto ao TJ BA </w:t>
            </w:r>
            <w:r w:rsidRPr="004B0069">
              <w:rPr>
                <w:rFonts w:ascii="Arial" w:hAnsi="Arial" w:cs="Arial"/>
                <w:sz w:val="22"/>
                <w:szCs w:val="22"/>
              </w:rPr>
              <w:t xml:space="preserve">conforme as especificações acordadas e dirigidas por esta Procuradoria Geral. </w:t>
            </w:r>
          </w:p>
          <w:p w14:paraId="4643F948" w14:textId="460DF853" w:rsidR="00927F50" w:rsidRPr="004B0069" w:rsidRDefault="00927F50" w:rsidP="006F3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4"/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426764" w:rsidRPr="004B0069" w14:paraId="0E336C8C" w14:textId="77777777">
        <w:tc>
          <w:tcPr>
            <w:tcW w:w="2943" w:type="dxa"/>
          </w:tcPr>
          <w:p w14:paraId="16D858AE" w14:textId="5DFF341E" w:rsidR="00927F50" w:rsidRPr="004B0069" w:rsidRDefault="008B05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 w:rsidRPr="004B0069">
              <w:rPr>
                <w:rFonts w:ascii="Arial" w:eastAsia="Arial" w:hAnsi="Arial" w:cs="Arial"/>
                <w:sz w:val="22"/>
                <w:szCs w:val="22"/>
              </w:rPr>
              <w:t>Favorecida</w:t>
            </w:r>
            <w:r w:rsidR="00626E4D" w:rsidRPr="004B0069">
              <w:rPr>
                <w:rFonts w:ascii="Arial" w:eastAsia="Arial" w:hAnsi="Arial" w:cs="Arial"/>
                <w:sz w:val="22"/>
                <w:szCs w:val="22"/>
              </w:rPr>
              <w:t xml:space="preserve">: </w:t>
            </w:r>
          </w:p>
        </w:tc>
        <w:tc>
          <w:tcPr>
            <w:tcW w:w="6836" w:type="dxa"/>
          </w:tcPr>
          <w:p w14:paraId="04CED7A4" w14:textId="69FF3527" w:rsidR="00927F50" w:rsidRPr="004B0069" w:rsidRDefault="006F3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4B0069">
              <w:rPr>
                <w:rFonts w:ascii="Arial" w:hAnsi="Arial" w:cs="Arial"/>
                <w:b/>
                <w:sz w:val="22"/>
                <w:szCs w:val="22"/>
              </w:rPr>
              <w:t>ISMERIM ADVOGADOS ASSOCIADOS - EPP</w:t>
            </w:r>
            <w:r w:rsidR="00111E14" w:rsidRPr="004B0069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426764" w:rsidRPr="004B0069" w14:paraId="1D70C5CA" w14:textId="77777777">
        <w:tc>
          <w:tcPr>
            <w:tcW w:w="2943" w:type="dxa"/>
          </w:tcPr>
          <w:p w14:paraId="65D7F2A6" w14:textId="77777777" w:rsidR="00927F50" w:rsidRPr="004B0069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 w:rsidRPr="004B0069">
              <w:rPr>
                <w:rFonts w:ascii="Arial" w:eastAsia="Arial" w:hAnsi="Arial" w:cs="Arial"/>
                <w:sz w:val="22"/>
                <w:szCs w:val="22"/>
              </w:rPr>
              <w:t>Prazo de Execução e Vigência:</w:t>
            </w:r>
          </w:p>
        </w:tc>
        <w:tc>
          <w:tcPr>
            <w:tcW w:w="6836" w:type="dxa"/>
          </w:tcPr>
          <w:p w14:paraId="2884C890" w14:textId="32034A9F" w:rsidR="00927F50" w:rsidRPr="004B0069" w:rsidRDefault="00CA7C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4B0069">
              <w:rPr>
                <w:rFonts w:ascii="Arial" w:eastAsia="Arial" w:hAnsi="Arial" w:cs="Arial"/>
                <w:color w:val="000000"/>
                <w:sz w:val="22"/>
                <w:szCs w:val="22"/>
              </w:rPr>
              <w:t>12 (doze) meses</w:t>
            </w:r>
            <w:r w:rsidR="00626E4D" w:rsidRPr="004B0069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090EF244" w14:textId="5B03C227" w:rsidR="00927F50" w:rsidRPr="004B0069" w:rsidRDefault="001B5698" w:rsidP="001B56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03.06.2025 a 03.06.2026</w:t>
            </w:r>
            <w:r w:rsidR="00626E4D" w:rsidRPr="004B0069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</w:tc>
      </w:tr>
      <w:tr w:rsidR="00426764" w:rsidRPr="004B0069" w14:paraId="30FC1BCA" w14:textId="77777777">
        <w:tc>
          <w:tcPr>
            <w:tcW w:w="2943" w:type="dxa"/>
          </w:tcPr>
          <w:p w14:paraId="0A609ADF" w14:textId="77777777" w:rsidR="00927F50" w:rsidRPr="004B0069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 w:rsidRPr="004B0069">
              <w:rPr>
                <w:rFonts w:ascii="Arial" w:eastAsia="Arial" w:hAnsi="Arial" w:cs="Arial"/>
                <w:sz w:val="22"/>
                <w:szCs w:val="22"/>
              </w:rPr>
              <w:t xml:space="preserve">Valor Total: </w:t>
            </w:r>
          </w:p>
        </w:tc>
        <w:tc>
          <w:tcPr>
            <w:tcW w:w="6836" w:type="dxa"/>
          </w:tcPr>
          <w:p w14:paraId="3722113D" w14:textId="108330ED" w:rsidR="00927F50" w:rsidRPr="004B0069" w:rsidRDefault="006F3F7D" w:rsidP="006F3F7D">
            <w:pPr>
              <w:shd w:val="clear" w:color="auto" w:fill="FFFFFF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4B0069">
              <w:rPr>
                <w:rFonts w:ascii="Arial" w:eastAsia="Arial" w:hAnsi="Arial" w:cs="Arial"/>
                <w:sz w:val="22"/>
                <w:szCs w:val="22"/>
              </w:rPr>
              <w:t>R$ 9</w:t>
            </w:r>
            <w:r w:rsidR="0061312E" w:rsidRPr="004B0069">
              <w:rPr>
                <w:rFonts w:ascii="Arial" w:eastAsia="Arial" w:hAnsi="Arial" w:cs="Arial"/>
                <w:sz w:val="22"/>
                <w:szCs w:val="22"/>
              </w:rPr>
              <w:t>6.000,00 (</w:t>
            </w:r>
            <w:r w:rsidRPr="004B0069">
              <w:rPr>
                <w:rFonts w:ascii="Arial" w:eastAsia="Arial" w:hAnsi="Arial" w:cs="Arial"/>
                <w:sz w:val="22"/>
                <w:szCs w:val="22"/>
              </w:rPr>
              <w:t>noventa</w:t>
            </w:r>
            <w:r w:rsidR="0061312E" w:rsidRPr="004B0069">
              <w:rPr>
                <w:rFonts w:ascii="Arial" w:eastAsia="Arial" w:hAnsi="Arial" w:cs="Arial"/>
                <w:sz w:val="22"/>
                <w:szCs w:val="22"/>
              </w:rPr>
              <w:t xml:space="preserve"> e seis mil reais)</w:t>
            </w:r>
            <w:r w:rsidR="00DB5E80" w:rsidRPr="004B0069">
              <w:rPr>
                <w:rFonts w:ascii="Arial" w:eastAsia="Arial" w:hAnsi="Arial" w:cs="Arial"/>
                <w:sz w:val="22"/>
                <w:szCs w:val="22"/>
              </w:rPr>
              <w:t>.</w:t>
            </w:r>
            <w:r w:rsidR="00626E4D" w:rsidRPr="004B0069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</w:tc>
      </w:tr>
      <w:tr w:rsidR="00426764" w:rsidRPr="004B0069" w14:paraId="202E7971" w14:textId="77777777">
        <w:tc>
          <w:tcPr>
            <w:tcW w:w="2943" w:type="dxa"/>
          </w:tcPr>
          <w:p w14:paraId="52C2EAED" w14:textId="77777777" w:rsidR="00927F50" w:rsidRPr="004B0069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 w:rsidRPr="004B0069">
              <w:rPr>
                <w:rFonts w:ascii="Arial" w:eastAsia="Arial" w:hAnsi="Arial" w:cs="Arial"/>
                <w:sz w:val="22"/>
                <w:szCs w:val="22"/>
              </w:rPr>
              <w:t>Fundamento Legal:</w:t>
            </w:r>
          </w:p>
        </w:tc>
        <w:tc>
          <w:tcPr>
            <w:tcW w:w="6836" w:type="dxa"/>
          </w:tcPr>
          <w:p w14:paraId="1ABB5812" w14:textId="1C492DE1" w:rsidR="00927F50" w:rsidRPr="004B0069" w:rsidRDefault="00A561E1" w:rsidP="008D72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2"/>
                <w:szCs w:val="22"/>
                <w:lang w:val="en-US"/>
              </w:rPr>
            </w:pPr>
            <w:r w:rsidRPr="004B0069">
              <w:rPr>
                <w:rFonts w:ascii="Arial" w:eastAsia="Arial" w:hAnsi="Arial" w:cs="Arial"/>
                <w:sz w:val="22"/>
                <w:szCs w:val="22"/>
                <w:lang w:val="en-US"/>
              </w:rPr>
              <w:t>Art. 74, III, alínea “c”, c/c art. 6, XVIII, “c”, da Lei 14.133/21</w:t>
            </w:r>
            <w:r w:rsidR="00626E4D" w:rsidRPr="004B0069">
              <w:rPr>
                <w:rFonts w:ascii="Arial" w:eastAsia="Arial" w:hAnsi="Arial" w:cs="Arial"/>
                <w:sz w:val="22"/>
                <w:szCs w:val="22"/>
                <w:lang w:val="en-US"/>
              </w:rPr>
              <w:t>.</w:t>
            </w:r>
          </w:p>
        </w:tc>
      </w:tr>
    </w:tbl>
    <w:p w14:paraId="31F5A1CB" w14:textId="77777777" w:rsidR="00927F50" w:rsidRPr="004B0069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  <w:lang w:val="en-US"/>
        </w:rPr>
      </w:pPr>
    </w:p>
    <w:p w14:paraId="374CB5FF" w14:textId="1ED088B0" w:rsidR="00927F50" w:rsidRPr="004B0069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 w:rsidRPr="004B0069">
        <w:rPr>
          <w:rFonts w:ascii="Arial" w:eastAsia="Arial" w:hAnsi="Arial" w:cs="Arial"/>
          <w:sz w:val="22"/>
          <w:szCs w:val="22"/>
        </w:rPr>
        <w:t>Justificativa</w:t>
      </w:r>
      <w:r w:rsidR="00F95989" w:rsidRPr="004B0069">
        <w:rPr>
          <w:rFonts w:ascii="Arial" w:eastAsia="Arial" w:hAnsi="Arial" w:cs="Arial"/>
          <w:sz w:val="22"/>
          <w:szCs w:val="22"/>
        </w:rPr>
        <w:t xml:space="preserve"> com a razão da escolha do fornecedor e do preço,</w:t>
      </w:r>
      <w:r w:rsidRPr="004B0069">
        <w:rPr>
          <w:rFonts w:ascii="Arial" w:eastAsia="Arial" w:hAnsi="Arial" w:cs="Arial"/>
          <w:sz w:val="22"/>
          <w:szCs w:val="22"/>
        </w:rPr>
        <w:t xml:space="preserve"> anexa nos autos do processo de inexigibilidade de licitação nº </w:t>
      </w:r>
      <w:r w:rsidR="006F3F7D" w:rsidRPr="004B0069">
        <w:rPr>
          <w:rFonts w:ascii="Arial" w:eastAsia="Arial" w:hAnsi="Arial" w:cs="Arial"/>
          <w:sz w:val="22"/>
          <w:szCs w:val="22"/>
        </w:rPr>
        <w:t>39</w:t>
      </w:r>
      <w:r w:rsidR="00D4496F" w:rsidRPr="004B0069">
        <w:rPr>
          <w:rFonts w:ascii="Arial" w:eastAsia="Arial" w:hAnsi="Arial" w:cs="Arial"/>
          <w:sz w:val="22"/>
          <w:szCs w:val="22"/>
        </w:rPr>
        <w:t>/</w:t>
      </w:r>
      <w:r w:rsidR="00111E14" w:rsidRPr="004B0069">
        <w:rPr>
          <w:rFonts w:ascii="Arial" w:eastAsia="Arial" w:hAnsi="Arial" w:cs="Arial"/>
          <w:sz w:val="22"/>
          <w:szCs w:val="22"/>
        </w:rPr>
        <w:t>202</w:t>
      </w:r>
      <w:r w:rsidR="00426764" w:rsidRPr="004B0069">
        <w:rPr>
          <w:rFonts w:ascii="Arial" w:eastAsia="Arial" w:hAnsi="Arial" w:cs="Arial"/>
          <w:sz w:val="22"/>
          <w:szCs w:val="22"/>
        </w:rPr>
        <w:t>5</w:t>
      </w:r>
      <w:r w:rsidR="00111E14" w:rsidRPr="004B0069">
        <w:rPr>
          <w:rFonts w:ascii="Arial" w:eastAsia="Arial" w:hAnsi="Arial" w:cs="Arial"/>
          <w:sz w:val="22"/>
          <w:szCs w:val="22"/>
        </w:rPr>
        <w:t>.</w:t>
      </w:r>
    </w:p>
    <w:p w14:paraId="14EEDBE5" w14:textId="77777777" w:rsidR="00927F50" w:rsidRPr="004B0069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</w:rPr>
      </w:pPr>
    </w:p>
    <w:p w14:paraId="2A769504" w14:textId="77777777" w:rsidR="00927F50" w:rsidRPr="004B0069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</w:rPr>
      </w:pPr>
      <w:r w:rsidRPr="004B0069">
        <w:rPr>
          <w:rFonts w:ascii="Arial" w:eastAsia="Arial" w:hAnsi="Arial" w:cs="Arial"/>
          <w:sz w:val="22"/>
          <w:szCs w:val="22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223F9678" w14:textId="77777777" w:rsidR="00927F50" w:rsidRPr="004B0069" w:rsidRDefault="00927F50" w:rsidP="00A5556E">
      <w:pPr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</w:p>
    <w:p w14:paraId="70C4EA8B" w14:textId="7EC1174D" w:rsidR="00111E14" w:rsidRPr="004B0069" w:rsidRDefault="00111E14" w:rsidP="00111E14">
      <w:pPr>
        <w:ind w:left="-709" w:right="-285" w:firstLine="709"/>
        <w:jc w:val="both"/>
        <w:rPr>
          <w:rFonts w:ascii="Arial" w:eastAsia="Arial" w:hAnsi="Arial" w:cs="Arial"/>
          <w:sz w:val="22"/>
          <w:szCs w:val="22"/>
        </w:rPr>
      </w:pPr>
      <w:r w:rsidRPr="004B0069">
        <w:rPr>
          <w:rFonts w:ascii="Arial" w:eastAsia="Arial" w:hAnsi="Arial" w:cs="Arial"/>
          <w:sz w:val="22"/>
          <w:szCs w:val="22"/>
        </w:rPr>
        <w:t xml:space="preserve">Jequié/BA, </w:t>
      </w:r>
      <w:r w:rsidR="001B5698">
        <w:rPr>
          <w:rFonts w:ascii="Arial" w:eastAsia="Arial" w:hAnsi="Arial" w:cs="Arial"/>
          <w:sz w:val="22"/>
          <w:szCs w:val="22"/>
        </w:rPr>
        <w:t>03</w:t>
      </w:r>
      <w:r w:rsidRPr="004B0069">
        <w:rPr>
          <w:rFonts w:ascii="Arial" w:eastAsia="Arial" w:hAnsi="Arial" w:cs="Arial"/>
          <w:sz w:val="22"/>
          <w:szCs w:val="22"/>
        </w:rPr>
        <w:t xml:space="preserve"> de </w:t>
      </w:r>
      <w:r w:rsidR="001B5698">
        <w:rPr>
          <w:rFonts w:ascii="Arial" w:eastAsia="Arial" w:hAnsi="Arial" w:cs="Arial"/>
          <w:sz w:val="22"/>
          <w:szCs w:val="22"/>
        </w:rPr>
        <w:t xml:space="preserve">Junho </w:t>
      </w:r>
      <w:r w:rsidRPr="004B0069">
        <w:rPr>
          <w:rFonts w:ascii="Arial" w:eastAsia="Arial" w:hAnsi="Arial" w:cs="Arial"/>
          <w:sz w:val="22"/>
          <w:szCs w:val="22"/>
        </w:rPr>
        <w:t>de 202</w:t>
      </w:r>
      <w:r w:rsidR="00426764" w:rsidRPr="004B0069">
        <w:rPr>
          <w:rFonts w:ascii="Arial" w:eastAsia="Arial" w:hAnsi="Arial" w:cs="Arial"/>
          <w:sz w:val="22"/>
          <w:szCs w:val="22"/>
        </w:rPr>
        <w:t>5</w:t>
      </w:r>
      <w:r w:rsidRPr="004B0069">
        <w:rPr>
          <w:rFonts w:ascii="Arial" w:eastAsia="Arial" w:hAnsi="Arial" w:cs="Arial"/>
          <w:sz w:val="22"/>
          <w:szCs w:val="22"/>
        </w:rPr>
        <w:t>.</w:t>
      </w:r>
    </w:p>
    <w:p w14:paraId="1B21797F" w14:textId="77777777" w:rsidR="00111E14" w:rsidRPr="004B0069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  <w:sz w:val="22"/>
          <w:szCs w:val="22"/>
        </w:rPr>
      </w:pPr>
    </w:p>
    <w:p w14:paraId="6E3EBEEC" w14:textId="77777777" w:rsidR="00111E14" w:rsidRPr="004B0069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  <w:sz w:val="22"/>
          <w:szCs w:val="22"/>
        </w:rPr>
      </w:pPr>
    </w:p>
    <w:p w14:paraId="432A5997" w14:textId="77777777" w:rsidR="00927F50" w:rsidRPr="004B0069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sz w:val="22"/>
          <w:szCs w:val="22"/>
        </w:rPr>
      </w:pPr>
    </w:p>
    <w:p w14:paraId="4ABBCF18" w14:textId="77777777" w:rsidR="00927F50" w:rsidRPr="004B0069" w:rsidRDefault="00626E4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sz w:val="22"/>
          <w:szCs w:val="22"/>
        </w:rPr>
      </w:pPr>
      <w:r w:rsidRPr="004B0069">
        <w:rPr>
          <w:rFonts w:ascii="Arial" w:eastAsia="Arial" w:hAnsi="Arial" w:cs="Arial"/>
          <w:b/>
          <w:sz w:val="22"/>
          <w:szCs w:val="22"/>
        </w:rPr>
        <w:t>___________________________________</w:t>
      </w:r>
    </w:p>
    <w:p w14:paraId="7D5C3539" w14:textId="2675C1F4" w:rsidR="00774FCF" w:rsidRPr="004B0069" w:rsidRDefault="006F3F7D" w:rsidP="00774FCF">
      <w:pPr>
        <w:ind w:right="54"/>
        <w:jc w:val="center"/>
        <w:rPr>
          <w:rFonts w:ascii="Arial" w:hAnsi="Arial" w:cs="Arial"/>
          <w:b/>
          <w:sz w:val="22"/>
          <w:szCs w:val="22"/>
        </w:rPr>
      </w:pPr>
      <w:r w:rsidRPr="004B0069">
        <w:rPr>
          <w:rFonts w:ascii="Arial" w:hAnsi="Arial" w:cs="Arial"/>
          <w:b/>
          <w:sz w:val="22"/>
          <w:szCs w:val="22"/>
        </w:rPr>
        <w:t>DANIEL DE QUADROS NOGUEIRA</w:t>
      </w:r>
    </w:p>
    <w:p w14:paraId="293BBA82" w14:textId="7D6AF05C" w:rsidR="00927F50" w:rsidRPr="00426764" w:rsidRDefault="00774FCF">
      <w:pPr>
        <w:jc w:val="center"/>
        <w:rPr>
          <w:rFonts w:ascii="Arial" w:eastAsia="Arial" w:hAnsi="Arial" w:cs="Arial"/>
          <w:b/>
        </w:rPr>
      </w:pPr>
      <w:r w:rsidRPr="004B0069">
        <w:rPr>
          <w:rFonts w:ascii="Arial" w:eastAsia="Arial" w:hAnsi="Arial" w:cs="Arial"/>
          <w:b/>
          <w:sz w:val="22"/>
          <w:szCs w:val="22"/>
        </w:rPr>
        <w:t>AUTORIDADE COMPETE</w:t>
      </w:r>
      <w:r w:rsidRPr="00426764">
        <w:rPr>
          <w:rFonts w:ascii="Arial" w:eastAsia="Arial" w:hAnsi="Arial" w:cs="Arial"/>
          <w:b/>
        </w:rPr>
        <w:t>NTE</w:t>
      </w:r>
    </w:p>
    <w:sectPr w:rsidR="00927F50" w:rsidRPr="00426764">
      <w:headerReference w:type="default" r:id="rId7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22E1" w14:textId="77777777" w:rsidR="000A54D1" w:rsidRDefault="000A54D1">
      <w:r>
        <w:separator/>
      </w:r>
    </w:p>
  </w:endnote>
  <w:endnote w:type="continuationSeparator" w:id="0">
    <w:p w14:paraId="1B307754" w14:textId="77777777" w:rsidR="000A54D1" w:rsidRDefault="000A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597FB" w14:textId="77777777" w:rsidR="000A54D1" w:rsidRDefault="000A54D1">
      <w:r>
        <w:separator/>
      </w:r>
    </w:p>
  </w:footnote>
  <w:footnote w:type="continuationSeparator" w:id="0">
    <w:p w14:paraId="6D26EC87" w14:textId="77777777" w:rsidR="000A54D1" w:rsidRDefault="000A5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0715" w14:textId="07704B65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AEE7AF5" w14:textId="4F7747E3" w:rsidR="00927F50" w:rsidRDefault="00111E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3B44BD" wp14:editId="2E0DAE7A">
          <wp:simplePos x="0" y="0"/>
          <wp:positionH relativeFrom="column">
            <wp:posOffset>-224155</wp:posOffset>
          </wp:positionH>
          <wp:positionV relativeFrom="paragraph">
            <wp:posOffset>19685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FEA09" w14:textId="1A9133A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3F23DCC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5F39B5D7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4401E72D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180E7CAC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7ED1855B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46F60113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50"/>
    <w:rsid w:val="000A54D1"/>
    <w:rsid w:val="00111E14"/>
    <w:rsid w:val="00125579"/>
    <w:rsid w:val="001B02F3"/>
    <w:rsid w:val="001B5698"/>
    <w:rsid w:val="002364C4"/>
    <w:rsid w:val="002B4C7D"/>
    <w:rsid w:val="002C58A9"/>
    <w:rsid w:val="002F28F7"/>
    <w:rsid w:val="00307A96"/>
    <w:rsid w:val="00363E7C"/>
    <w:rsid w:val="003C2812"/>
    <w:rsid w:val="00426764"/>
    <w:rsid w:val="00476828"/>
    <w:rsid w:val="004B0069"/>
    <w:rsid w:val="005E4F4F"/>
    <w:rsid w:val="005E73FD"/>
    <w:rsid w:val="0061312E"/>
    <w:rsid w:val="00626E4D"/>
    <w:rsid w:val="006B3F4C"/>
    <w:rsid w:val="006E0347"/>
    <w:rsid w:val="006F3F7D"/>
    <w:rsid w:val="006F6079"/>
    <w:rsid w:val="00774FCF"/>
    <w:rsid w:val="008340FD"/>
    <w:rsid w:val="00846503"/>
    <w:rsid w:val="008B0555"/>
    <w:rsid w:val="008C3274"/>
    <w:rsid w:val="008D72B8"/>
    <w:rsid w:val="00927F50"/>
    <w:rsid w:val="009C53D0"/>
    <w:rsid w:val="009D592E"/>
    <w:rsid w:val="00A1578C"/>
    <w:rsid w:val="00A5556E"/>
    <w:rsid w:val="00A561E1"/>
    <w:rsid w:val="00A72D34"/>
    <w:rsid w:val="00CA7CC9"/>
    <w:rsid w:val="00D4496F"/>
    <w:rsid w:val="00DB5E80"/>
    <w:rsid w:val="00ED3AF3"/>
    <w:rsid w:val="00F95989"/>
    <w:rsid w:val="00FA1CC8"/>
    <w:rsid w:val="00FC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16</cp:revision>
  <cp:lastPrinted>2025-06-03T13:16:00Z</cp:lastPrinted>
  <dcterms:created xsi:type="dcterms:W3CDTF">2025-03-12T14:48:00Z</dcterms:created>
  <dcterms:modified xsi:type="dcterms:W3CDTF">2025-06-03T13:17:00Z</dcterms:modified>
</cp:coreProperties>
</file>