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9F464">
      <w:pPr>
        <w:spacing w:line="240" w:lineRule="auto"/>
        <w:ind w:left="0" w:hanging="2"/>
        <w:jc w:val="center"/>
        <w:rPr>
          <w:rFonts w:ascii="Arial" w:hAnsi="Arial" w:cs="Arial"/>
          <w:b/>
          <w:sz w:val="24"/>
          <w:szCs w:val="24"/>
        </w:rPr>
      </w:pPr>
    </w:p>
    <w:p w14:paraId="22A782FE">
      <w:pPr>
        <w:spacing w:line="240" w:lineRule="auto"/>
        <w:ind w:left="0" w:hanging="2"/>
        <w:jc w:val="center"/>
        <w:rPr>
          <w:rFonts w:ascii="Arial" w:hAnsi="Arial" w:cs="Arial"/>
          <w:b/>
          <w:sz w:val="24"/>
          <w:szCs w:val="24"/>
        </w:rPr>
      </w:pPr>
      <w:r>
        <w:rPr>
          <w:rFonts w:ascii="Arial" w:hAnsi="Arial" w:cs="Arial"/>
          <w:b/>
          <w:sz w:val="24"/>
          <w:szCs w:val="24"/>
        </w:rPr>
        <w:t>TERMO DE REFERÊNCIA</w:t>
      </w:r>
    </w:p>
    <w:p w14:paraId="3646E13F">
      <w:pPr>
        <w:spacing w:line="240" w:lineRule="auto"/>
        <w:ind w:left="0" w:hanging="2"/>
        <w:jc w:val="center"/>
        <w:rPr>
          <w:rFonts w:ascii="Arial" w:hAnsi="Arial" w:cs="Arial"/>
          <w:b/>
          <w:sz w:val="24"/>
          <w:szCs w:val="24"/>
        </w:rPr>
      </w:pPr>
      <w:r>
        <w:rPr>
          <w:rFonts w:ascii="Arial" w:hAnsi="Arial" w:cs="Arial"/>
          <w:b/>
          <w:sz w:val="24"/>
          <w:szCs w:val="24"/>
        </w:rPr>
        <w:t>PROCESSO ADMINISTRATIVO N ° 12366/2025</w:t>
      </w:r>
    </w:p>
    <w:p w14:paraId="4EC6B5EA">
      <w:pPr>
        <w:pStyle w:val="2"/>
        <w:rPr>
          <w:rFonts w:ascii="Arial" w:hAnsi="Arial" w:cs="Arial"/>
          <w:sz w:val="24"/>
          <w:szCs w:val="24"/>
        </w:rPr>
      </w:pPr>
    </w:p>
    <w:p w14:paraId="64057765">
      <w:pPr>
        <w:spacing w:line="240" w:lineRule="auto"/>
        <w:ind w:left="0" w:hanging="2"/>
        <w:jc w:val="center"/>
        <w:rPr>
          <w:rFonts w:ascii="Arial" w:hAnsi="Arial" w:cs="Arial"/>
          <w:b/>
          <w:sz w:val="24"/>
          <w:szCs w:val="24"/>
        </w:rPr>
      </w:pPr>
    </w:p>
    <w:p w14:paraId="2C0636A6">
      <w:pPr>
        <w:shd w:val="clear" w:color="auto" w:fill="BEBEBE" w:themeFill="background1" w:themeFillShade="BF"/>
        <w:tabs>
          <w:tab w:val="left" w:pos="9923"/>
        </w:tabs>
        <w:spacing w:line="240" w:lineRule="auto"/>
        <w:ind w:left="0" w:hanging="2"/>
        <w:rPr>
          <w:rFonts w:ascii="Arial" w:hAnsi="Arial" w:cs="Arial"/>
          <w:b/>
          <w:sz w:val="24"/>
          <w:szCs w:val="24"/>
        </w:rPr>
      </w:pPr>
      <w:r>
        <w:rPr>
          <w:rFonts w:ascii="Arial" w:hAnsi="Arial" w:cs="Arial"/>
          <w:b/>
          <w:sz w:val="24"/>
          <w:szCs w:val="24"/>
        </w:rPr>
        <w:t>1. OBJETO</w:t>
      </w:r>
    </w:p>
    <w:p w14:paraId="1130436D">
      <w:pPr>
        <w:pStyle w:val="2"/>
        <w:rPr>
          <w:rFonts w:ascii="Arial" w:hAnsi="Arial" w:cs="Arial"/>
          <w:sz w:val="24"/>
        </w:rPr>
      </w:pPr>
      <w:r>
        <w:rPr>
          <w:rFonts w:ascii="Arial" w:hAnsi="Arial" w:cs="Arial"/>
          <w:sz w:val="24"/>
        </w:rPr>
        <w:t>L</w:t>
      </w:r>
      <w:r>
        <w:rPr>
          <w:rFonts w:ascii="Arial" w:hAnsi="Arial" w:cs="Arial"/>
          <w:iCs/>
          <w:sz w:val="24"/>
        </w:rPr>
        <w:t>ocação de imóvel, situado na Avenida Luis Eduardo Magalhães, n° 190- Quadra 01, Lote 17, Loteamento Sol Nascente- Centro, Simões Filho-BA, CEP: 43705-080, destinado a acomodar inservíveis da Secretaria Municipal de Saúde de Simões Filho</w:t>
      </w:r>
      <w:r>
        <w:rPr>
          <w:rFonts w:ascii="Arial" w:hAnsi="Arial" w:cs="Arial"/>
          <w:sz w:val="24"/>
        </w:rPr>
        <w:t>/BA.</w:t>
      </w:r>
    </w:p>
    <w:p w14:paraId="73FF5B3C">
      <w:pPr>
        <w:pStyle w:val="2"/>
      </w:pPr>
    </w:p>
    <w:p w14:paraId="37B47CD3">
      <w:pPr>
        <w:shd w:val="clear" w:color="auto" w:fill="BEBEBE" w:themeFill="background1" w:themeFillShade="BF"/>
        <w:spacing w:line="240" w:lineRule="auto"/>
        <w:ind w:left="0" w:hanging="2"/>
        <w:rPr>
          <w:rFonts w:ascii="Arial" w:hAnsi="Arial" w:cs="Arial"/>
          <w:color w:val="000000"/>
          <w:sz w:val="24"/>
          <w:szCs w:val="24"/>
        </w:rPr>
      </w:pPr>
      <w:r>
        <w:rPr>
          <w:rFonts w:ascii="Arial" w:hAnsi="Arial" w:cs="Arial"/>
          <w:b/>
          <w:color w:val="000000"/>
          <w:sz w:val="24"/>
          <w:szCs w:val="24"/>
        </w:rPr>
        <w:t>2. JUSTIFICATIVA</w:t>
      </w:r>
    </w:p>
    <w:tbl>
      <w:tblPr>
        <w:tblStyle w:val="4"/>
        <w:tblW w:w="991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9911"/>
      </w:tblGrid>
      <w:tr w14:paraId="0B69F4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3" w:hRule="atLeast"/>
          <w:jc w:val="center"/>
        </w:trPr>
        <w:tc>
          <w:tcPr>
            <w:tcW w:w="9911" w:type="dxa"/>
            <w:tcBorders>
              <w:top w:val="single" w:color="FFFFFF" w:sz="8" w:space="0"/>
              <w:left w:val="single" w:color="FFFFFF" w:sz="8" w:space="0"/>
              <w:bottom w:val="single" w:color="FFFFFF" w:sz="8" w:space="0"/>
              <w:right w:val="single" w:color="FFFFFF" w:sz="8" w:space="0"/>
            </w:tcBorders>
            <w:shd w:val="clear" w:color="auto" w:fill="FFFFFF"/>
            <w:tcMar>
              <w:top w:w="100" w:type="dxa"/>
              <w:left w:w="100" w:type="dxa"/>
              <w:bottom w:w="100" w:type="dxa"/>
              <w:right w:w="100" w:type="dxa"/>
            </w:tcMar>
          </w:tcPr>
          <w:p w14:paraId="60DE356C">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r>
              <w:rPr>
                <w:rFonts w:ascii="Arial" w:hAnsi="Arial" w:eastAsia="Calibri" w:cs="Arial"/>
                <w:sz w:val="24"/>
                <w:szCs w:val="24"/>
              </w:rPr>
              <w:t>Justifica-se a presente contratação em virtude da necessidade de disponibilizar espaço adequado para a guarda dos inservíveis pertencentes à Secretaria Municipal de Saúde, uma vez que o município não dispõe de imóveis públicos livres e com estrutura compatível para suprir a demanda do volume de arquivos e materiais que precisam ser armazenados.</w:t>
            </w:r>
          </w:p>
          <w:p w14:paraId="56C3DFBA">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p>
          <w:p w14:paraId="71128C3E">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r>
              <w:rPr>
                <w:rFonts w:ascii="Arial" w:hAnsi="Arial" w:eastAsia="Calibri" w:cs="Arial"/>
                <w:sz w:val="24"/>
                <w:szCs w:val="24"/>
              </w:rPr>
              <w:t>A Secretaria detém uma expressiva quantidade de móveis, equipamentos e materiais inservíveis que, embora não estejam mais em utilização, devem permanecer devidamente acondicionados até que seja possível sua destinação final, em conformidade com a legislação vigente.</w:t>
            </w:r>
          </w:p>
          <w:p w14:paraId="09ACDFEA">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p>
          <w:p w14:paraId="1AE61C54">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r>
              <w:rPr>
                <w:rFonts w:ascii="Arial" w:hAnsi="Arial" w:eastAsia="Calibri" w:cs="Arial"/>
                <w:sz w:val="24"/>
                <w:szCs w:val="24"/>
              </w:rPr>
              <w:t>Considerando que as instalações físicas atualmente disponíveis nas repartições administrativas e operacionais da pasta não comportam o montante de itens acumulados, torna-se indispensável à locação de imóvel com dimensões adequadas, estrutura segura e de fácil acesso, de modo a assegurar a preservação dos bens, o controle patrimonial e a organização do acervo.</w:t>
            </w:r>
          </w:p>
          <w:p w14:paraId="72575409">
            <w:pPr>
              <w:pStyle w:val="2"/>
              <w:rPr>
                <w:rFonts w:eastAsia="Calibri"/>
              </w:rPr>
            </w:pPr>
          </w:p>
          <w:p w14:paraId="5EB4FA8F">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r>
              <w:rPr>
                <w:rFonts w:ascii="Arial" w:hAnsi="Arial" w:eastAsia="Calibri" w:cs="Arial"/>
                <w:sz w:val="24"/>
                <w:szCs w:val="24"/>
              </w:rPr>
              <w:t>Ressalta-se, ainda, a inviabilidade de realizar, neste momento, a alienação por meio de leilão público desses bens inservíveis. Tal medida depende de trâmites administrativos e legais específicos, incluindo a avaliação patrimonial, autorização formal, publicação de edital e demais procedimentos regulamentares, o que demanda tempo considerável. Além disso, muitos dos itens encontram-se em condições que dificultam ou até mesmo inviabilizam sua alienação imediata, razão pela qual se faz necessária a manutenção temporária em espaço apropriado até que todos os requisitos legais para sua destinação final possam ser cumpridos.</w:t>
            </w:r>
          </w:p>
          <w:p w14:paraId="35123D4F">
            <w:pPr>
              <w:pBdr>
                <w:top w:val="none" w:color="auto" w:sz="0" w:space="0"/>
                <w:left w:val="none" w:color="auto" w:sz="0" w:space="0"/>
                <w:bottom w:val="none" w:color="auto" w:sz="0" w:space="0"/>
                <w:right w:val="none" w:color="auto" w:sz="0" w:space="0"/>
                <w:between w:val="none" w:color="auto" w:sz="0" w:space="0"/>
              </w:pBdr>
              <w:ind w:left="0" w:leftChars="0" w:firstLine="0" w:firstLineChars="0"/>
              <w:jc w:val="both"/>
              <w:rPr>
                <w:rFonts w:ascii="Arial" w:hAnsi="Arial" w:eastAsia="Calibri" w:cs="Arial"/>
                <w:sz w:val="24"/>
                <w:szCs w:val="24"/>
              </w:rPr>
            </w:pPr>
          </w:p>
          <w:p w14:paraId="25B42730">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r>
              <w:rPr>
                <w:rFonts w:ascii="Arial" w:hAnsi="Arial" w:eastAsia="Calibri" w:cs="Arial"/>
                <w:sz w:val="24"/>
                <w:szCs w:val="24"/>
              </w:rPr>
              <w:t xml:space="preserve">Nesse sentido, a locação do imóvel situado na </w:t>
            </w:r>
            <w:r>
              <w:rPr>
                <w:rFonts w:ascii="Arial" w:hAnsi="Arial" w:eastAsia="Calibri" w:cs="Arial"/>
                <w:bCs/>
                <w:sz w:val="24"/>
                <w:szCs w:val="24"/>
              </w:rPr>
              <w:t>Avenida Luís Eduardo Magalhães, nº 190 – Quadra 01, Lote 17, Loteamento Sol Nascente – Centro, Simões Filho/BA, CEP 43705-080</w:t>
            </w:r>
            <w:r>
              <w:rPr>
                <w:rFonts w:ascii="Arial" w:hAnsi="Arial" w:eastAsia="Calibri" w:cs="Arial"/>
                <w:sz w:val="24"/>
                <w:szCs w:val="24"/>
              </w:rPr>
              <w:t>, apresenta-se como solução viável e necessária. Tal demanda é reforçada pela inexistência de imóveis públicos ociosos no patrimônio municipal que atendam a essa finalidade, conforme declaração de carência de imóveis próprios anexada aos autos.</w:t>
            </w:r>
          </w:p>
          <w:p w14:paraId="22B0C91E">
            <w:pPr>
              <w:pBdr>
                <w:top w:val="none" w:color="auto" w:sz="0" w:space="0"/>
                <w:left w:val="none" w:color="auto" w:sz="0" w:space="0"/>
                <w:bottom w:val="none" w:color="auto" w:sz="0" w:space="0"/>
                <w:right w:val="none" w:color="auto" w:sz="0" w:space="0"/>
                <w:between w:val="none" w:color="auto" w:sz="0" w:space="0"/>
              </w:pBdr>
              <w:ind w:left="0" w:hanging="2"/>
              <w:jc w:val="both"/>
              <w:rPr>
                <w:rFonts w:ascii="Arial" w:hAnsi="Arial" w:eastAsia="Calibri" w:cs="Arial"/>
                <w:sz w:val="24"/>
                <w:szCs w:val="24"/>
              </w:rPr>
            </w:pPr>
          </w:p>
        </w:tc>
      </w:tr>
    </w:tbl>
    <w:p w14:paraId="40079138">
      <w:pPr>
        <w:pBdr>
          <w:top w:val="none" w:color="auto" w:sz="0" w:space="0"/>
          <w:left w:val="none" w:color="auto" w:sz="0" w:space="0"/>
          <w:bottom w:val="none" w:color="auto" w:sz="0" w:space="0"/>
          <w:right w:val="none" w:color="auto" w:sz="0" w:space="0"/>
          <w:between w:val="none" w:color="auto" w:sz="0" w:space="0"/>
        </w:pBdr>
        <w:ind w:left="0" w:leftChars="0" w:firstLine="0" w:firstLineChars="0"/>
        <w:jc w:val="both"/>
        <w:rPr>
          <w:rFonts w:ascii="Arial" w:hAnsi="Arial" w:eastAsia="Calibri" w:cs="Arial"/>
          <w:sz w:val="24"/>
          <w:szCs w:val="24"/>
        </w:rPr>
      </w:pPr>
    </w:p>
    <w:p w14:paraId="5F876022">
      <w:pPr>
        <w:pStyle w:val="2"/>
        <w:ind w:firstLine="0"/>
        <w:jc w:val="both"/>
        <w:rPr>
          <w:rFonts w:ascii="Arial" w:hAnsi="Arial" w:cs="Arial"/>
          <w:sz w:val="24"/>
          <w:szCs w:val="24"/>
        </w:rPr>
      </w:pPr>
    </w:p>
    <w:p w14:paraId="261D1433">
      <w:pPr>
        <w:shd w:val="clear" w:color="auto" w:fill="BEBEBE" w:themeFill="background1" w:themeFillShade="BF"/>
        <w:spacing w:line="240" w:lineRule="auto"/>
        <w:ind w:left="0" w:leftChars="0" w:firstLine="0" w:firstLineChars="0"/>
        <w:jc w:val="both"/>
        <w:rPr>
          <w:rFonts w:ascii="Arial" w:hAnsi="Arial" w:cs="Arial"/>
          <w:b/>
          <w:color w:val="000000"/>
          <w:sz w:val="24"/>
          <w:szCs w:val="24"/>
        </w:rPr>
      </w:pPr>
      <w:r>
        <w:rPr>
          <w:rFonts w:ascii="Arial" w:hAnsi="Arial" w:cs="Arial"/>
          <w:b/>
          <w:color w:val="000000"/>
          <w:sz w:val="24"/>
          <w:szCs w:val="24"/>
        </w:rPr>
        <w:t>3. FUNDAMENTAÇÃO LEGAL</w:t>
      </w:r>
    </w:p>
    <w:p w14:paraId="6D1F1B08">
      <w:pPr>
        <w:pBdr>
          <w:top w:val="none" w:color="auto" w:sz="0" w:space="0"/>
          <w:left w:val="none" w:color="auto" w:sz="0" w:space="0"/>
          <w:bottom w:val="none" w:color="auto" w:sz="0" w:space="0"/>
          <w:right w:val="none" w:color="auto" w:sz="0" w:space="0"/>
          <w:between w:val="none" w:color="auto" w:sz="0" w:space="0"/>
        </w:pBdr>
        <w:spacing w:before="240" w:line="240" w:lineRule="auto"/>
        <w:ind w:left="0" w:leftChars="0" w:right="-1" w:firstLine="0" w:firstLineChars="0"/>
        <w:jc w:val="both"/>
        <w:rPr>
          <w:rFonts w:ascii="Arial" w:hAnsi="Arial" w:eastAsia="Calibri" w:cs="Arial"/>
          <w:b/>
          <w:color w:val="000000"/>
          <w:sz w:val="24"/>
          <w:szCs w:val="24"/>
          <w:u w:val="single"/>
        </w:rPr>
      </w:pPr>
      <w:r>
        <w:rPr>
          <w:rFonts w:ascii="Arial" w:hAnsi="Arial" w:eastAsia="Calibri" w:cs="Arial"/>
          <w:color w:val="000000"/>
          <w:sz w:val="24"/>
          <w:szCs w:val="24"/>
        </w:rPr>
        <w:t>No que tange às aquisições e contratações das entidades públicas, deve-se observar, obrigatoriamente, um regime legal. O fundamento principal para tanto se encontra previsto no art. 37, XXI, da Constituição Federal de 1988, o qual determina que,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w:t>
      </w:r>
    </w:p>
    <w:p w14:paraId="2A3DB274">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Por conseguinte, a regulamentação para as licitações e contratações públicas foi recentemente inovada em âmbito nacional, por meio da Nova Lei Geral de Licitações e Contratos Administrativos - Lei nº 14.133/2021.</w:t>
      </w:r>
    </w:p>
    <w:p w14:paraId="3EC3BB85">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Nesse cenário, entende-se que a licitação deve ser o procedimento padrão em todas as contratações realizadas pelo Poder Público, pois se baseia no princípio da isonomia e requer a participação do maior número possível de interessados, visando proporcionar à Administração Pública a melhor negociação para a contratação de obras, serviços, compras, alienações, permissões e locações. Contudo, existem aquisições e contratações com características específicas que torna inviável ou impraticável o uso dos trâmites usuais.</w:t>
      </w:r>
    </w:p>
    <w:p w14:paraId="59C041B4">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Diante da realidade fática e da não viabilidade ou conveniência da licitação para atender ao interesse público, a Constituição permite que a legislação defina casos de contratação direta, desde que haja uma decisão devidamente motivada e verificada as hipóteses legais de exceção ao procedimento.</w:t>
      </w:r>
    </w:p>
    <w:p w14:paraId="14A02B6D">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Nesta circunstância, é fundamental ressaltar, que a compra ou aluguel de imóveis pelo setor público, desde que atendidos certos critérios, está especificamente contemplada na Lei 14.133/2021 como um caso em que a realização de licitação é dispensada. Isso implica que, para esse tipo de contratação direta, não é possível satisfazer o interesse público utilizando outro imóvel que não seja o selecionado inicialmente. Vejamos:</w:t>
      </w:r>
    </w:p>
    <w:p w14:paraId="0837D628">
      <w:pPr>
        <w:pBdr>
          <w:top w:val="none" w:color="auto" w:sz="0" w:space="0"/>
          <w:left w:val="none" w:color="auto" w:sz="0" w:space="0"/>
          <w:bottom w:val="none" w:color="auto" w:sz="0" w:space="0"/>
          <w:right w:val="none" w:color="auto" w:sz="0" w:space="0"/>
          <w:between w:val="none" w:color="auto" w:sz="0" w:space="0"/>
        </w:pBdr>
        <w:spacing w:line="240" w:lineRule="auto"/>
        <w:ind w:left="0" w:right="-1" w:hanging="2"/>
        <w:jc w:val="both"/>
        <w:rPr>
          <w:rFonts w:ascii="Arial" w:hAnsi="Arial" w:eastAsia="Calibri" w:cs="Arial"/>
          <w:b/>
          <w:color w:val="000000"/>
          <w:sz w:val="24"/>
          <w:szCs w:val="24"/>
        </w:rPr>
      </w:pPr>
    </w:p>
    <w:p w14:paraId="180F3F73">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Art. 74.</w:t>
      </w:r>
      <w:r>
        <w:rPr>
          <w:rFonts w:ascii="Arial" w:hAnsi="Arial" w:eastAsia="Calibri" w:cs="Arial"/>
          <w:color w:val="000000"/>
          <w:sz w:val="24"/>
          <w:szCs w:val="24"/>
        </w:rPr>
        <w:t xml:space="preserve"> É inexigível a licitação quando inviável a competição, especialmente nos casos de:</w:t>
      </w:r>
    </w:p>
    <w:p w14:paraId="5618F73F">
      <w:pPr>
        <w:pBdr>
          <w:top w:val="none" w:color="auto" w:sz="0" w:space="0"/>
          <w:left w:val="none" w:color="auto" w:sz="0" w:space="0"/>
          <w:bottom w:val="none" w:color="auto" w:sz="0" w:space="0"/>
          <w:right w:val="none" w:color="auto" w:sz="0" w:space="0"/>
          <w:between w:val="none" w:color="auto" w:sz="0" w:space="0"/>
        </w:pBdr>
        <w:spacing w:line="240" w:lineRule="auto"/>
        <w:ind w:left="1418" w:leftChars="0" w:right="-1" w:firstLine="706" w:firstLineChars="0"/>
        <w:jc w:val="both"/>
        <w:rPr>
          <w:rFonts w:ascii="Arial" w:hAnsi="Arial" w:eastAsia="Calibri" w:cs="Arial"/>
          <w:b/>
          <w:color w:val="000000"/>
          <w:sz w:val="24"/>
          <w:szCs w:val="24"/>
        </w:rPr>
      </w:pPr>
      <w:r>
        <w:rPr>
          <w:rFonts w:ascii="Arial" w:hAnsi="Arial" w:eastAsia="Calibri" w:cs="Arial"/>
          <w:b/>
          <w:color w:val="000000"/>
          <w:sz w:val="24"/>
          <w:szCs w:val="24"/>
        </w:rPr>
        <w:t>[...]</w:t>
      </w:r>
    </w:p>
    <w:p w14:paraId="46DE8299">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V -</w:t>
      </w:r>
      <w:r>
        <w:rPr>
          <w:rFonts w:ascii="Arial" w:hAnsi="Arial" w:eastAsia="Calibri" w:cs="Arial"/>
          <w:color w:val="000000"/>
          <w:sz w:val="24"/>
          <w:szCs w:val="24"/>
        </w:rPr>
        <w:t xml:space="preserve"> aquisição ou locação de imóvel cujas características de instalações e localização tornem necessária sua escolha.</w:t>
      </w:r>
    </w:p>
    <w:p w14:paraId="2A358C83">
      <w:pPr>
        <w:pBdr>
          <w:top w:val="none" w:color="auto" w:sz="0" w:space="0"/>
          <w:left w:val="none" w:color="auto" w:sz="0" w:space="0"/>
          <w:bottom w:val="none" w:color="auto" w:sz="0" w:space="0"/>
          <w:right w:val="none" w:color="auto" w:sz="0" w:space="0"/>
          <w:between w:val="none" w:color="auto" w:sz="0" w:space="0"/>
        </w:pBdr>
        <w:spacing w:line="240" w:lineRule="auto"/>
        <w:ind w:left="2" w:leftChars="0" w:right="424" w:hanging="2"/>
        <w:jc w:val="both"/>
        <w:rPr>
          <w:rFonts w:ascii="Arial" w:hAnsi="Arial" w:eastAsia="Calibri" w:cs="Arial"/>
          <w:b/>
          <w:color w:val="000000"/>
          <w:sz w:val="24"/>
          <w:szCs w:val="24"/>
        </w:rPr>
      </w:pPr>
    </w:p>
    <w:p w14:paraId="1784AF73">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2" w:firstLineChars="0"/>
        <w:jc w:val="both"/>
        <w:rPr>
          <w:rFonts w:ascii="Arial" w:hAnsi="Arial" w:eastAsia="Calibri" w:cs="Arial"/>
          <w:sz w:val="24"/>
          <w:szCs w:val="24"/>
        </w:rPr>
      </w:pPr>
      <w:r>
        <w:rPr>
          <w:rFonts w:ascii="Arial" w:hAnsi="Arial" w:eastAsia="Calibri" w:cs="Arial"/>
          <w:color w:val="000000"/>
          <w:sz w:val="24"/>
          <w:szCs w:val="24"/>
        </w:rPr>
        <w:t xml:space="preserve">O inciso V do supracitado artigo prevê a inexigibilidade para a contratação </w:t>
      </w:r>
      <w:r>
        <w:rPr>
          <w:rFonts w:ascii="Arial" w:hAnsi="Arial" w:eastAsia="Calibri" w:cs="Arial"/>
          <w:sz w:val="24"/>
          <w:szCs w:val="24"/>
        </w:rPr>
        <w:t>nos casos de</w:t>
      </w:r>
      <w:r>
        <w:rPr>
          <w:rFonts w:ascii="Arial" w:hAnsi="Arial" w:eastAsia="Calibri" w:cs="Arial"/>
          <w:color w:val="000000"/>
          <w:sz w:val="24"/>
          <w:szCs w:val="24"/>
        </w:rPr>
        <w:t xml:space="preserve"> “aquisição ou locação de imóvel cujas características de instalações e de localização tornem necessária sua escolha”, que é o caso em tela, visto que somente o presente imóvel dispõe das características almejadas para suprir o interesse público.</w:t>
      </w:r>
    </w:p>
    <w:p w14:paraId="74C4BFB4">
      <w:pPr>
        <w:pBdr>
          <w:top w:val="none" w:color="auto" w:sz="0" w:space="0"/>
          <w:left w:val="none" w:color="auto" w:sz="0" w:space="0"/>
          <w:bottom w:val="none" w:color="auto" w:sz="0" w:space="0"/>
          <w:right w:val="none" w:color="auto" w:sz="0" w:space="0"/>
          <w:between w:val="none" w:color="auto" w:sz="0" w:space="0"/>
        </w:pBdr>
        <w:spacing w:line="240" w:lineRule="auto"/>
        <w:ind w:left="2" w:leftChars="0" w:right="-1" w:hanging="2"/>
        <w:jc w:val="both"/>
        <w:rPr>
          <w:rFonts w:ascii="Arial" w:hAnsi="Arial" w:eastAsia="Calibri" w:cs="Arial"/>
          <w:sz w:val="24"/>
          <w:szCs w:val="24"/>
        </w:rPr>
      </w:pPr>
    </w:p>
    <w:p w14:paraId="0193FDFE">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color w:val="000000"/>
          <w:sz w:val="24"/>
          <w:szCs w:val="24"/>
        </w:rPr>
        <w:t>Prosseguindo com a análise do artigo 74 da Lei nº 14.133/2021, o §5º estabelece requisitos que devem ser observados para a locação de imóveis por inexigibilidade de licitação:</w:t>
      </w:r>
    </w:p>
    <w:p w14:paraId="1E373F15">
      <w:pPr>
        <w:pBdr>
          <w:top w:val="none" w:color="auto" w:sz="0" w:space="0"/>
          <w:left w:val="none" w:color="auto" w:sz="0" w:space="0"/>
          <w:bottom w:val="none" w:color="auto" w:sz="0" w:space="0"/>
          <w:right w:val="none" w:color="auto" w:sz="0" w:space="0"/>
          <w:between w:val="none" w:color="auto" w:sz="0" w:space="0"/>
        </w:pBdr>
        <w:spacing w:line="240" w:lineRule="auto"/>
        <w:ind w:left="2" w:leftChars="0" w:right="-1" w:hanging="2"/>
        <w:jc w:val="both"/>
        <w:rPr>
          <w:rFonts w:ascii="Arial" w:hAnsi="Arial" w:eastAsia="Calibri" w:cs="Arial"/>
          <w:color w:val="000000"/>
          <w:sz w:val="24"/>
          <w:szCs w:val="24"/>
        </w:rPr>
      </w:pPr>
    </w:p>
    <w:p w14:paraId="62325F5A">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§5º</w:t>
      </w:r>
      <w:r>
        <w:rPr>
          <w:rFonts w:ascii="Arial" w:hAnsi="Arial" w:eastAsia="Calibri" w:cs="Arial"/>
          <w:color w:val="000000"/>
          <w:sz w:val="24"/>
          <w:szCs w:val="24"/>
        </w:rPr>
        <w:t xml:space="preserve"> Nas contratações com base no inciso V do caput deste artigo, devem ser observados os seguintes requisitos:</w:t>
      </w:r>
    </w:p>
    <w:p w14:paraId="3D2D1F71">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I -</w:t>
      </w:r>
      <w:r>
        <w:rPr>
          <w:rFonts w:ascii="Arial" w:hAnsi="Arial" w:eastAsia="Calibri" w:cs="Arial"/>
          <w:color w:val="000000"/>
          <w:sz w:val="24"/>
          <w:szCs w:val="24"/>
        </w:rPr>
        <w:t xml:space="preserve"> avaliação prévia do bem, seu estado de conservação, custos de adaptação quando necessários para a utilização, e prazo de amortização dos investimentos;</w:t>
      </w:r>
    </w:p>
    <w:p w14:paraId="71EA2642">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II -</w:t>
      </w:r>
      <w:r>
        <w:rPr>
          <w:rFonts w:ascii="Arial" w:hAnsi="Arial" w:eastAsia="Calibri" w:cs="Arial"/>
          <w:color w:val="000000"/>
          <w:sz w:val="24"/>
          <w:szCs w:val="24"/>
        </w:rPr>
        <w:t xml:space="preserve"> certificação da inexistência de imóveis públicos vagos e disponíveis que atendam ao objeto;</w:t>
      </w:r>
    </w:p>
    <w:p w14:paraId="15F26891">
      <w:pPr>
        <w:pBdr>
          <w:top w:val="none" w:color="auto" w:sz="0" w:space="0"/>
          <w:left w:val="none" w:color="auto" w:sz="0" w:space="0"/>
          <w:bottom w:val="none" w:color="auto" w:sz="0" w:space="0"/>
          <w:right w:val="none" w:color="auto" w:sz="0" w:space="0"/>
          <w:between w:val="none" w:color="auto" w:sz="0" w:space="0"/>
        </w:pBdr>
        <w:spacing w:line="240" w:lineRule="auto"/>
        <w:ind w:left="2124" w:leftChars="0" w:right="-1" w:firstLine="0" w:firstLineChars="0"/>
        <w:jc w:val="both"/>
        <w:rPr>
          <w:rFonts w:ascii="Arial" w:hAnsi="Arial" w:eastAsia="Calibri" w:cs="Arial"/>
          <w:color w:val="000000"/>
          <w:sz w:val="24"/>
          <w:szCs w:val="24"/>
        </w:rPr>
      </w:pPr>
      <w:r>
        <w:rPr>
          <w:rFonts w:ascii="Arial" w:hAnsi="Arial" w:eastAsia="Calibri" w:cs="Arial"/>
          <w:b/>
          <w:color w:val="000000"/>
          <w:sz w:val="24"/>
          <w:szCs w:val="24"/>
        </w:rPr>
        <w:t xml:space="preserve">III - </w:t>
      </w:r>
      <w:r>
        <w:rPr>
          <w:rFonts w:ascii="Arial" w:hAnsi="Arial" w:eastAsia="Calibri" w:cs="Arial"/>
          <w:color w:val="000000"/>
          <w:sz w:val="24"/>
          <w:szCs w:val="24"/>
        </w:rPr>
        <w:t>justificativas que evidenciem a singularidade do imóvel a ser adquirido ou locado pela Administração e que demonstrem vantagem para ela.</w:t>
      </w:r>
    </w:p>
    <w:p w14:paraId="0283C814">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No que concerne ao primeiro requisito, é necessário apresentar uma avaliação prévia do bem, abrangendo sua condição de conservação, os gastos relacionados a eventuais adaptações necessárias para sua utilização, bem como o prazo estimado para a amortização dos investimentos.</w:t>
      </w:r>
    </w:p>
    <w:p w14:paraId="0FE18D25">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 xml:space="preserve">Por outro lado, o segundo requisito pertinente do parágrafo mencionado é a exigência de certificação </w:t>
      </w:r>
      <w:r>
        <w:rPr>
          <w:rFonts w:ascii="Arial" w:hAnsi="Arial" w:eastAsia="Calibri" w:cs="Arial"/>
          <w:sz w:val="24"/>
          <w:szCs w:val="24"/>
        </w:rPr>
        <w:t xml:space="preserve">por </w:t>
      </w:r>
      <w:r>
        <w:rPr>
          <w:rFonts w:ascii="Arial" w:hAnsi="Arial" w:eastAsia="Calibri" w:cs="Arial"/>
          <w:color w:val="000000"/>
          <w:sz w:val="24"/>
          <w:szCs w:val="24"/>
        </w:rPr>
        <w:t xml:space="preserve">profissional qualificado da inexistência de imóveis públicos vagos e disponíveis que atendam ao objeto de interesse. </w:t>
      </w:r>
    </w:p>
    <w:p w14:paraId="10A404EF">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Entretanto, a mera disponibilidade de um imóvel público vago não deve ser um obstáculo para impedir a locação de um imóvel particular pela Administração Pública, tendo em vista a existência de casos em que os imóveis municipais estão em condições precárias, sem os devidos certificados de ocupação, adequações de segurança como saídas de emergência, entre outros aspectos que afetam a segurança dos servidores e cidadãos.</w:t>
      </w:r>
    </w:p>
    <w:p w14:paraId="1F4E2F8E">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Nesse sentido, o fato de existirem outros imóveis públicos de tamanho semelhante ao do imóvel pretendido para locação, porém em más condições de conservação, mal localizados ou não conformes com a legislação de segurança, não deve impedir que a Administração opte por celebrar um contrato de locação que melhor atenda ao interesse público.</w:t>
      </w:r>
    </w:p>
    <w:p w14:paraId="679502CC">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Por fim, outro requisito essencial consiste na necessidade de</w:t>
      </w:r>
      <w:r>
        <w:rPr>
          <w:rFonts w:ascii="Arial" w:hAnsi="Arial" w:eastAsia="Calibri" w:cs="Arial"/>
          <w:b/>
          <w:color w:val="000000"/>
          <w:sz w:val="24"/>
          <w:szCs w:val="24"/>
        </w:rPr>
        <w:t xml:space="preserve"> </w:t>
      </w:r>
      <w:r>
        <w:rPr>
          <w:rFonts w:ascii="Arial" w:hAnsi="Arial" w:eastAsia="Calibri" w:cs="Arial"/>
          <w:color w:val="000000"/>
          <w:sz w:val="24"/>
          <w:szCs w:val="24"/>
        </w:rPr>
        <w:t>justificar a singularidade do imóvel escolhido para locação pelo órgão requerente, especificando as características técnicas e as razões que fundamentaram sua seleção como objeto de locação.</w:t>
      </w:r>
    </w:p>
    <w:p w14:paraId="6E914ECC">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É importante destacar que singularidade não significa exclusividade. Enquanto exclusividade sugere que existe apenas uma solução adequada disponível no mercado, singularidade indica que, embora haja várias alternativas potenciais, não é possível estabelecer critérios objetivos para comparar e avaliar cada uma delas.</w:t>
      </w:r>
    </w:p>
    <w:p w14:paraId="25FF67B6">
      <w:pPr>
        <w:pBdr>
          <w:top w:val="none" w:color="auto" w:sz="0" w:space="0"/>
          <w:left w:val="none" w:color="auto" w:sz="0" w:space="0"/>
          <w:bottom w:val="none" w:color="auto" w:sz="0" w:space="0"/>
          <w:right w:val="none" w:color="auto" w:sz="0" w:space="0"/>
          <w:between w:val="none" w:color="auto" w:sz="0" w:space="0"/>
        </w:pBdr>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Sublinha-se que a decisão sobre as características necessárias para atender à necessidade administrativa é exclusiva do Gestor, baseada na análise dos elementos factuais e na ponderação sobre a conveniência, oportunidade e interesse público do negócio pretendido.</w:t>
      </w:r>
    </w:p>
    <w:p w14:paraId="0182D333">
      <w:pPr>
        <w:pBdr>
          <w:top w:val="none" w:color="auto" w:sz="0" w:space="0"/>
          <w:left w:val="none" w:color="auto" w:sz="0" w:space="0"/>
          <w:bottom w:val="none" w:color="auto" w:sz="0" w:space="0"/>
          <w:right w:val="none" w:color="auto" w:sz="0" w:space="0"/>
          <w:between w:val="none" w:color="auto" w:sz="0" w:space="0"/>
        </w:pBdr>
        <w:tabs>
          <w:tab w:val="left" w:pos="9071"/>
        </w:tabs>
        <w:spacing w:before="240" w:line="240" w:lineRule="auto"/>
        <w:ind w:left="0" w:right="-1" w:hanging="2"/>
        <w:jc w:val="both"/>
        <w:rPr>
          <w:rFonts w:ascii="Arial" w:hAnsi="Arial" w:eastAsia="Calibri" w:cs="Arial"/>
          <w:color w:val="000000"/>
          <w:sz w:val="24"/>
          <w:szCs w:val="24"/>
        </w:rPr>
      </w:pPr>
      <w:r>
        <w:rPr>
          <w:rFonts w:ascii="Arial" w:hAnsi="Arial" w:eastAsia="Calibri" w:cs="Arial"/>
          <w:color w:val="000000"/>
          <w:sz w:val="24"/>
          <w:szCs w:val="24"/>
        </w:rPr>
        <w:t xml:space="preserve">Dessa forma, conclui-se que a locação do imóvel situado na </w:t>
      </w:r>
      <w:r>
        <w:rPr>
          <w:rFonts w:ascii="Arial" w:hAnsi="Arial" w:cs="Arial"/>
          <w:iCs/>
          <w:sz w:val="24"/>
        </w:rPr>
        <w:t>Avenida Luis Eduardo Magalhães, n° 190- Quadra 01</w:t>
      </w:r>
      <w:r>
        <w:rPr>
          <w:rFonts w:ascii="Arial" w:hAnsi="Arial" w:cs="Arial"/>
          <w:iCs/>
          <w:sz w:val="24"/>
          <w:szCs w:val="24"/>
        </w:rPr>
        <w:t>, Simões Filho-BA</w:t>
      </w:r>
      <w:r>
        <w:rPr>
          <w:rStyle w:val="5"/>
          <w:rFonts w:ascii="Arial" w:hAnsi="Arial" w:cs="Arial"/>
          <w:b w:val="0"/>
          <w:sz w:val="24"/>
          <w:szCs w:val="24"/>
        </w:rPr>
        <w:t xml:space="preserve">, é </w:t>
      </w:r>
      <w:r>
        <w:rPr>
          <w:rFonts w:ascii="Arial" w:hAnsi="Arial" w:eastAsia="Calibri" w:cs="Arial"/>
          <w:color w:val="000000"/>
          <w:sz w:val="24"/>
          <w:szCs w:val="24"/>
        </w:rPr>
        <w:t>a opção mais apropriada, tendo em vista sua localização estratégica e as instalações adequadas.</w:t>
      </w:r>
    </w:p>
    <w:p w14:paraId="5942F248">
      <w:pPr>
        <w:pStyle w:val="2"/>
        <w:ind w:firstLine="0"/>
        <w:rPr>
          <w:rFonts w:ascii="Arial" w:hAnsi="Arial" w:cs="Arial"/>
          <w:sz w:val="24"/>
          <w:szCs w:val="24"/>
        </w:rPr>
      </w:pPr>
    </w:p>
    <w:p w14:paraId="3D68430C">
      <w:pPr>
        <w:shd w:val="clear" w:color="auto" w:fill="BEBEBE" w:themeFill="background1" w:themeFillShade="BF"/>
        <w:tabs>
          <w:tab w:val="left" w:pos="9639"/>
        </w:tabs>
        <w:spacing w:line="240" w:lineRule="auto"/>
        <w:ind w:left="0" w:hanging="2"/>
        <w:rPr>
          <w:rFonts w:ascii="Arial" w:hAnsi="Arial" w:cs="Arial"/>
          <w:b/>
          <w:sz w:val="24"/>
          <w:szCs w:val="24"/>
        </w:rPr>
      </w:pPr>
      <w:r>
        <w:rPr>
          <w:rFonts w:ascii="Arial" w:hAnsi="Arial" w:cs="Arial"/>
          <w:b/>
          <w:sz w:val="24"/>
          <w:szCs w:val="24"/>
        </w:rPr>
        <w:t>4. CARACTERÍSTICAS DO IMÓVEL A SER LOCADO</w:t>
      </w:r>
    </w:p>
    <w:p w14:paraId="27FD0656">
      <w:pPr>
        <w:tabs>
          <w:tab w:val="left" w:pos="9639"/>
        </w:tabs>
        <w:spacing w:line="240" w:lineRule="auto"/>
        <w:ind w:left="0" w:hanging="2"/>
        <w:rPr>
          <w:rFonts w:ascii="Arial" w:hAnsi="Arial" w:cs="Arial"/>
          <w:sz w:val="24"/>
          <w:szCs w:val="24"/>
        </w:rPr>
      </w:pPr>
      <w:r>
        <w:rPr>
          <w:rFonts w:ascii="Arial" w:hAnsi="Arial" w:cs="Arial"/>
          <w:sz w:val="24"/>
          <w:szCs w:val="24"/>
        </w:rPr>
        <w:t xml:space="preserve"> </w:t>
      </w:r>
    </w:p>
    <w:p w14:paraId="7CD64F83">
      <w:pPr>
        <w:pStyle w:val="2"/>
        <w:ind w:right="-1"/>
        <w:jc w:val="both"/>
        <w:rPr>
          <w:rFonts w:ascii="Arial" w:hAnsi="Arial" w:cs="Arial"/>
          <w:iCs/>
          <w:sz w:val="24"/>
        </w:rPr>
      </w:pPr>
      <w:r>
        <w:rPr>
          <w:rFonts w:ascii="Arial" w:hAnsi="Arial" w:cs="Arial"/>
          <w:b/>
          <w:sz w:val="24"/>
          <w:szCs w:val="24"/>
        </w:rPr>
        <w:t>4.1</w:t>
      </w:r>
      <w:r>
        <w:rPr>
          <w:rFonts w:ascii="Arial" w:hAnsi="Arial" w:cs="Arial"/>
          <w:sz w:val="24"/>
          <w:szCs w:val="24"/>
        </w:rPr>
        <w:t xml:space="preserve"> </w:t>
      </w:r>
      <w:r>
        <w:rPr>
          <w:rFonts w:ascii="Arial" w:hAnsi="Arial" w:cs="Arial"/>
          <w:sz w:val="24"/>
        </w:rPr>
        <w:t>L</w:t>
      </w:r>
      <w:r>
        <w:rPr>
          <w:rFonts w:ascii="Arial" w:hAnsi="Arial" w:cs="Arial"/>
          <w:iCs/>
          <w:sz w:val="24"/>
        </w:rPr>
        <w:t>ocação de imóvel,</w:t>
      </w:r>
      <w:r>
        <w:rPr>
          <w:rFonts w:ascii="Arial" w:hAnsi="Arial" w:cs="Arial"/>
          <w:iCs/>
          <w:color w:val="FF0000"/>
          <w:sz w:val="24"/>
        </w:rPr>
        <w:t xml:space="preserve"> </w:t>
      </w:r>
      <w:r>
        <w:rPr>
          <w:rFonts w:ascii="Arial" w:hAnsi="Arial" w:cs="Arial"/>
          <w:iCs/>
          <w:sz w:val="24"/>
        </w:rPr>
        <w:t>situado na Avenida Luis Eduardo Magalhães, n° 190- Quadra 01, Lote 17, Loteamento Sol Nascente- Centro, Simões Filho-BA, CEP: 43705-080.</w:t>
      </w:r>
    </w:p>
    <w:p w14:paraId="2BD62A5A">
      <w:pPr>
        <w:pStyle w:val="2"/>
        <w:ind w:right="-1"/>
        <w:jc w:val="both"/>
        <w:rPr>
          <w:rFonts w:ascii="Arial" w:hAnsi="Arial" w:cs="Arial"/>
          <w:sz w:val="24"/>
          <w:szCs w:val="24"/>
        </w:rPr>
      </w:pPr>
    </w:p>
    <w:p w14:paraId="205FEF51">
      <w:pPr>
        <w:pStyle w:val="2"/>
        <w:ind w:right="-1"/>
        <w:jc w:val="both"/>
        <w:rPr>
          <w:rFonts w:ascii="Arial" w:hAnsi="Arial" w:cs="Arial"/>
          <w:sz w:val="24"/>
          <w:szCs w:val="24"/>
        </w:rPr>
      </w:pPr>
      <w:r>
        <w:rPr>
          <w:rFonts w:ascii="Arial" w:hAnsi="Arial" w:cs="Arial"/>
          <w:b/>
          <w:sz w:val="24"/>
          <w:szCs w:val="24"/>
        </w:rPr>
        <w:t>4.2</w:t>
      </w:r>
      <w:r>
        <w:rPr>
          <w:rFonts w:ascii="Arial" w:hAnsi="Arial" w:cs="Arial"/>
          <w:sz w:val="24"/>
          <w:szCs w:val="24"/>
        </w:rPr>
        <w:t xml:space="preserve"> Trata-se de uma loja medindo aproximadamente 210,00m², sendo 160,00 m² no pavimento térreo e mezanino medindo 50,00m², com área total medindo 210,00m².</w:t>
      </w:r>
    </w:p>
    <w:p w14:paraId="4C0C24E1">
      <w:pPr>
        <w:pStyle w:val="2"/>
        <w:ind w:right="-1"/>
        <w:jc w:val="both"/>
        <w:rPr>
          <w:rFonts w:ascii="Arial" w:hAnsi="Arial" w:cs="Arial"/>
          <w:sz w:val="24"/>
          <w:szCs w:val="24"/>
        </w:rPr>
      </w:pPr>
    </w:p>
    <w:p w14:paraId="6056BCEC">
      <w:pPr>
        <w:pStyle w:val="2"/>
        <w:ind w:right="-1"/>
        <w:jc w:val="both"/>
        <w:rPr>
          <w:rFonts w:ascii="Arial" w:hAnsi="Arial" w:cs="Arial"/>
          <w:sz w:val="24"/>
          <w:szCs w:val="24"/>
        </w:rPr>
      </w:pPr>
      <w:r>
        <w:rPr>
          <w:rFonts w:ascii="Arial" w:hAnsi="Arial" w:cs="Arial"/>
          <w:b/>
          <w:sz w:val="24"/>
          <w:szCs w:val="24"/>
        </w:rPr>
        <w:t>4.3</w:t>
      </w:r>
      <w:r>
        <w:rPr>
          <w:rFonts w:ascii="Arial" w:hAnsi="Arial" w:cs="Arial"/>
          <w:sz w:val="24"/>
          <w:szCs w:val="24"/>
        </w:rPr>
        <w:t xml:space="preserve"> O imóvel está plenamente servido de infraestrutura básica, dispondo de energia elétrica, abastecimento de água potável, coleta de resíduos, telefonia, drenagem de águas pluviais, iluminação pública, pavimentação asfáltica, entre outros serviços urbanos essenciais;</w:t>
      </w:r>
    </w:p>
    <w:p w14:paraId="4E4FEFE2">
      <w:pPr>
        <w:pStyle w:val="2"/>
        <w:ind w:right="-1" w:firstLine="0"/>
        <w:jc w:val="both"/>
        <w:rPr>
          <w:rFonts w:ascii="Arial" w:hAnsi="Arial" w:cs="Arial"/>
          <w:sz w:val="24"/>
          <w:szCs w:val="24"/>
        </w:rPr>
      </w:pPr>
    </w:p>
    <w:p w14:paraId="66C2522C">
      <w:pPr>
        <w:shd w:val="clear" w:color="auto" w:fill="BEBEBE" w:themeFill="background1" w:themeFillShade="BF"/>
        <w:tabs>
          <w:tab w:val="left" w:pos="9639"/>
        </w:tabs>
        <w:spacing w:line="240" w:lineRule="auto"/>
        <w:ind w:left="0" w:hanging="2"/>
        <w:rPr>
          <w:rFonts w:ascii="Arial" w:hAnsi="Arial" w:cs="Arial"/>
          <w:b/>
          <w:sz w:val="24"/>
          <w:szCs w:val="24"/>
        </w:rPr>
      </w:pPr>
      <w:r>
        <w:rPr>
          <w:rFonts w:ascii="Arial" w:hAnsi="Arial" w:cs="Arial"/>
          <w:b/>
          <w:sz w:val="24"/>
          <w:szCs w:val="24"/>
        </w:rPr>
        <w:t>5. DO PRAZO DE VIGÊNCIA CONTRATUAL</w:t>
      </w:r>
    </w:p>
    <w:p w14:paraId="3E1291B2">
      <w:pPr>
        <w:pBdr>
          <w:top w:val="none" w:color="auto" w:sz="0" w:space="0"/>
          <w:left w:val="none" w:color="auto" w:sz="0" w:space="0"/>
          <w:bottom w:val="none" w:color="auto" w:sz="0" w:space="0"/>
          <w:right w:val="none" w:color="auto" w:sz="0" w:space="0"/>
          <w:between w:val="none" w:color="auto" w:sz="0" w:space="0"/>
        </w:pBdr>
        <w:spacing w:before="280" w:after="280" w:line="240" w:lineRule="auto"/>
        <w:ind w:left="0" w:right="140" w:hanging="2"/>
        <w:jc w:val="both"/>
        <w:rPr>
          <w:rFonts w:ascii="Arial" w:hAnsi="Arial" w:eastAsia="Calibri" w:cs="Arial"/>
          <w:color w:val="000000"/>
          <w:sz w:val="24"/>
          <w:szCs w:val="24"/>
        </w:rPr>
      </w:pPr>
      <w:r>
        <w:rPr>
          <w:rFonts w:ascii="Arial" w:hAnsi="Arial" w:cs="Arial"/>
          <w:b/>
          <w:sz w:val="24"/>
          <w:szCs w:val="24"/>
        </w:rPr>
        <w:t xml:space="preserve">5.1. </w:t>
      </w:r>
      <w:r>
        <w:rPr>
          <w:rFonts w:ascii="Arial" w:hAnsi="Arial" w:eastAsia="Calibri" w:cs="Arial"/>
          <w:color w:val="000000"/>
          <w:sz w:val="24"/>
          <w:szCs w:val="24"/>
        </w:rPr>
        <w:t xml:space="preserve">O contrato terá vigência de </w:t>
      </w:r>
      <w:r>
        <w:rPr>
          <w:rFonts w:ascii="Arial" w:hAnsi="Arial" w:eastAsia="Calibri" w:cs="Arial"/>
          <w:color w:val="000000"/>
          <w:sz w:val="24"/>
          <w:szCs w:val="24"/>
          <w:highlight w:val="white"/>
        </w:rPr>
        <w:t>12 (doze) meses</w:t>
      </w:r>
      <w:r>
        <w:rPr>
          <w:rFonts w:ascii="Arial" w:hAnsi="Arial" w:eastAsia="Calibri" w:cs="Arial"/>
          <w:color w:val="000000"/>
          <w:sz w:val="24"/>
          <w:szCs w:val="24"/>
        </w:rPr>
        <w:t xml:space="preserve">, a contar da data de assinatura, podendo ser prorrogado por iguais e sucessivos períodos, mediante termo aditivo, salvo manifestação formal em contrário das partes, com antecedência mínima de 60 (sessenta) dias do seu vencimento. </w:t>
      </w:r>
    </w:p>
    <w:p w14:paraId="083DA37B">
      <w:pPr>
        <w:shd w:val="clear" w:color="auto" w:fill="BEBEBE" w:themeFill="background1" w:themeFillShade="BF"/>
        <w:tabs>
          <w:tab w:val="left" w:pos="9639"/>
        </w:tabs>
        <w:spacing w:line="240" w:lineRule="auto"/>
        <w:ind w:left="0" w:hanging="2"/>
        <w:rPr>
          <w:rFonts w:ascii="Arial" w:hAnsi="Arial" w:cs="Arial"/>
          <w:b/>
          <w:sz w:val="24"/>
          <w:szCs w:val="24"/>
          <w:shd w:val="clear" w:color="auto" w:fill="BEBEBE" w:themeFill="background1" w:themeFillShade="BF"/>
        </w:rPr>
      </w:pPr>
      <w:r>
        <w:rPr>
          <w:rFonts w:ascii="Arial" w:hAnsi="Arial" w:cs="Arial"/>
          <w:b/>
          <w:sz w:val="24"/>
          <w:szCs w:val="24"/>
          <w:shd w:val="clear" w:color="auto" w:fill="BEBEBE" w:themeFill="background1" w:themeFillShade="BF"/>
        </w:rPr>
        <w:t>6. PREÇO E FORMA DE PAGAMENTO</w:t>
      </w:r>
    </w:p>
    <w:p w14:paraId="4D6AA5BE">
      <w:pPr>
        <w:pBdr>
          <w:top w:val="none" w:color="auto" w:sz="0" w:space="0"/>
          <w:left w:val="none" w:color="auto" w:sz="0" w:space="0"/>
          <w:bottom w:val="none" w:color="auto" w:sz="0" w:space="0"/>
          <w:right w:val="none" w:color="auto" w:sz="0" w:space="0"/>
          <w:between w:val="none" w:color="auto" w:sz="0" w:space="0"/>
        </w:pBdr>
        <w:spacing w:before="280" w:after="280" w:line="240" w:lineRule="auto"/>
        <w:ind w:left="0" w:leftChars="0" w:right="140" w:firstLine="0" w:firstLineChars="0"/>
        <w:jc w:val="both"/>
        <w:rPr>
          <w:rFonts w:ascii="Arial" w:hAnsi="Arial" w:eastAsia="Calibri" w:cs="Arial"/>
          <w:color w:val="000000"/>
          <w:sz w:val="24"/>
          <w:szCs w:val="24"/>
        </w:rPr>
      </w:pPr>
      <w:r>
        <w:rPr>
          <w:rFonts w:ascii="Arial" w:hAnsi="Arial" w:eastAsia="Calibri" w:cs="Arial"/>
          <w:b/>
          <w:color w:val="000000"/>
          <w:sz w:val="24"/>
          <w:szCs w:val="24"/>
        </w:rPr>
        <w:t>6.1.</w:t>
      </w:r>
      <w:r>
        <w:rPr>
          <w:rFonts w:ascii="Arial" w:hAnsi="Arial" w:eastAsia="Calibri" w:cs="Arial"/>
          <w:b/>
          <w:color w:val="FF0000"/>
          <w:sz w:val="24"/>
          <w:szCs w:val="24"/>
        </w:rPr>
        <w:t xml:space="preserve"> </w:t>
      </w:r>
      <w:r>
        <w:rPr>
          <w:rFonts w:ascii="Arial" w:hAnsi="Arial" w:eastAsia="Calibri" w:cs="Arial"/>
          <w:sz w:val="24"/>
          <w:szCs w:val="24"/>
        </w:rPr>
        <w:t xml:space="preserve">O preço global do aluguel do imóvel será de R$ 96.000 (noventa e seis mil reais), a ser pago pelo </w:t>
      </w:r>
      <w:r>
        <w:rPr>
          <w:rFonts w:ascii="Arial" w:hAnsi="Arial" w:eastAsia="Calibri" w:cs="Arial"/>
          <w:b/>
          <w:sz w:val="24"/>
          <w:szCs w:val="24"/>
        </w:rPr>
        <w:t>LOCATÁRIO</w:t>
      </w:r>
      <w:r>
        <w:rPr>
          <w:rFonts w:ascii="Arial" w:hAnsi="Arial" w:eastAsia="Calibri" w:cs="Arial"/>
          <w:sz w:val="24"/>
          <w:szCs w:val="24"/>
        </w:rPr>
        <w:t xml:space="preserve"> mensalmente em 12 (doze) parcelas, iguais e sucessivas no valor de R$ 8.000,00 (oito mil reais), conforme laudo de avaliação anexo.</w:t>
      </w:r>
    </w:p>
    <w:p w14:paraId="1BB8D370">
      <w:pPr>
        <w:pBdr>
          <w:top w:val="none" w:color="auto" w:sz="0" w:space="0"/>
          <w:left w:val="none" w:color="auto" w:sz="0" w:space="0"/>
          <w:bottom w:val="none" w:color="auto" w:sz="0" w:space="0"/>
          <w:right w:val="none" w:color="auto" w:sz="0" w:space="0"/>
          <w:between w:val="none" w:color="auto" w:sz="0" w:space="0"/>
        </w:pBdr>
        <w:spacing w:before="280" w:after="280" w:line="240" w:lineRule="auto"/>
        <w:ind w:left="0" w:right="140" w:hanging="2"/>
        <w:jc w:val="both"/>
        <w:rPr>
          <w:rFonts w:ascii="Arial" w:hAnsi="Arial" w:eastAsia="Calibri" w:cs="Arial"/>
          <w:color w:val="000000"/>
          <w:sz w:val="24"/>
          <w:szCs w:val="24"/>
        </w:rPr>
      </w:pPr>
      <w:r>
        <w:rPr>
          <w:rFonts w:ascii="Arial" w:hAnsi="Arial" w:eastAsia="Calibri" w:cs="Arial"/>
          <w:b/>
          <w:color w:val="000000"/>
          <w:sz w:val="24"/>
          <w:szCs w:val="24"/>
        </w:rPr>
        <w:t>6.2.</w:t>
      </w:r>
      <w:r>
        <w:rPr>
          <w:rFonts w:ascii="Arial" w:hAnsi="Arial" w:eastAsia="Calibri" w:cs="Arial"/>
          <w:color w:val="000000"/>
          <w:sz w:val="24"/>
          <w:szCs w:val="24"/>
        </w:rPr>
        <w:t xml:space="preserve"> O </w:t>
      </w:r>
      <w:r>
        <w:rPr>
          <w:rFonts w:ascii="Arial" w:hAnsi="Arial" w:eastAsia="Calibri" w:cs="Arial"/>
          <w:b/>
          <w:color w:val="000000"/>
          <w:sz w:val="24"/>
          <w:szCs w:val="24"/>
        </w:rPr>
        <w:t>LOCADOR</w:t>
      </w:r>
      <w:r>
        <w:rPr>
          <w:rFonts w:ascii="Arial" w:hAnsi="Arial" w:eastAsia="Calibri" w:cs="Arial"/>
          <w:color w:val="000000"/>
          <w:sz w:val="24"/>
          <w:szCs w:val="24"/>
        </w:rPr>
        <w:t xml:space="preserve"> declara que o valor supracitado na cláusula 6.1. já inclui todos os tributos incidentes sobre o imóvel, objeto do presente instrumento. </w:t>
      </w:r>
    </w:p>
    <w:p w14:paraId="69F91993">
      <w:pPr>
        <w:pBdr>
          <w:top w:val="none" w:color="auto" w:sz="0" w:space="0"/>
          <w:left w:val="none" w:color="auto" w:sz="0" w:space="0"/>
          <w:bottom w:val="none" w:color="auto" w:sz="0" w:space="0"/>
          <w:right w:val="none" w:color="auto" w:sz="0" w:space="0"/>
          <w:between w:val="none" w:color="auto" w:sz="0" w:space="0"/>
        </w:pBdr>
        <w:spacing w:before="280" w:after="280" w:line="240" w:lineRule="auto"/>
        <w:ind w:left="0" w:right="140" w:hanging="2"/>
        <w:jc w:val="both"/>
        <w:rPr>
          <w:rFonts w:ascii="Arial" w:hAnsi="Arial" w:eastAsia="Calibri" w:cs="Arial"/>
          <w:color w:val="000000"/>
          <w:sz w:val="24"/>
          <w:szCs w:val="24"/>
        </w:rPr>
      </w:pPr>
      <w:r>
        <w:rPr>
          <w:rFonts w:ascii="Arial" w:hAnsi="Arial" w:eastAsia="Calibri" w:cs="Arial"/>
          <w:b/>
          <w:color w:val="000000"/>
          <w:sz w:val="24"/>
          <w:szCs w:val="24"/>
        </w:rPr>
        <w:t>6.3.</w:t>
      </w:r>
      <w:r>
        <w:rPr>
          <w:rFonts w:ascii="Arial" w:hAnsi="Arial" w:eastAsia="Calibri" w:cs="Arial"/>
          <w:color w:val="000000"/>
          <w:sz w:val="24"/>
          <w:szCs w:val="24"/>
        </w:rPr>
        <w:t xml:space="preserve"> Além do aluguel de cada mês, será de inteira responsabilidade do </w:t>
      </w:r>
      <w:r>
        <w:rPr>
          <w:rFonts w:ascii="Arial" w:hAnsi="Arial" w:eastAsia="Calibri" w:cs="Arial"/>
          <w:b/>
          <w:color w:val="000000"/>
          <w:sz w:val="24"/>
          <w:szCs w:val="24"/>
        </w:rPr>
        <w:t>LOCATÁRIO</w:t>
      </w:r>
      <w:r>
        <w:rPr>
          <w:rFonts w:ascii="Arial" w:hAnsi="Arial" w:eastAsia="Calibri" w:cs="Arial"/>
          <w:color w:val="000000"/>
          <w:sz w:val="24"/>
          <w:szCs w:val="24"/>
        </w:rPr>
        <w:t xml:space="preserve"> o pagamento das contas de energia elétrica e água. </w:t>
      </w:r>
    </w:p>
    <w:p w14:paraId="3D3649DB">
      <w:pPr>
        <w:pStyle w:val="2"/>
        <w:ind w:firstLine="0"/>
        <w:rPr>
          <w:rFonts w:ascii="Arial" w:hAnsi="Arial" w:cs="Arial"/>
          <w:b/>
          <w:sz w:val="24"/>
          <w:szCs w:val="24"/>
        </w:rPr>
      </w:pPr>
    </w:p>
    <w:p w14:paraId="56B3D7C3">
      <w:pPr>
        <w:pStyle w:val="2"/>
        <w:shd w:val="clear" w:color="auto" w:fill="BEBEBE" w:themeFill="background1" w:themeFillShade="BF"/>
        <w:rPr>
          <w:rFonts w:ascii="Arial" w:hAnsi="Arial" w:cs="Arial"/>
          <w:b/>
          <w:sz w:val="24"/>
          <w:szCs w:val="24"/>
        </w:rPr>
      </w:pPr>
      <w:r>
        <w:rPr>
          <w:rFonts w:ascii="Arial" w:hAnsi="Arial" w:cs="Arial"/>
          <w:b/>
          <w:sz w:val="24"/>
          <w:szCs w:val="24"/>
        </w:rPr>
        <w:t>7. BENFEITORIAS E CONSTRUÇÕES</w:t>
      </w:r>
    </w:p>
    <w:p w14:paraId="16F5447C">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color w:val="000000"/>
          <w:sz w:val="24"/>
          <w:szCs w:val="24"/>
        </w:rPr>
      </w:pPr>
      <w:r>
        <w:rPr>
          <w:rFonts w:ascii="Arial" w:hAnsi="Arial" w:eastAsia="Calibri" w:cs="Arial"/>
          <w:b/>
          <w:color w:val="000000"/>
          <w:sz w:val="24"/>
          <w:szCs w:val="24"/>
        </w:rPr>
        <w:t>7.1.</w:t>
      </w:r>
      <w:r>
        <w:rPr>
          <w:rFonts w:ascii="Arial" w:hAnsi="Arial" w:eastAsia="Calibri" w:cs="Arial"/>
          <w:color w:val="000000"/>
          <w:sz w:val="24"/>
          <w:szCs w:val="24"/>
        </w:rPr>
        <w:t xml:space="preserve"> Qualquer benfeitoria ou construção que seja destinada ao imóvel objeto do presente Termo de Referência, que altere substancialmente a estrutura do imóvel deverá ser informada ao </w:t>
      </w:r>
      <w:r>
        <w:rPr>
          <w:rFonts w:ascii="Arial" w:hAnsi="Arial" w:eastAsia="Calibri" w:cs="Arial"/>
          <w:b/>
          <w:color w:val="000000"/>
          <w:sz w:val="24"/>
          <w:szCs w:val="24"/>
        </w:rPr>
        <w:t>LOCADOR</w:t>
      </w:r>
      <w:r>
        <w:rPr>
          <w:rFonts w:ascii="Arial" w:hAnsi="Arial" w:eastAsia="Calibri" w:cs="Arial"/>
          <w:color w:val="000000"/>
          <w:sz w:val="24"/>
          <w:szCs w:val="24"/>
        </w:rPr>
        <w:t xml:space="preserve">. As benfeitorias, consertos ou reparos farão parte integrante do imóvel, sendo que a realização de benfeitorias úteis ou voluptuárias assistirá ao </w:t>
      </w:r>
      <w:r>
        <w:rPr>
          <w:rFonts w:ascii="Arial" w:hAnsi="Arial" w:eastAsia="Calibri" w:cs="Arial"/>
          <w:b/>
          <w:color w:val="000000"/>
          <w:sz w:val="24"/>
          <w:szCs w:val="24"/>
        </w:rPr>
        <w:t xml:space="preserve">LOCADOR </w:t>
      </w:r>
      <w:r>
        <w:rPr>
          <w:rFonts w:ascii="Arial" w:hAnsi="Arial" w:eastAsia="Calibri" w:cs="Arial"/>
          <w:color w:val="000000"/>
          <w:sz w:val="24"/>
          <w:szCs w:val="24"/>
        </w:rPr>
        <w:t xml:space="preserve">direito ou indenização sobre a mesma. </w:t>
      </w:r>
    </w:p>
    <w:p w14:paraId="188769D0">
      <w:pPr>
        <w:pStyle w:val="2"/>
        <w:ind w:firstLine="0"/>
        <w:rPr>
          <w:rFonts w:ascii="Arial" w:hAnsi="Arial" w:cs="Arial"/>
          <w:b/>
          <w:sz w:val="24"/>
          <w:szCs w:val="24"/>
        </w:rPr>
      </w:pPr>
    </w:p>
    <w:p w14:paraId="3658AA44">
      <w:pPr>
        <w:pStyle w:val="2"/>
        <w:shd w:val="clear" w:color="auto" w:fill="BEBEBE" w:themeFill="background1" w:themeFillShade="BF"/>
        <w:rPr>
          <w:rFonts w:ascii="Arial" w:hAnsi="Arial" w:cs="Arial"/>
          <w:b/>
          <w:sz w:val="24"/>
          <w:szCs w:val="24"/>
        </w:rPr>
      </w:pPr>
      <w:r>
        <w:rPr>
          <w:rFonts w:ascii="Arial" w:hAnsi="Arial" w:cs="Arial"/>
          <w:b/>
          <w:sz w:val="24"/>
          <w:szCs w:val="24"/>
        </w:rPr>
        <w:t>8.  DA EXECUÇÃO E FISCALIZAÇÃO</w:t>
      </w:r>
    </w:p>
    <w:p w14:paraId="26EC53F6">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8.1. </w:t>
      </w:r>
      <w:r>
        <w:rPr>
          <w:rFonts w:ascii="Arial" w:hAnsi="Arial" w:eastAsia="Calibri" w:cs="Arial"/>
          <w:sz w:val="24"/>
          <w:szCs w:val="24"/>
        </w:rPr>
        <w:t xml:space="preserve">A fiscalização será exercida no interesse da Administração e não exclui nem reduz a responsabilidade da </w:t>
      </w:r>
      <w:r>
        <w:rPr>
          <w:rFonts w:ascii="Arial" w:hAnsi="Arial" w:eastAsia="Calibri" w:cs="Arial"/>
          <w:b/>
          <w:sz w:val="24"/>
          <w:szCs w:val="24"/>
        </w:rPr>
        <w:t>LOCADOR</w:t>
      </w:r>
      <w:r>
        <w:rPr>
          <w:rFonts w:ascii="Arial" w:hAnsi="Arial" w:eastAsia="Calibri" w:cs="Arial"/>
          <w:sz w:val="24"/>
          <w:szCs w:val="24"/>
        </w:rPr>
        <w:t>, inclusive perante terceiros, por quaisquer irregularidades, e, na sua ocorrência, não implica corresponsabilidade do Poder Público ou de seus agentes e prepostos.</w:t>
      </w:r>
    </w:p>
    <w:p w14:paraId="4CC3F5DA">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highlight w:val="white"/>
        </w:rPr>
      </w:pPr>
      <w:r>
        <w:rPr>
          <w:rFonts w:ascii="Arial" w:hAnsi="Arial" w:eastAsia="Calibri" w:cs="Arial"/>
          <w:b/>
          <w:sz w:val="24"/>
          <w:szCs w:val="24"/>
          <w:highlight w:val="white"/>
        </w:rPr>
        <w:t xml:space="preserve">8.2. </w:t>
      </w:r>
      <w:r>
        <w:rPr>
          <w:rFonts w:ascii="Arial" w:hAnsi="Arial" w:eastAsia="Calibri" w:cs="Arial"/>
          <w:sz w:val="24"/>
          <w:szCs w:val="24"/>
          <w:highlight w:val="white"/>
        </w:rPr>
        <w:t xml:space="preserve">A fiscalização do presente contrato será objeto de acompanhamento, controle, fiscalização e avaliação por servidor especialmente designado para assegurar o perfeito cumprimento do contrato. </w:t>
      </w:r>
    </w:p>
    <w:p w14:paraId="04BE1BB9">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rPr>
      </w:pPr>
      <w:r>
        <w:rPr>
          <w:rFonts w:ascii="Arial" w:hAnsi="Arial" w:eastAsia="Calibri" w:cs="Arial"/>
          <w:b/>
          <w:sz w:val="24"/>
          <w:szCs w:val="24"/>
          <w:highlight w:val="white"/>
        </w:rPr>
        <w:t xml:space="preserve">8.3. </w:t>
      </w:r>
      <w:r>
        <w:rPr>
          <w:rFonts w:ascii="Arial" w:hAnsi="Arial" w:eastAsia="Calibri" w:cs="Arial"/>
          <w:sz w:val="24"/>
          <w:szCs w:val="24"/>
          <w:highlight w:val="white"/>
        </w:rPr>
        <w:t xml:space="preserve">O representante da Administração anotará em registro próprio todas as ocorrências relacionadas com a execução do contrato, determinando o que for necessário à regularização das faltas ou defeitos observados. </w:t>
      </w:r>
    </w:p>
    <w:p w14:paraId="3A23F83C">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8.4. </w:t>
      </w:r>
      <w:r>
        <w:rPr>
          <w:rFonts w:ascii="Arial" w:hAnsi="Arial" w:eastAsia="Calibri" w:cs="Arial"/>
          <w:sz w:val="24"/>
          <w:szCs w:val="24"/>
        </w:rPr>
        <w:t xml:space="preserve">Estando em conformidade, os documentos de cobrança deverão ser atestados pela fiscalização do contrato e enviados ao setor competente para o pagamento devido. </w:t>
      </w:r>
    </w:p>
    <w:p w14:paraId="2E49D674">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8.5. </w:t>
      </w:r>
      <w:r>
        <w:rPr>
          <w:rFonts w:ascii="Arial" w:hAnsi="Arial" w:eastAsia="Calibri" w:cs="Arial"/>
          <w:sz w:val="24"/>
          <w:szCs w:val="24"/>
        </w:rPr>
        <w:t xml:space="preserve">Em caso de não conformidade, a contratada será notificada, por escrito, sobre as irregularidades apontadas. </w:t>
      </w:r>
    </w:p>
    <w:p w14:paraId="7B66B3B0">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8.6. </w:t>
      </w:r>
      <w:r>
        <w:rPr>
          <w:rFonts w:ascii="Arial" w:hAnsi="Arial" w:eastAsia="Calibri" w:cs="Arial"/>
          <w:sz w:val="24"/>
          <w:szCs w:val="24"/>
        </w:rPr>
        <w:t xml:space="preserve">Quaisquer exigências da fiscalização inerentes ao objeto do contrato deverão ser prontamente atendidas pelo </w:t>
      </w:r>
      <w:r>
        <w:rPr>
          <w:rFonts w:ascii="Arial" w:hAnsi="Arial" w:eastAsia="Calibri" w:cs="Arial"/>
          <w:b/>
          <w:sz w:val="24"/>
          <w:szCs w:val="24"/>
        </w:rPr>
        <w:t>LOCADOR.</w:t>
      </w:r>
      <w:r>
        <w:rPr>
          <w:rFonts w:ascii="Arial" w:hAnsi="Arial" w:eastAsia="Calibri" w:cs="Arial"/>
          <w:sz w:val="24"/>
          <w:szCs w:val="24"/>
        </w:rPr>
        <w:t xml:space="preserve"> </w:t>
      </w:r>
    </w:p>
    <w:p w14:paraId="15D04E99">
      <w:pPr>
        <w:pStyle w:val="2"/>
        <w:rPr>
          <w:rFonts w:ascii="Arial" w:hAnsi="Arial" w:cs="Arial"/>
          <w:b/>
          <w:sz w:val="24"/>
          <w:szCs w:val="24"/>
        </w:rPr>
      </w:pPr>
    </w:p>
    <w:p w14:paraId="7C3892AA">
      <w:pPr>
        <w:pStyle w:val="2"/>
        <w:shd w:val="clear" w:color="auto" w:fill="BEBEBE" w:themeFill="background1" w:themeFillShade="BF"/>
        <w:rPr>
          <w:rFonts w:ascii="Arial" w:hAnsi="Arial" w:cs="Arial"/>
          <w:b/>
          <w:sz w:val="24"/>
          <w:szCs w:val="24"/>
        </w:rPr>
      </w:pPr>
      <w:r>
        <w:rPr>
          <w:rFonts w:ascii="Arial" w:hAnsi="Arial" w:cs="Arial"/>
          <w:b/>
          <w:sz w:val="24"/>
          <w:szCs w:val="24"/>
        </w:rPr>
        <w:t xml:space="preserve">9. DAS OBRIGAÇÕES DO LOCATÓRIO </w:t>
      </w:r>
    </w:p>
    <w:p w14:paraId="3EF25B07">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b/>
          <w:sz w:val="24"/>
          <w:szCs w:val="24"/>
        </w:rPr>
      </w:pPr>
      <w:r>
        <w:rPr>
          <w:rFonts w:ascii="Arial" w:hAnsi="Arial" w:eastAsia="Calibri" w:cs="Arial"/>
          <w:b/>
          <w:sz w:val="24"/>
          <w:szCs w:val="24"/>
        </w:rPr>
        <w:t xml:space="preserve">9.1. São obrigações do LOCATÁRIO: </w:t>
      </w:r>
    </w:p>
    <w:p w14:paraId="11877514">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9.1.1. </w:t>
      </w:r>
      <w:r>
        <w:rPr>
          <w:rFonts w:ascii="Arial" w:hAnsi="Arial" w:eastAsia="Calibri" w:cs="Arial"/>
          <w:sz w:val="24"/>
          <w:szCs w:val="24"/>
        </w:rPr>
        <w:t>Zelar pela fiel execução do ajuste contratual, utilizando-se de todos os recursos materiais e humanos necessários para tanto;</w:t>
      </w:r>
    </w:p>
    <w:p w14:paraId="49B68F4B">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9.1.2. </w:t>
      </w:r>
      <w:r>
        <w:rPr>
          <w:rFonts w:ascii="Arial" w:hAnsi="Arial" w:eastAsia="Calibri" w:cs="Arial"/>
          <w:sz w:val="24"/>
          <w:szCs w:val="24"/>
        </w:rPr>
        <w:t xml:space="preserve">Responder por quaisquer danos, perdas ou prejuízos, causados ao </w:t>
      </w:r>
      <w:r>
        <w:rPr>
          <w:rFonts w:ascii="Arial" w:hAnsi="Arial" w:eastAsia="Calibri" w:cs="Arial"/>
          <w:b/>
          <w:sz w:val="24"/>
          <w:szCs w:val="24"/>
        </w:rPr>
        <w:t>LOCADOR</w:t>
      </w:r>
      <w:r>
        <w:rPr>
          <w:rFonts w:ascii="Arial" w:hAnsi="Arial" w:eastAsia="Calibri" w:cs="Arial"/>
          <w:sz w:val="24"/>
          <w:szCs w:val="24"/>
        </w:rPr>
        <w:t xml:space="preserve"> ou a terceiros, por dolo ou culpa, na execução do contrato, bem como, por qualquer que venha a ser causados por seus prepostos;</w:t>
      </w:r>
    </w:p>
    <w:p w14:paraId="037FD0B9">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9.1.3. </w:t>
      </w:r>
      <w:r>
        <w:rPr>
          <w:rFonts w:ascii="Arial" w:hAnsi="Arial" w:eastAsia="Calibri" w:cs="Arial"/>
          <w:sz w:val="24"/>
          <w:szCs w:val="24"/>
        </w:rPr>
        <w:t>Arcar com todas as despesas diretas e/ou indiretas relacionadas com a execução do objeto da contratação, na forma de legislação vigente;</w:t>
      </w:r>
    </w:p>
    <w:p w14:paraId="4FBE4017">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9.1.4. </w:t>
      </w:r>
      <w:r>
        <w:rPr>
          <w:rFonts w:ascii="Arial" w:hAnsi="Arial" w:eastAsia="Calibri" w:cs="Arial"/>
          <w:sz w:val="24"/>
          <w:szCs w:val="24"/>
        </w:rPr>
        <w:t>Manter-se durante toda a execução do contrato em compatibilidade com as demais obrigações assumidas, todas as condições de habilitação e qualificação exigidas que darão origem ao contrato;</w:t>
      </w:r>
    </w:p>
    <w:p w14:paraId="3115FCE5">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9.1.5. </w:t>
      </w:r>
      <w:r>
        <w:rPr>
          <w:rFonts w:ascii="Arial" w:hAnsi="Arial" w:eastAsia="Calibri" w:cs="Arial"/>
          <w:sz w:val="24"/>
          <w:szCs w:val="24"/>
        </w:rPr>
        <w:t xml:space="preserve">O </w:t>
      </w:r>
      <w:r>
        <w:rPr>
          <w:rFonts w:ascii="Arial" w:hAnsi="Arial" w:eastAsia="Calibri" w:cs="Arial"/>
          <w:b/>
          <w:sz w:val="24"/>
          <w:szCs w:val="24"/>
        </w:rPr>
        <w:t>LOCATÁRIO</w:t>
      </w:r>
      <w:r>
        <w:rPr>
          <w:rFonts w:ascii="Arial" w:hAnsi="Arial" w:eastAsia="Calibri" w:cs="Arial"/>
          <w:sz w:val="24"/>
          <w:szCs w:val="24"/>
        </w:rPr>
        <w:t xml:space="preserve"> comprometer-se-á a dar total garantia quanto à manutenção do imóvel mantendo-o em perfeito estado de conservação e limpeza, bem como, efetuar a substituição imediata de quaisquer danos que por ventura venha a ocorrer no imóvel;</w:t>
      </w:r>
    </w:p>
    <w:p w14:paraId="6F24EACC">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9.1.6. </w:t>
      </w:r>
      <w:r>
        <w:rPr>
          <w:rFonts w:ascii="Arial" w:hAnsi="Arial" w:eastAsia="Calibri" w:cs="Arial"/>
          <w:sz w:val="24"/>
          <w:szCs w:val="24"/>
        </w:rPr>
        <w:t xml:space="preserve">Correrão por conta do </w:t>
      </w:r>
      <w:r>
        <w:rPr>
          <w:rFonts w:ascii="Arial" w:hAnsi="Arial" w:eastAsia="Calibri" w:cs="Arial"/>
          <w:b/>
          <w:sz w:val="24"/>
          <w:szCs w:val="24"/>
        </w:rPr>
        <w:t>LOCATÁRIO</w:t>
      </w:r>
      <w:r>
        <w:rPr>
          <w:rFonts w:ascii="Arial" w:hAnsi="Arial" w:eastAsia="Calibri" w:cs="Arial"/>
          <w:sz w:val="24"/>
          <w:szCs w:val="24"/>
        </w:rPr>
        <w:t xml:space="preserve"> além da quitação do aluguel todas as despesas necessárias decorrentes da execução dos serviços;</w:t>
      </w:r>
    </w:p>
    <w:p w14:paraId="2F568324">
      <w:pPr>
        <w:pBdr>
          <w:top w:val="none" w:color="auto" w:sz="0" w:space="0"/>
          <w:left w:val="none" w:color="auto" w:sz="0" w:space="0"/>
          <w:bottom w:val="none" w:color="auto" w:sz="0" w:space="0"/>
          <w:right w:val="none" w:color="auto" w:sz="0" w:space="0"/>
          <w:between w:val="none" w:color="auto" w:sz="0" w:space="0"/>
        </w:pBdr>
        <w:tabs>
          <w:tab w:val="left" w:pos="9071"/>
        </w:tabs>
        <w:spacing w:before="280" w:after="280"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9.1.7. </w:t>
      </w:r>
      <w:r>
        <w:rPr>
          <w:rFonts w:ascii="Arial" w:hAnsi="Arial" w:eastAsia="Calibri" w:cs="Arial"/>
          <w:sz w:val="24"/>
          <w:szCs w:val="24"/>
        </w:rPr>
        <w:t xml:space="preserve">Arcar com eventuais prejuízos causados ao </w:t>
      </w:r>
      <w:r>
        <w:rPr>
          <w:rFonts w:ascii="Arial" w:hAnsi="Arial" w:eastAsia="Calibri" w:cs="Arial"/>
          <w:b/>
          <w:sz w:val="24"/>
          <w:szCs w:val="24"/>
        </w:rPr>
        <w:t>LOCADOR</w:t>
      </w:r>
      <w:r>
        <w:rPr>
          <w:rFonts w:ascii="Arial" w:hAnsi="Arial" w:eastAsia="Calibri" w:cs="Arial"/>
          <w:sz w:val="24"/>
          <w:szCs w:val="24"/>
        </w:rPr>
        <w:t xml:space="preserve"> e/ou a terceiros, provocados por ineficiência ou irregularidade cometida por seus empregados ou prepostos, na execução do contrato.</w:t>
      </w:r>
    </w:p>
    <w:p w14:paraId="4DE1A3BF">
      <w:pPr>
        <w:pStyle w:val="2"/>
        <w:shd w:val="clear" w:color="auto" w:fill="BEBEBE" w:themeFill="background1" w:themeFillShade="BF"/>
        <w:ind w:firstLine="0"/>
        <w:rPr>
          <w:rFonts w:ascii="Arial" w:hAnsi="Arial" w:cs="Arial"/>
          <w:b/>
          <w:sz w:val="24"/>
          <w:szCs w:val="24"/>
        </w:rPr>
      </w:pPr>
      <w:r>
        <w:rPr>
          <w:rFonts w:ascii="Arial" w:hAnsi="Arial" w:cs="Arial"/>
          <w:b/>
          <w:sz w:val="24"/>
          <w:szCs w:val="24"/>
        </w:rPr>
        <w:t>10. DAS OBRIGAÇÕES DO LOCADOR</w:t>
      </w:r>
    </w:p>
    <w:p w14:paraId="7D247EA2">
      <w:pPr>
        <w:pBdr>
          <w:top w:val="none" w:color="auto" w:sz="0" w:space="0"/>
          <w:left w:val="none" w:color="auto" w:sz="0" w:space="0"/>
          <w:bottom w:val="none" w:color="auto" w:sz="0" w:space="0"/>
          <w:right w:val="none" w:color="auto" w:sz="0" w:space="0"/>
          <w:between w:val="none" w:color="auto" w:sz="0" w:space="0"/>
        </w:pBdr>
        <w:tabs>
          <w:tab w:val="left" w:pos="8931"/>
        </w:tabs>
        <w:spacing w:line="240" w:lineRule="auto"/>
        <w:ind w:left="0" w:right="424" w:hanging="2"/>
        <w:jc w:val="both"/>
        <w:rPr>
          <w:rFonts w:ascii="Arial" w:hAnsi="Arial" w:eastAsia="Calibri" w:cs="Arial"/>
          <w:b/>
          <w:sz w:val="24"/>
          <w:szCs w:val="24"/>
        </w:rPr>
      </w:pPr>
    </w:p>
    <w:p w14:paraId="39FC9065">
      <w:pPr>
        <w:pBdr>
          <w:top w:val="none" w:color="auto" w:sz="0" w:space="0"/>
          <w:left w:val="none" w:color="auto" w:sz="0" w:space="0"/>
          <w:bottom w:val="none" w:color="auto" w:sz="0" w:space="0"/>
          <w:right w:val="none" w:color="auto" w:sz="0" w:space="0"/>
          <w:between w:val="none" w:color="auto" w:sz="0" w:space="0"/>
        </w:pBdr>
        <w:tabs>
          <w:tab w:val="left" w:pos="8931"/>
        </w:tabs>
        <w:spacing w:line="240" w:lineRule="auto"/>
        <w:ind w:left="0" w:right="424" w:hanging="2"/>
        <w:jc w:val="both"/>
        <w:rPr>
          <w:rFonts w:ascii="Arial" w:hAnsi="Arial" w:eastAsia="Calibri" w:cs="Arial"/>
          <w:sz w:val="24"/>
          <w:szCs w:val="24"/>
        </w:rPr>
      </w:pPr>
      <w:r>
        <w:rPr>
          <w:rFonts w:ascii="Arial" w:hAnsi="Arial" w:eastAsia="Calibri" w:cs="Arial"/>
          <w:b/>
          <w:sz w:val="24"/>
          <w:szCs w:val="24"/>
        </w:rPr>
        <w:t>10.1.</w:t>
      </w:r>
      <w:r>
        <w:rPr>
          <w:rFonts w:ascii="Arial" w:hAnsi="Arial" w:eastAsia="Calibri" w:cs="Arial"/>
          <w:sz w:val="24"/>
          <w:szCs w:val="24"/>
        </w:rPr>
        <w:t xml:space="preserve"> São obrigações do </w:t>
      </w:r>
      <w:r>
        <w:rPr>
          <w:rFonts w:ascii="Arial" w:hAnsi="Arial" w:eastAsia="Calibri" w:cs="Arial"/>
          <w:b/>
          <w:sz w:val="24"/>
          <w:szCs w:val="24"/>
        </w:rPr>
        <w:t>LOCADOR:</w:t>
      </w:r>
    </w:p>
    <w:p w14:paraId="22535663">
      <w:pPr>
        <w:pBdr>
          <w:top w:val="none" w:color="auto" w:sz="0" w:space="0"/>
          <w:left w:val="none" w:color="auto" w:sz="0" w:space="0"/>
          <w:bottom w:val="none" w:color="auto" w:sz="0" w:space="0"/>
          <w:right w:val="none" w:color="auto" w:sz="0" w:space="0"/>
          <w:between w:val="none" w:color="auto" w:sz="0" w:space="0"/>
        </w:pBdr>
        <w:tabs>
          <w:tab w:val="left" w:pos="8931"/>
        </w:tabs>
        <w:spacing w:line="240" w:lineRule="auto"/>
        <w:ind w:left="0" w:right="424" w:hanging="2"/>
        <w:jc w:val="both"/>
        <w:rPr>
          <w:rFonts w:ascii="Arial" w:hAnsi="Arial" w:eastAsia="Calibri" w:cs="Arial"/>
          <w:sz w:val="24"/>
          <w:szCs w:val="24"/>
        </w:rPr>
      </w:pPr>
    </w:p>
    <w:p w14:paraId="42AA73D2">
      <w:pPr>
        <w:pBdr>
          <w:top w:val="none" w:color="auto" w:sz="0" w:space="0"/>
          <w:left w:val="none" w:color="auto" w:sz="0" w:space="0"/>
          <w:bottom w:val="none" w:color="auto" w:sz="0" w:space="0"/>
          <w:right w:val="none" w:color="auto" w:sz="0" w:space="0"/>
          <w:between w:val="none" w:color="auto" w:sz="0" w:space="0"/>
        </w:pBdr>
        <w:tabs>
          <w:tab w:val="left" w:pos="8931"/>
        </w:tabs>
        <w:spacing w:line="240" w:lineRule="auto"/>
        <w:ind w:left="0" w:right="424" w:hanging="2"/>
        <w:jc w:val="both"/>
        <w:rPr>
          <w:rFonts w:ascii="Arial" w:hAnsi="Arial" w:eastAsia="Calibri" w:cs="Arial"/>
          <w:sz w:val="24"/>
          <w:szCs w:val="24"/>
        </w:rPr>
      </w:pPr>
      <w:r>
        <w:rPr>
          <w:rFonts w:ascii="Arial" w:hAnsi="Arial" w:eastAsia="Calibri" w:cs="Arial"/>
          <w:b/>
          <w:sz w:val="24"/>
          <w:szCs w:val="24"/>
        </w:rPr>
        <w:t>10.1.1.</w:t>
      </w:r>
      <w:r>
        <w:rPr>
          <w:rFonts w:ascii="Arial" w:hAnsi="Arial" w:eastAsia="Calibri" w:cs="Arial"/>
          <w:sz w:val="24"/>
          <w:szCs w:val="24"/>
        </w:rPr>
        <w:t xml:space="preserve"> Proporcionar todas as facilidades para que o </w:t>
      </w:r>
      <w:r>
        <w:rPr>
          <w:rFonts w:ascii="Arial" w:hAnsi="Arial" w:eastAsia="Calibri" w:cs="Arial"/>
          <w:b/>
          <w:sz w:val="24"/>
          <w:szCs w:val="24"/>
        </w:rPr>
        <w:t>LOCATÁRIO</w:t>
      </w:r>
      <w:r>
        <w:rPr>
          <w:rFonts w:ascii="Arial" w:hAnsi="Arial" w:eastAsia="Calibri" w:cs="Arial"/>
          <w:sz w:val="24"/>
          <w:szCs w:val="24"/>
        </w:rPr>
        <w:t xml:space="preserve"> possa cumprir suas obrigações dentro das condições estabelecidas; </w:t>
      </w:r>
    </w:p>
    <w:p w14:paraId="66190E21">
      <w:pPr>
        <w:pBdr>
          <w:top w:val="none" w:color="auto" w:sz="0" w:space="0"/>
          <w:left w:val="none" w:color="auto" w:sz="0" w:space="0"/>
          <w:bottom w:val="none" w:color="auto" w:sz="0" w:space="0"/>
          <w:right w:val="none" w:color="auto" w:sz="0" w:space="0"/>
          <w:between w:val="none" w:color="auto" w:sz="0" w:space="0"/>
        </w:pBdr>
        <w:spacing w:line="240" w:lineRule="auto"/>
        <w:ind w:left="0" w:right="424" w:hanging="2"/>
        <w:jc w:val="both"/>
        <w:rPr>
          <w:rFonts w:ascii="Arial" w:hAnsi="Arial" w:eastAsia="Calibri" w:cs="Arial"/>
          <w:sz w:val="24"/>
          <w:szCs w:val="24"/>
        </w:rPr>
      </w:pPr>
    </w:p>
    <w:p w14:paraId="4CA6E5CB">
      <w:pPr>
        <w:pBdr>
          <w:top w:val="none" w:color="auto" w:sz="0" w:space="0"/>
          <w:left w:val="none" w:color="auto" w:sz="0" w:space="0"/>
          <w:bottom w:val="none" w:color="auto" w:sz="0" w:space="0"/>
          <w:right w:val="none" w:color="auto" w:sz="0" w:space="0"/>
          <w:between w:val="none" w:color="auto" w:sz="0" w:space="0"/>
        </w:pBdr>
        <w:spacing w:line="240" w:lineRule="auto"/>
        <w:ind w:left="0" w:right="140" w:hanging="2"/>
        <w:jc w:val="both"/>
        <w:rPr>
          <w:rFonts w:ascii="Arial" w:hAnsi="Arial" w:eastAsia="Calibri" w:cs="Arial"/>
          <w:b/>
          <w:sz w:val="24"/>
          <w:szCs w:val="24"/>
        </w:rPr>
      </w:pPr>
      <w:r>
        <w:rPr>
          <w:rFonts w:ascii="Arial" w:hAnsi="Arial" w:eastAsia="Calibri" w:cs="Arial"/>
          <w:b/>
          <w:sz w:val="24"/>
          <w:szCs w:val="24"/>
        </w:rPr>
        <w:t xml:space="preserve">10.1.2. </w:t>
      </w:r>
      <w:r>
        <w:rPr>
          <w:rFonts w:ascii="Arial" w:hAnsi="Arial" w:eastAsia="Calibri" w:cs="Arial"/>
          <w:sz w:val="24"/>
          <w:szCs w:val="24"/>
        </w:rPr>
        <w:t>Rejeitar, no todo ou em parte, o serviço executado em desacordo com as obrigações assumidas pelo locatário;</w:t>
      </w:r>
    </w:p>
    <w:p w14:paraId="74BAF411">
      <w:pPr>
        <w:pBdr>
          <w:top w:val="none" w:color="auto" w:sz="0" w:space="0"/>
          <w:left w:val="none" w:color="auto" w:sz="0" w:space="0"/>
          <w:bottom w:val="none" w:color="auto" w:sz="0" w:space="0"/>
          <w:right w:val="none" w:color="auto" w:sz="0" w:space="0"/>
          <w:between w:val="none" w:color="auto" w:sz="0" w:space="0"/>
        </w:pBdr>
        <w:spacing w:line="240" w:lineRule="auto"/>
        <w:ind w:left="0" w:right="140" w:hanging="2"/>
        <w:jc w:val="both"/>
        <w:rPr>
          <w:rFonts w:ascii="Arial" w:hAnsi="Arial" w:eastAsia="Calibri" w:cs="Arial"/>
          <w:b/>
          <w:sz w:val="24"/>
          <w:szCs w:val="24"/>
        </w:rPr>
      </w:pPr>
    </w:p>
    <w:p w14:paraId="29A65EFB">
      <w:pPr>
        <w:pBdr>
          <w:top w:val="none" w:color="auto" w:sz="0" w:space="0"/>
          <w:left w:val="none" w:color="auto" w:sz="0" w:space="0"/>
          <w:bottom w:val="none" w:color="auto" w:sz="0" w:space="0"/>
          <w:right w:val="none" w:color="auto" w:sz="0" w:space="0"/>
          <w:between w:val="none" w:color="auto" w:sz="0" w:space="0"/>
        </w:pBdr>
        <w:spacing w:line="240" w:lineRule="auto"/>
        <w:ind w:left="0" w:right="140" w:hanging="2"/>
        <w:jc w:val="both"/>
        <w:rPr>
          <w:rFonts w:ascii="Arial" w:hAnsi="Arial" w:eastAsia="Calibri" w:cs="Arial"/>
          <w:sz w:val="24"/>
          <w:szCs w:val="24"/>
        </w:rPr>
      </w:pPr>
      <w:r>
        <w:rPr>
          <w:rFonts w:ascii="Arial" w:hAnsi="Arial" w:eastAsia="Calibri" w:cs="Arial"/>
          <w:b/>
          <w:sz w:val="24"/>
          <w:szCs w:val="24"/>
        </w:rPr>
        <w:t xml:space="preserve">10.1.3. </w:t>
      </w:r>
      <w:r>
        <w:rPr>
          <w:rFonts w:ascii="Arial" w:hAnsi="Arial" w:eastAsia="Calibri" w:cs="Arial"/>
          <w:sz w:val="24"/>
          <w:szCs w:val="24"/>
        </w:rPr>
        <w:t>Efetuar o pagamento nas condições pactuadas no que se refere à despesas de obrigações fiscais;</w:t>
      </w:r>
    </w:p>
    <w:p w14:paraId="3087486C">
      <w:pPr>
        <w:pBdr>
          <w:top w:val="none" w:color="auto" w:sz="0" w:space="0"/>
          <w:left w:val="none" w:color="auto" w:sz="0" w:space="0"/>
          <w:bottom w:val="none" w:color="auto" w:sz="0" w:space="0"/>
          <w:right w:val="none" w:color="auto" w:sz="0" w:space="0"/>
          <w:between w:val="none" w:color="auto" w:sz="0" w:space="0"/>
        </w:pBdr>
        <w:spacing w:line="240" w:lineRule="auto"/>
        <w:ind w:left="0" w:right="140" w:hanging="2"/>
        <w:jc w:val="both"/>
        <w:rPr>
          <w:rFonts w:ascii="Arial" w:hAnsi="Arial" w:eastAsia="Calibri" w:cs="Arial"/>
          <w:sz w:val="24"/>
          <w:szCs w:val="24"/>
        </w:rPr>
      </w:pPr>
    </w:p>
    <w:p w14:paraId="6E278A60">
      <w:pPr>
        <w:pBdr>
          <w:top w:val="none" w:color="auto" w:sz="0" w:space="0"/>
          <w:left w:val="none" w:color="auto" w:sz="0" w:space="0"/>
          <w:bottom w:val="none" w:color="auto" w:sz="0" w:space="0"/>
          <w:right w:val="none" w:color="auto" w:sz="0" w:space="0"/>
          <w:between w:val="none" w:color="auto" w:sz="0" w:space="0"/>
        </w:pBdr>
        <w:spacing w:line="240" w:lineRule="auto"/>
        <w:ind w:left="0" w:right="140" w:hanging="2"/>
        <w:jc w:val="both"/>
        <w:rPr>
          <w:rFonts w:ascii="Arial" w:hAnsi="Arial" w:eastAsia="Calibri" w:cs="Arial"/>
          <w:sz w:val="24"/>
          <w:szCs w:val="24"/>
        </w:rPr>
      </w:pPr>
      <w:r>
        <w:rPr>
          <w:rFonts w:ascii="Arial" w:hAnsi="Arial" w:eastAsia="Calibri" w:cs="Arial"/>
          <w:b/>
          <w:sz w:val="24"/>
          <w:szCs w:val="24"/>
        </w:rPr>
        <w:t>10.1.4.</w:t>
      </w:r>
      <w:r>
        <w:rPr>
          <w:rFonts w:ascii="Arial" w:hAnsi="Arial" w:eastAsia="Calibri" w:cs="Arial"/>
          <w:sz w:val="24"/>
          <w:szCs w:val="24"/>
        </w:rPr>
        <w:t xml:space="preserve"> Manifestar-se formalmente em todos os atos relativos à execução do contrato, em especial, aplicação de sanções e alterações do mesmo;</w:t>
      </w:r>
    </w:p>
    <w:p w14:paraId="3437CA8A">
      <w:pPr>
        <w:pStyle w:val="2"/>
        <w:ind w:right="140"/>
        <w:rPr>
          <w:rFonts w:ascii="Arial" w:hAnsi="Arial" w:cs="Arial"/>
          <w:sz w:val="24"/>
          <w:szCs w:val="24"/>
        </w:rPr>
      </w:pPr>
    </w:p>
    <w:p w14:paraId="69F94830">
      <w:pPr>
        <w:pStyle w:val="2"/>
        <w:rPr>
          <w:rFonts w:ascii="Arial" w:hAnsi="Arial" w:cs="Arial"/>
          <w:sz w:val="24"/>
          <w:szCs w:val="24"/>
        </w:rPr>
      </w:pPr>
    </w:p>
    <w:p w14:paraId="67D046AA">
      <w:pPr>
        <w:shd w:val="clear" w:color="auto" w:fill="BEBEBE" w:themeFill="background1" w:themeFillShade="BF"/>
        <w:tabs>
          <w:tab w:val="left" w:pos="9639"/>
        </w:tabs>
        <w:spacing w:line="240" w:lineRule="auto"/>
        <w:ind w:left="0" w:hanging="2"/>
        <w:rPr>
          <w:rFonts w:ascii="Arial" w:hAnsi="Arial" w:cs="Arial"/>
          <w:b/>
          <w:sz w:val="24"/>
          <w:szCs w:val="24"/>
        </w:rPr>
      </w:pPr>
      <w:r>
        <w:rPr>
          <w:rFonts w:ascii="Arial" w:hAnsi="Arial" w:cs="Arial"/>
          <w:b/>
          <w:sz w:val="24"/>
          <w:szCs w:val="24"/>
        </w:rPr>
        <w:t>11. DA RESCISÃO</w:t>
      </w:r>
    </w:p>
    <w:p w14:paraId="4037EC10">
      <w:pPr>
        <w:pStyle w:val="2"/>
        <w:rPr>
          <w:rFonts w:ascii="Arial" w:hAnsi="Arial" w:cs="Arial"/>
          <w:sz w:val="24"/>
          <w:szCs w:val="24"/>
        </w:rPr>
      </w:pPr>
    </w:p>
    <w:p w14:paraId="7BDADC61">
      <w:pPr>
        <w:pBdr>
          <w:top w:val="none" w:color="auto" w:sz="0" w:space="0"/>
          <w:left w:val="none" w:color="auto" w:sz="0" w:space="0"/>
          <w:bottom w:val="none" w:color="auto" w:sz="0" w:space="0"/>
          <w:right w:val="none" w:color="auto" w:sz="0" w:space="0"/>
          <w:between w:val="none" w:color="auto" w:sz="0" w:space="0"/>
        </w:pBdr>
        <w:tabs>
          <w:tab w:val="left" w:pos="8931"/>
        </w:tabs>
        <w:spacing w:line="240" w:lineRule="auto"/>
        <w:ind w:left="0" w:right="-1" w:hanging="2"/>
        <w:jc w:val="both"/>
        <w:rPr>
          <w:rFonts w:ascii="Arial" w:hAnsi="Arial" w:eastAsia="Calibri" w:cs="Arial"/>
          <w:sz w:val="24"/>
          <w:szCs w:val="24"/>
        </w:rPr>
      </w:pPr>
      <w:r>
        <w:rPr>
          <w:rFonts w:ascii="Arial" w:hAnsi="Arial" w:eastAsia="Calibri" w:cs="Arial"/>
          <w:b/>
          <w:sz w:val="24"/>
          <w:szCs w:val="24"/>
        </w:rPr>
        <w:t>11.1.</w:t>
      </w:r>
      <w:r>
        <w:rPr>
          <w:rFonts w:ascii="Arial" w:hAnsi="Arial" w:eastAsia="Calibri" w:cs="Arial"/>
          <w:sz w:val="24"/>
          <w:szCs w:val="24"/>
        </w:rPr>
        <w:t xml:space="preserve"> A rescisão contratual poderá ser realizada a qualquer tempo sem nenhum tipo de ônus à Administração Pública, desde que prevista nas hipóteses constantes nos artigos 137 e 138 da Lei n° 14.133/2021. </w:t>
      </w:r>
    </w:p>
    <w:p w14:paraId="7CD121E5">
      <w:pPr>
        <w:pStyle w:val="2"/>
        <w:tabs>
          <w:tab w:val="left" w:pos="8931"/>
        </w:tabs>
        <w:ind w:right="-1" w:firstLine="0"/>
        <w:rPr>
          <w:rFonts w:ascii="Arial" w:hAnsi="Arial" w:cs="Arial"/>
          <w:sz w:val="24"/>
          <w:szCs w:val="24"/>
        </w:rPr>
      </w:pPr>
    </w:p>
    <w:p w14:paraId="5D777A9E">
      <w:pPr>
        <w:pStyle w:val="2"/>
        <w:shd w:val="clear" w:color="auto" w:fill="BEBEBE" w:themeFill="background1" w:themeFillShade="BF"/>
        <w:rPr>
          <w:rFonts w:ascii="Arial" w:hAnsi="Arial" w:cs="Arial"/>
          <w:b/>
          <w:sz w:val="24"/>
          <w:szCs w:val="24"/>
        </w:rPr>
      </w:pPr>
      <w:r>
        <w:rPr>
          <w:rFonts w:ascii="Arial" w:hAnsi="Arial" w:cs="Arial"/>
          <w:b/>
          <w:sz w:val="24"/>
          <w:szCs w:val="24"/>
        </w:rPr>
        <w:t>12. DA DOTAÇÃO ORÇAMENTÁRIA</w:t>
      </w:r>
    </w:p>
    <w:p w14:paraId="57F61F1D">
      <w:pPr>
        <w:pBdr>
          <w:top w:val="none" w:color="auto" w:sz="0" w:space="0"/>
          <w:left w:val="none" w:color="auto" w:sz="0" w:space="0"/>
          <w:bottom w:val="none" w:color="auto" w:sz="0" w:space="0"/>
          <w:right w:val="none" w:color="auto" w:sz="0" w:space="0"/>
          <w:between w:val="none" w:color="auto" w:sz="0" w:space="0"/>
        </w:pBdr>
        <w:tabs>
          <w:tab w:val="left" w:pos="945"/>
        </w:tabs>
        <w:spacing w:line="240" w:lineRule="auto"/>
        <w:ind w:left="0" w:right="-1" w:hanging="2"/>
        <w:jc w:val="both"/>
        <w:rPr>
          <w:rFonts w:ascii="Arial" w:hAnsi="Arial" w:eastAsia="Calibri" w:cs="Arial"/>
          <w:b/>
          <w:sz w:val="24"/>
          <w:szCs w:val="24"/>
        </w:rPr>
      </w:pPr>
    </w:p>
    <w:p w14:paraId="3CC6ADDF">
      <w:pPr>
        <w:pBdr>
          <w:top w:val="none" w:color="auto" w:sz="0" w:space="0"/>
          <w:left w:val="none" w:color="auto" w:sz="0" w:space="0"/>
          <w:bottom w:val="none" w:color="auto" w:sz="0" w:space="0"/>
          <w:right w:val="none" w:color="auto" w:sz="0" w:space="0"/>
          <w:between w:val="none" w:color="auto" w:sz="0" w:space="0"/>
        </w:pBdr>
        <w:tabs>
          <w:tab w:val="left" w:pos="945"/>
        </w:tabs>
        <w:spacing w:line="240" w:lineRule="auto"/>
        <w:ind w:left="0" w:right="-1" w:hanging="2"/>
        <w:jc w:val="both"/>
        <w:rPr>
          <w:rFonts w:ascii="Arial" w:hAnsi="Arial" w:eastAsia="Calibri" w:cs="Arial"/>
          <w:sz w:val="24"/>
          <w:szCs w:val="24"/>
        </w:rPr>
      </w:pPr>
      <w:r>
        <w:rPr>
          <w:rFonts w:ascii="Arial" w:hAnsi="Arial" w:eastAsia="Calibri" w:cs="Arial"/>
          <w:b/>
          <w:sz w:val="24"/>
          <w:szCs w:val="24"/>
        </w:rPr>
        <w:t>12.1.</w:t>
      </w:r>
      <w:r>
        <w:rPr>
          <w:rFonts w:ascii="Arial" w:hAnsi="Arial" w:eastAsia="Calibri" w:cs="Arial"/>
          <w:sz w:val="24"/>
          <w:szCs w:val="24"/>
        </w:rPr>
        <w:t xml:space="preserve"> As despesas decorrentes da futura aquisição correrão a conta do orçamento vigente:</w:t>
      </w:r>
    </w:p>
    <w:p w14:paraId="4D33A9FD">
      <w:pPr>
        <w:pStyle w:val="2"/>
        <w:jc w:val="center"/>
        <w:rPr>
          <w:rFonts w:ascii="Arial" w:hAnsi="Arial" w:eastAsia="Calibri" w:cs="Arial"/>
          <w:sz w:val="24"/>
          <w:szCs w:val="24"/>
        </w:rPr>
      </w:pPr>
    </w:p>
    <w:tbl>
      <w:tblPr>
        <w:tblStyle w:val="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51"/>
        <w:gridCol w:w="2765"/>
        <w:gridCol w:w="2510"/>
        <w:gridCol w:w="2607"/>
      </w:tblGrid>
      <w:tr w14:paraId="316A1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1751" w:type="dxa"/>
            <w:shd w:val="clear" w:color="auto" w:fill="D8D8D8" w:themeFill="background1" w:themeFillShade="D9"/>
            <w:vAlign w:val="center"/>
          </w:tcPr>
          <w:p w14:paraId="089C4FE8">
            <w:pPr>
              <w:pStyle w:val="2"/>
              <w:suppressAutoHyphens/>
              <w:ind w:left="0" w:leftChars="-1" w:hanging="2" w:hangingChars="1"/>
              <w:jc w:val="center"/>
              <w:textAlignment w:val="top"/>
              <w:outlineLvl w:val="0"/>
              <w:rPr>
                <w:rFonts w:ascii="Arial" w:hAnsi="Arial" w:cs="Arial"/>
                <w:b/>
                <w:position w:val="-1"/>
                <w:sz w:val="24"/>
                <w:szCs w:val="24"/>
              </w:rPr>
            </w:pPr>
            <w:r>
              <w:rPr>
                <w:rFonts w:ascii="Arial" w:hAnsi="Arial" w:cs="Arial"/>
                <w:b/>
                <w:position w:val="-1"/>
                <w:sz w:val="24"/>
                <w:szCs w:val="24"/>
              </w:rPr>
              <w:t>Unidade</w:t>
            </w:r>
          </w:p>
        </w:tc>
        <w:tc>
          <w:tcPr>
            <w:tcW w:w="2765" w:type="dxa"/>
            <w:shd w:val="clear" w:color="auto" w:fill="D8D8D8" w:themeFill="background1" w:themeFillShade="D9"/>
            <w:vAlign w:val="center"/>
          </w:tcPr>
          <w:p w14:paraId="4787ADA6">
            <w:pPr>
              <w:pStyle w:val="2"/>
              <w:suppressAutoHyphens/>
              <w:ind w:left="0" w:leftChars="-1" w:hanging="2" w:hangingChars="1"/>
              <w:jc w:val="center"/>
              <w:textAlignment w:val="top"/>
              <w:outlineLvl w:val="0"/>
              <w:rPr>
                <w:rFonts w:ascii="Arial" w:hAnsi="Arial" w:cs="Arial"/>
                <w:b/>
                <w:position w:val="-1"/>
                <w:sz w:val="24"/>
                <w:szCs w:val="24"/>
              </w:rPr>
            </w:pPr>
            <w:r>
              <w:rPr>
                <w:rFonts w:ascii="Arial" w:hAnsi="Arial" w:cs="Arial"/>
                <w:b/>
                <w:position w:val="-1"/>
                <w:sz w:val="24"/>
                <w:szCs w:val="24"/>
              </w:rPr>
              <w:t>Projeto Atividade</w:t>
            </w:r>
          </w:p>
        </w:tc>
        <w:tc>
          <w:tcPr>
            <w:tcW w:w="2510" w:type="dxa"/>
            <w:shd w:val="clear" w:color="auto" w:fill="D8D8D8" w:themeFill="background1" w:themeFillShade="D9"/>
            <w:vAlign w:val="center"/>
          </w:tcPr>
          <w:p w14:paraId="464A49CA">
            <w:pPr>
              <w:pStyle w:val="2"/>
              <w:suppressAutoHyphens/>
              <w:ind w:left="0" w:leftChars="-1" w:hanging="2" w:hangingChars="1"/>
              <w:jc w:val="center"/>
              <w:textAlignment w:val="top"/>
              <w:outlineLvl w:val="0"/>
              <w:rPr>
                <w:rFonts w:ascii="Arial" w:hAnsi="Arial" w:cs="Arial"/>
                <w:b/>
                <w:position w:val="-1"/>
                <w:sz w:val="24"/>
                <w:szCs w:val="24"/>
              </w:rPr>
            </w:pPr>
            <w:r>
              <w:rPr>
                <w:rFonts w:ascii="Arial" w:hAnsi="Arial" w:cs="Arial"/>
                <w:b/>
                <w:position w:val="-1"/>
                <w:sz w:val="24"/>
                <w:szCs w:val="24"/>
              </w:rPr>
              <w:t>Elemento de Despesa</w:t>
            </w:r>
          </w:p>
        </w:tc>
        <w:tc>
          <w:tcPr>
            <w:tcW w:w="2607" w:type="dxa"/>
            <w:shd w:val="clear" w:color="auto" w:fill="D8D8D8" w:themeFill="background1" w:themeFillShade="D9"/>
            <w:vAlign w:val="center"/>
          </w:tcPr>
          <w:p w14:paraId="6E19D693">
            <w:pPr>
              <w:pStyle w:val="2"/>
              <w:suppressAutoHyphens/>
              <w:ind w:left="0" w:leftChars="-1" w:hanging="2" w:hangingChars="1"/>
              <w:jc w:val="center"/>
              <w:textAlignment w:val="top"/>
              <w:outlineLvl w:val="0"/>
              <w:rPr>
                <w:rFonts w:ascii="Arial" w:hAnsi="Arial" w:cs="Arial"/>
                <w:b/>
                <w:position w:val="-1"/>
                <w:sz w:val="24"/>
                <w:szCs w:val="24"/>
              </w:rPr>
            </w:pPr>
            <w:r>
              <w:rPr>
                <w:rFonts w:ascii="Arial" w:hAnsi="Arial" w:cs="Arial"/>
                <w:b/>
                <w:position w:val="-1"/>
                <w:sz w:val="24"/>
                <w:szCs w:val="24"/>
              </w:rPr>
              <w:t>Fonte</w:t>
            </w:r>
          </w:p>
        </w:tc>
      </w:tr>
      <w:tr w14:paraId="7239E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trPr>
        <w:tc>
          <w:tcPr>
            <w:tcW w:w="1751" w:type="dxa"/>
          </w:tcPr>
          <w:p w14:paraId="15AC90E8">
            <w:pPr>
              <w:pStyle w:val="2"/>
              <w:suppressAutoHyphens/>
              <w:ind w:left="0" w:leftChars="-1" w:hanging="2" w:hangingChars="1"/>
              <w:jc w:val="center"/>
              <w:textAlignment w:val="top"/>
              <w:outlineLvl w:val="0"/>
              <w:rPr>
                <w:rFonts w:ascii="Arial" w:hAnsi="Arial" w:cs="Arial"/>
                <w:position w:val="-1"/>
                <w:sz w:val="24"/>
                <w:szCs w:val="24"/>
              </w:rPr>
            </w:pPr>
            <w:r>
              <w:rPr>
                <w:rFonts w:ascii="Arial" w:hAnsi="Arial" w:cs="Arial"/>
                <w:position w:val="-1"/>
                <w:sz w:val="24"/>
                <w:szCs w:val="24"/>
              </w:rPr>
              <w:t>1201</w:t>
            </w:r>
          </w:p>
        </w:tc>
        <w:tc>
          <w:tcPr>
            <w:tcW w:w="2765" w:type="dxa"/>
          </w:tcPr>
          <w:p w14:paraId="5798272E">
            <w:pPr>
              <w:pStyle w:val="2"/>
              <w:suppressAutoHyphens/>
              <w:ind w:left="0" w:leftChars="-1" w:hanging="2" w:hangingChars="1"/>
              <w:jc w:val="center"/>
              <w:textAlignment w:val="top"/>
              <w:outlineLvl w:val="0"/>
              <w:rPr>
                <w:rFonts w:ascii="Arial" w:hAnsi="Arial" w:cs="Arial"/>
                <w:position w:val="-1"/>
                <w:sz w:val="24"/>
                <w:szCs w:val="24"/>
              </w:rPr>
            </w:pPr>
            <w:r>
              <w:rPr>
                <w:rFonts w:ascii="Arial" w:hAnsi="Arial" w:cs="Arial"/>
                <w:position w:val="-1"/>
                <w:sz w:val="24"/>
                <w:szCs w:val="24"/>
              </w:rPr>
              <w:t>2032</w:t>
            </w:r>
          </w:p>
        </w:tc>
        <w:tc>
          <w:tcPr>
            <w:tcW w:w="2510" w:type="dxa"/>
          </w:tcPr>
          <w:p w14:paraId="4DCE59F3">
            <w:pPr>
              <w:pStyle w:val="2"/>
              <w:suppressAutoHyphens/>
              <w:ind w:left="0" w:leftChars="-1" w:hanging="2" w:hangingChars="1"/>
              <w:jc w:val="center"/>
              <w:textAlignment w:val="top"/>
              <w:outlineLvl w:val="0"/>
              <w:rPr>
                <w:rFonts w:hint="default" w:ascii="Arial" w:hAnsi="Arial" w:cs="Arial"/>
                <w:position w:val="-1"/>
                <w:sz w:val="24"/>
                <w:szCs w:val="24"/>
                <w:lang w:val="pt-BR"/>
              </w:rPr>
            </w:pPr>
            <w:r>
              <w:rPr>
                <w:rFonts w:ascii="Arial" w:hAnsi="Arial" w:cs="Arial"/>
                <w:position w:val="-1"/>
                <w:sz w:val="24"/>
                <w:szCs w:val="24"/>
              </w:rPr>
              <w:t>33903</w:t>
            </w:r>
            <w:r>
              <w:rPr>
                <w:rFonts w:hint="default" w:ascii="Arial" w:hAnsi="Arial" w:cs="Arial"/>
                <w:position w:val="-1"/>
                <w:sz w:val="24"/>
                <w:szCs w:val="24"/>
                <w:lang w:val="pt-BR"/>
              </w:rPr>
              <w:t>9</w:t>
            </w:r>
            <w:bookmarkStart w:id="1" w:name="_GoBack"/>
            <w:bookmarkEnd w:id="1"/>
          </w:p>
        </w:tc>
        <w:tc>
          <w:tcPr>
            <w:tcW w:w="2607" w:type="dxa"/>
          </w:tcPr>
          <w:p w14:paraId="3209ED61">
            <w:pPr>
              <w:pStyle w:val="2"/>
              <w:suppressAutoHyphens/>
              <w:ind w:left="0" w:leftChars="-1" w:hanging="2" w:hangingChars="1"/>
              <w:jc w:val="center"/>
              <w:textAlignment w:val="top"/>
              <w:outlineLvl w:val="0"/>
              <w:rPr>
                <w:rFonts w:ascii="Arial" w:hAnsi="Arial" w:cs="Arial"/>
                <w:position w:val="-1"/>
                <w:sz w:val="24"/>
                <w:szCs w:val="24"/>
              </w:rPr>
            </w:pPr>
            <w:r>
              <w:rPr>
                <w:rFonts w:ascii="Arial" w:hAnsi="Arial" w:cs="Arial"/>
                <w:position w:val="-1"/>
                <w:sz w:val="24"/>
                <w:szCs w:val="24"/>
              </w:rPr>
              <w:t>1500.1002</w:t>
            </w:r>
          </w:p>
        </w:tc>
      </w:tr>
    </w:tbl>
    <w:p w14:paraId="1E7FEC5D">
      <w:pPr>
        <w:pStyle w:val="2"/>
        <w:ind w:firstLine="0"/>
        <w:rPr>
          <w:rFonts w:ascii="Arial" w:hAnsi="Arial" w:cs="Arial"/>
          <w:sz w:val="24"/>
          <w:szCs w:val="24"/>
        </w:rPr>
      </w:pPr>
    </w:p>
    <w:p w14:paraId="3A984AA7">
      <w:pPr>
        <w:pStyle w:val="2"/>
        <w:shd w:val="clear" w:color="auto" w:fill="BEBEBE" w:themeFill="background1" w:themeFillShade="BF"/>
        <w:rPr>
          <w:rFonts w:ascii="Arial" w:hAnsi="Arial" w:cs="Arial"/>
          <w:b/>
          <w:sz w:val="24"/>
          <w:szCs w:val="24"/>
        </w:rPr>
      </w:pPr>
      <w:r>
        <w:rPr>
          <w:rFonts w:ascii="Arial" w:hAnsi="Arial" w:cs="Arial"/>
          <w:b/>
          <w:sz w:val="24"/>
          <w:szCs w:val="24"/>
        </w:rPr>
        <w:t>13. DISPOSIÇÕES FINAIS</w:t>
      </w:r>
    </w:p>
    <w:p w14:paraId="2177C1FC">
      <w:pPr>
        <w:pBdr>
          <w:top w:val="none" w:color="auto" w:sz="0" w:space="0"/>
          <w:left w:val="none" w:color="auto" w:sz="0" w:space="0"/>
          <w:bottom w:val="none" w:color="auto" w:sz="0" w:space="0"/>
          <w:right w:val="none" w:color="auto" w:sz="0" w:space="0"/>
          <w:between w:val="none" w:color="auto" w:sz="0" w:space="0"/>
        </w:pBdr>
        <w:spacing w:before="240" w:after="120" w:line="240" w:lineRule="auto"/>
        <w:ind w:left="0" w:right="-1" w:hanging="2"/>
        <w:jc w:val="both"/>
        <w:rPr>
          <w:rFonts w:ascii="Arial" w:hAnsi="Arial" w:eastAsia="Calibri" w:cs="Arial"/>
          <w:sz w:val="24"/>
          <w:szCs w:val="24"/>
        </w:rPr>
      </w:pPr>
      <w:r>
        <w:rPr>
          <w:rFonts w:ascii="Arial" w:hAnsi="Arial" w:eastAsia="Calibri" w:cs="Arial"/>
          <w:b/>
          <w:sz w:val="24"/>
          <w:szCs w:val="24"/>
        </w:rPr>
        <w:t xml:space="preserve">13.1. </w:t>
      </w:r>
      <w:r>
        <w:rPr>
          <w:rFonts w:ascii="Arial" w:hAnsi="Arial" w:eastAsia="Calibri" w:cs="Arial"/>
          <w:sz w:val="24"/>
          <w:szCs w:val="24"/>
        </w:rPr>
        <w:t>A CONTRATADA não poderá transferir o fornecimento do objeto acima descrito, nem tampouco transferir ou caucionar os direitos ou garantias deste contrato, no todo ou em parte, salvo com consentimento por escrito do Município.</w:t>
      </w:r>
    </w:p>
    <w:p w14:paraId="591ACA5C">
      <w:pPr>
        <w:pBdr>
          <w:top w:val="none" w:color="auto" w:sz="0" w:space="0"/>
          <w:left w:val="none" w:color="auto" w:sz="0" w:space="0"/>
          <w:bottom w:val="none" w:color="auto" w:sz="0" w:space="0"/>
          <w:right w:val="none" w:color="auto" w:sz="0" w:space="0"/>
          <w:between w:val="none" w:color="auto" w:sz="0" w:space="0"/>
        </w:pBdr>
        <w:spacing w:before="240" w:after="240" w:line="240" w:lineRule="auto"/>
        <w:ind w:left="0" w:right="-1" w:hanging="2"/>
        <w:jc w:val="both"/>
        <w:rPr>
          <w:rFonts w:ascii="Arial" w:hAnsi="Arial" w:eastAsia="Calibri" w:cs="Arial"/>
          <w:sz w:val="24"/>
          <w:szCs w:val="24"/>
        </w:rPr>
      </w:pPr>
      <w:r>
        <w:rPr>
          <w:rFonts w:ascii="Arial" w:hAnsi="Arial" w:eastAsia="Calibri" w:cs="Arial"/>
          <w:b/>
          <w:sz w:val="24"/>
          <w:szCs w:val="24"/>
        </w:rPr>
        <w:t>13.2.</w:t>
      </w:r>
      <w:r>
        <w:rPr>
          <w:rFonts w:ascii="Arial" w:hAnsi="Arial" w:eastAsia="Calibri" w:cs="Arial"/>
          <w:sz w:val="24"/>
          <w:szCs w:val="24"/>
        </w:rPr>
        <w:t xml:space="preserve"> Ficam reservados ao Município o direito e a autoridade para resolver todo e qualquer caso singular, duvidoso ou omisso, não previsto nas especificações, nas Leis, nas Normas e em tudo mais que se qualquer forma relacione, direta ou indiretamente com o objeto;</w:t>
      </w:r>
    </w:p>
    <w:p w14:paraId="410D28A6">
      <w:pPr>
        <w:pStyle w:val="2"/>
        <w:ind w:firstLine="0"/>
        <w:rPr>
          <w:rFonts w:ascii="Arial" w:hAnsi="Arial" w:cs="Arial"/>
          <w:sz w:val="24"/>
          <w:szCs w:val="24"/>
        </w:rPr>
      </w:pPr>
    </w:p>
    <w:p w14:paraId="07DA9B51">
      <w:pPr>
        <w:shd w:val="clear" w:color="auto" w:fill="D8D8D8" w:themeFill="background1" w:themeFillShade="D9"/>
        <w:tabs>
          <w:tab w:val="left" w:pos="9639"/>
        </w:tabs>
        <w:spacing w:line="240" w:lineRule="auto"/>
        <w:ind w:left="0" w:hanging="2"/>
        <w:rPr>
          <w:rFonts w:ascii="Arial" w:hAnsi="Arial" w:cs="Arial"/>
          <w:b/>
          <w:sz w:val="24"/>
          <w:szCs w:val="24"/>
        </w:rPr>
      </w:pPr>
      <w:r>
        <w:rPr>
          <w:rFonts w:ascii="Arial" w:hAnsi="Arial" w:cs="Arial"/>
          <w:b/>
          <w:sz w:val="24"/>
          <w:szCs w:val="24"/>
        </w:rPr>
        <w:t>14. TERMO DE ENCERRAMENTO</w:t>
      </w:r>
    </w:p>
    <w:p w14:paraId="0EEFB14E">
      <w:pPr>
        <w:tabs>
          <w:tab w:val="left" w:pos="9639"/>
        </w:tabs>
        <w:spacing w:line="240" w:lineRule="auto"/>
        <w:ind w:left="0" w:hanging="2"/>
        <w:rPr>
          <w:rFonts w:ascii="Arial" w:hAnsi="Arial" w:cs="Arial"/>
          <w:sz w:val="24"/>
          <w:szCs w:val="24"/>
        </w:rPr>
      </w:pPr>
    </w:p>
    <w:p w14:paraId="53EDA0B8">
      <w:pPr>
        <w:tabs>
          <w:tab w:val="left" w:pos="9639"/>
        </w:tabs>
        <w:spacing w:line="240" w:lineRule="auto"/>
        <w:ind w:left="0" w:leftChars="0" w:firstLine="0" w:firstLineChars="0"/>
        <w:jc w:val="both"/>
        <w:rPr>
          <w:rFonts w:ascii="Arial" w:hAnsi="Arial" w:cs="Arial"/>
          <w:sz w:val="24"/>
          <w:szCs w:val="24"/>
        </w:rPr>
      </w:pPr>
      <w:r>
        <w:rPr>
          <w:rFonts w:ascii="Arial" w:hAnsi="Arial" w:cs="Arial"/>
          <w:b/>
          <w:sz w:val="24"/>
          <w:szCs w:val="24"/>
        </w:rPr>
        <w:t xml:space="preserve"> 14.1</w:t>
      </w:r>
      <w:r>
        <w:rPr>
          <w:rFonts w:ascii="Arial" w:hAnsi="Arial" w:cs="Arial"/>
          <w:sz w:val="24"/>
          <w:szCs w:val="24"/>
        </w:rPr>
        <w:t xml:space="preserve"> Nada mais havendo a tratar, e considerando as condições expostas anteriormente, encerra-se o presente Termo de Referência.</w:t>
      </w:r>
    </w:p>
    <w:p w14:paraId="7648B38D">
      <w:pPr>
        <w:tabs>
          <w:tab w:val="left" w:pos="9639"/>
        </w:tabs>
        <w:spacing w:line="240" w:lineRule="auto"/>
        <w:ind w:left="0" w:leftChars="0" w:firstLine="0" w:firstLineChars="0"/>
        <w:rPr>
          <w:rFonts w:ascii="Arial" w:hAnsi="Arial" w:cs="Arial"/>
          <w:sz w:val="24"/>
          <w:szCs w:val="24"/>
        </w:rPr>
      </w:pPr>
    </w:p>
    <w:p w14:paraId="316D280A">
      <w:pPr>
        <w:tabs>
          <w:tab w:val="left" w:pos="9639"/>
        </w:tabs>
        <w:spacing w:line="240" w:lineRule="auto"/>
        <w:ind w:left="0" w:leftChars="0" w:firstLine="0" w:firstLineChars="0"/>
        <w:rPr>
          <w:rFonts w:ascii="Arial" w:hAnsi="Arial" w:cs="Arial"/>
          <w:sz w:val="24"/>
          <w:szCs w:val="24"/>
        </w:rPr>
      </w:pPr>
    </w:p>
    <w:p w14:paraId="7D925B72">
      <w:pPr>
        <w:pStyle w:val="2"/>
        <w:ind w:firstLine="0"/>
        <w:rPr>
          <w:rFonts w:ascii="Arial" w:hAnsi="Arial" w:cs="Arial"/>
          <w:sz w:val="24"/>
          <w:szCs w:val="24"/>
        </w:rPr>
      </w:pPr>
    </w:p>
    <w:p w14:paraId="0293467A">
      <w:pPr>
        <w:tabs>
          <w:tab w:val="left" w:pos="9639"/>
        </w:tabs>
        <w:spacing w:line="240" w:lineRule="auto"/>
        <w:ind w:left="0" w:leftChars="0" w:firstLine="0" w:firstLineChars="0"/>
        <w:jc w:val="center"/>
        <w:rPr>
          <w:rFonts w:ascii="Arial" w:hAnsi="Arial" w:cs="Arial"/>
          <w:sz w:val="24"/>
          <w:szCs w:val="24"/>
        </w:rPr>
      </w:pPr>
      <w:r>
        <w:rPr>
          <w:rFonts w:ascii="Arial" w:hAnsi="Arial" w:cs="Arial"/>
          <w:sz w:val="24"/>
          <w:szCs w:val="24"/>
        </w:rPr>
        <w:t>Simões Filho/BA, 03 de setembro de 2025.</w:t>
      </w:r>
    </w:p>
    <w:p w14:paraId="7A2FAA04">
      <w:pPr>
        <w:tabs>
          <w:tab w:val="left" w:pos="9639"/>
        </w:tabs>
        <w:spacing w:line="240" w:lineRule="auto"/>
        <w:ind w:left="0" w:hanging="2"/>
        <w:rPr>
          <w:rFonts w:ascii="Arial" w:hAnsi="Arial" w:cs="Arial"/>
          <w:sz w:val="24"/>
          <w:szCs w:val="24"/>
        </w:rPr>
      </w:pPr>
    </w:p>
    <w:p w14:paraId="543A9B70">
      <w:pPr>
        <w:tabs>
          <w:tab w:val="left" w:pos="9639"/>
        </w:tabs>
        <w:spacing w:line="240" w:lineRule="auto"/>
        <w:ind w:left="0" w:hanging="2"/>
        <w:rPr>
          <w:rFonts w:ascii="Arial" w:hAnsi="Arial" w:cs="Arial"/>
          <w:sz w:val="24"/>
          <w:szCs w:val="24"/>
        </w:rPr>
      </w:pPr>
    </w:p>
    <w:p w14:paraId="6B5D6430">
      <w:pPr>
        <w:pStyle w:val="2"/>
      </w:pPr>
    </w:p>
    <w:p w14:paraId="6DEAC6D5">
      <w:pPr>
        <w:pStyle w:val="2"/>
      </w:pPr>
    </w:p>
    <w:p w14:paraId="4EB8A7F9">
      <w:pPr>
        <w:ind w:left="0" w:leftChars="0" w:right="-284" w:firstLine="0" w:firstLineChars="0"/>
        <w:rPr>
          <w:rFonts w:ascii="Arial" w:hAnsi="Arial" w:eastAsia="Arial" w:cs="Arial"/>
          <w:sz w:val="24"/>
          <w:szCs w:val="24"/>
        </w:rPr>
      </w:pPr>
    </w:p>
    <w:p w14:paraId="6ABB902E">
      <w:pPr>
        <w:ind w:left="0" w:right="-284" w:hanging="2"/>
        <w:jc w:val="center"/>
        <w:rPr>
          <w:rFonts w:ascii="Arial" w:hAnsi="Arial" w:eastAsia="Arial" w:cs="Arial"/>
          <w:b/>
          <w:sz w:val="24"/>
          <w:szCs w:val="24"/>
        </w:rPr>
      </w:pPr>
      <w:r>
        <w:rPr>
          <w:rFonts w:ascii="Arial" w:hAnsi="Arial" w:eastAsia="Arial" w:cs="Arial"/>
          <w:b/>
          <w:sz w:val="24"/>
          <w:szCs w:val="24"/>
        </w:rPr>
        <w:t>MARCELA SILVIA DE LIMA</w:t>
      </w:r>
    </w:p>
    <w:p w14:paraId="6EDC5595">
      <w:pPr>
        <w:ind w:left="0" w:right="-284" w:hanging="2"/>
        <w:jc w:val="center"/>
        <w:rPr>
          <w:rFonts w:ascii="Arial" w:hAnsi="Arial" w:eastAsia="Calibri" w:cs="Arial"/>
          <w:color w:val="FF0000"/>
          <w:sz w:val="24"/>
          <w:szCs w:val="24"/>
        </w:rPr>
      </w:pPr>
      <w:r>
        <w:rPr>
          <w:rFonts w:ascii="Arial" w:hAnsi="Arial" w:eastAsia="Arial" w:cs="Arial"/>
          <w:sz w:val="24"/>
          <w:szCs w:val="24"/>
        </w:rPr>
        <w:t>Diretora de Media e Alta complexidade</w:t>
      </w:r>
    </w:p>
    <w:p w14:paraId="22895727">
      <w:pPr>
        <w:ind w:left="0" w:right="-284" w:hanging="2"/>
        <w:jc w:val="center"/>
        <w:rPr>
          <w:rFonts w:ascii="Arial" w:hAnsi="Arial" w:eastAsia="Arial" w:cs="Arial"/>
          <w:sz w:val="24"/>
          <w:szCs w:val="24"/>
        </w:rPr>
      </w:pPr>
      <w:r>
        <w:rPr>
          <w:rFonts w:ascii="Arial" w:hAnsi="Arial" w:eastAsia="Arial" w:cs="Arial"/>
          <w:sz w:val="24"/>
          <w:szCs w:val="24"/>
        </w:rPr>
        <w:t>Matricula 950629</w:t>
      </w:r>
    </w:p>
    <w:p w14:paraId="4591ACD4">
      <w:pPr>
        <w:pStyle w:val="2"/>
        <w:rPr>
          <w:rFonts w:eastAsia="Calibri"/>
          <w:sz w:val="24"/>
          <w:szCs w:val="24"/>
        </w:rPr>
      </w:pPr>
    </w:p>
    <w:p w14:paraId="29859718">
      <w:pPr>
        <w:pStyle w:val="2"/>
        <w:rPr>
          <w:rFonts w:eastAsia="Calibri"/>
          <w:sz w:val="24"/>
          <w:szCs w:val="24"/>
        </w:rPr>
      </w:pPr>
    </w:p>
    <w:p w14:paraId="4827E716">
      <w:pPr>
        <w:ind w:left="0" w:right="-284" w:hanging="2"/>
        <w:jc w:val="center"/>
        <w:rPr>
          <w:rFonts w:ascii="Arial" w:hAnsi="Arial" w:eastAsia="Arial" w:cs="Arial"/>
          <w:b/>
          <w:sz w:val="24"/>
          <w:szCs w:val="24"/>
        </w:rPr>
      </w:pPr>
      <w:r>
        <w:rPr>
          <w:rFonts w:ascii="Arial" w:hAnsi="Arial" w:eastAsia="Arial" w:cs="Arial"/>
          <w:b/>
          <w:sz w:val="24"/>
          <w:szCs w:val="24"/>
        </w:rPr>
        <w:t>ANDRESSA SOUZA DOS SANTOS</w:t>
      </w:r>
    </w:p>
    <w:p w14:paraId="5039E1EB">
      <w:pPr>
        <w:ind w:left="0" w:right="-284" w:hanging="2"/>
        <w:jc w:val="center"/>
        <w:rPr>
          <w:rFonts w:ascii="Arial" w:hAnsi="Arial" w:eastAsia="Arial" w:cs="Arial"/>
          <w:sz w:val="24"/>
          <w:szCs w:val="24"/>
        </w:rPr>
      </w:pPr>
      <w:r>
        <w:rPr>
          <w:rFonts w:ascii="Arial" w:hAnsi="Arial" w:eastAsia="Arial" w:cs="Arial"/>
          <w:sz w:val="24"/>
          <w:szCs w:val="24"/>
        </w:rPr>
        <w:t>Técnica de Análise de Processos</w:t>
      </w:r>
    </w:p>
    <w:p w14:paraId="3C75FF44">
      <w:pPr>
        <w:pStyle w:val="2"/>
        <w:jc w:val="center"/>
        <w:rPr>
          <w:rFonts w:eastAsia="Arial"/>
          <w:sz w:val="24"/>
          <w:szCs w:val="24"/>
        </w:rPr>
      </w:pPr>
      <w:r>
        <w:rPr>
          <w:rFonts w:ascii="Arial" w:hAnsi="Arial" w:eastAsia="Arial" w:cs="Arial"/>
          <w:sz w:val="24"/>
          <w:szCs w:val="24"/>
        </w:rPr>
        <w:t>Matricula 949999</w:t>
      </w:r>
    </w:p>
    <w:p w14:paraId="00B8C1A2">
      <w:pPr>
        <w:spacing w:line="240" w:lineRule="auto"/>
        <w:ind w:left="0" w:leftChars="0" w:firstLine="0" w:firstLineChars="0"/>
        <w:rPr>
          <w:rFonts w:ascii="Arial" w:hAnsi="Arial" w:cs="Arial"/>
          <w:sz w:val="24"/>
          <w:szCs w:val="24"/>
        </w:rPr>
      </w:pPr>
    </w:p>
    <w:sectPr>
      <w:headerReference r:id="rId7" w:type="first"/>
      <w:footerReference r:id="rId10" w:type="first"/>
      <w:headerReference r:id="rId5" w:type="default"/>
      <w:footerReference r:id="rId8" w:type="default"/>
      <w:headerReference r:id="rId6" w:type="even"/>
      <w:footerReference r:id="rId9" w:type="even"/>
      <w:pgSz w:w="11907" w:h="16840"/>
      <w:pgMar w:top="1134" w:right="1134" w:bottom="1134" w:left="1134" w:header="284" w:footer="74" w:gutter="0"/>
      <w:pgNumType w:start="1"/>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2" w:hanging="2"/>
      </w:pPr>
      <w:r>
        <w:separator/>
      </w:r>
    </w:p>
  </w:endnote>
  <w:endnote w:type="continuationSeparator" w:id="1">
    <w:p>
      <w:pPr>
        <w:spacing w:line="240" w:lineRule="auto"/>
        <w:ind w:left="-2"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7D835">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jc w:val="center"/>
      <w:rPr>
        <w:color w:val="000000"/>
      </w:rPr>
    </w:pPr>
    <w:r>
      <w:rPr>
        <w:color w:val="000000"/>
      </w:rPr>
      <w:t xml:space="preserve">Página </w:t>
    </w:r>
    <w:r>
      <w:rPr>
        <w:b/>
        <w:color w:val="000000"/>
        <w:sz w:val="24"/>
        <w:szCs w:val="24"/>
      </w:rPr>
      <w:fldChar w:fldCharType="begin"/>
    </w:r>
    <w:r>
      <w:rPr>
        <w:b/>
        <w:color w:val="000000"/>
        <w:sz w:val="24"/>
        <w:szCs w:val="24"/>
      </w:rPr>
      <w:instrText xml:space="preserve">PAGE</w:instrText>
    </w:r>
    <w:r>
      <w:rPr>
        <w:b/>
        <w:color w:val="000000"/>
        <w:sz w:val="24"/>
        <w:szCs w:val="24"/>
      </w:rPr>
      <w:fldChar w:fldCharType="separate"/>
    </w:r>
    <w:r>
      <w:rPr>
        <w:b/>
        <w:color w:val="000000"/>
        <w:sz w:val="24"/>
        <w:szCs w:val="24"/>
      </w:rPr>
      <w:t>6</w:t>
    </w:r>
    <w:r>
      <w:rPr>
        <w:b/>
        <w:color w:val="000000"/>
        <w:sz w:val="24"/>
        <w:szCs w:val="24"/>
      </w:rPr>
      <w:fldChar w:fldCharType="end"/>
    </w:r>
    <w:r>
      <w:rPr>
        <w:color w:val="000000"/>
      </w:rPr>
      <w:t xml:space="preserve"> de </w:t>
    </w:r>
    <w:r>
      <w:rPr>
        <w:b/>
        <w:color w:val="000000"/>
        <w:sz w:val="24"/>
        <w:szCs w:val="24"/>
      </w:rPr>
      <w:fldChar w:fldCharType="begin"/>
    </w:r>
    <w:r>
      <w:rPr>
        <w:b/>
        <w:color w:val="000000"/>
        <w:sz w:val="24"/>
        <w:szCs w:val="24"/>
      </w:rPr>
      <w:instrText xml:space="preserve">NUMPAGES</w:instrText>
    </w:r>
    <w:r>
      <w:rPr>
        <w:b/>
        <w:color w:val="000000"/>
        <w:sz w:val="24"/>
        <w:szCs w:val="24"/>
      </w:rPr>
      <w:fldChar w:fldCharType="separate"/>
    </w:r>
    <w:r>
      <w:rPr>
        <w:b/>
        <w:color w:val="000000"/>
        <w:sz w:val="24"/>
        <w:szCs w:val="24"/>
      </w:rPr>
      <w:t>6</w:t>
    </w:r>
    <w:r>
      <w:rPr>
        <w:b/>
        <w:color w:val="000000"/>
        <w:sz w:val="24"/>
        <w:szCs w:val="24"/>
      </w:rPr>
      <w:fldChar w:fldCharType="end"/>
    </w:r>
  </w:p>
  <w:p w14:paraId="1F6378D1">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jc w:val="center"/>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C6852">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03078">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left="-2" w:hanging="2"/>
      </w:pPr>
      <w:r>
        <w:separator/>
      </w:r>
    </w:p>
  </w:footnote>
  <w:footnote w:type="continuationSeparator" w:id="1">
    <w:p>
      <w:pPr>
        <w:spacing w:before="0" w:after="0" w:line="240" w:lineRule="auto"/>
        <w:ind w:left="-2"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BDF95">
    <w:pPr>
      <w:pBdr>
        <w:top w:val="none" w:color="auto" w:sz="0" w:space="0"/>
        <w:left w:val="none" w:color="auto" w:sz="0" w:space="0"/>
        <w:bottom w:val="none" w:color="auto" w:sz="0" w:space="0"/>
        <w:right w:val="none" w:color="auto" w:sz="0" w:space="0"/>
        <w:between w:val="none" w:color="auto" w:sz="0" w:space="0"/>
      </w:pBdr>
      <w:spacing w:line="240" w:lineRule="auto"/>
      <w:ind w:left="28" w:leftChars="-142" w:hanging="312" w:hangingChars="142"/>
      <w:rPr>
        <w:rFonts w:asciiTheme="minorHAnsi" w:hAnsiTheme="minorHAnsi" w:cstheme="minorHAnsi"/>
        <w:color w:val="000000"/>
        <w:sz w:val="22"/>
      </w:rPr>
    </w:pPr>
    <w:r>
      <w:rPr>
        <w:rFonts w:asciiTheme="minorHAnsi" w:hAnsiTheme="minorHAnsi" w:cstheme="minorHAnsi"/>
        <w:color w:val="000000"/>
        <w:sz w:val="22"/>
      </w:rPr>
      <w:drawing>
        <wp:anchor distT="0" distB="0" distL="114300" distR="114300" simplePos="0" relativeHeight="251659264" behindDoc="0" locked="0" layoutInCell="1" allowOverlap="1">
          <wp:simplePos x="0" y="0"/>
          <wp:positionH relativeFrom="column">
            <wp:posOffset>-222885</wp:posOffset>
          </wp:positionH>
          <wp:positionV relativeFrom="paragraph">
            <wp:posOffset>106680</wp:posOffset>
          </wp:positionV>
          <wp:extent cx="575945" cy="594995"/>
          <wp:effectExtent l="19050" t="0" r="0" b="0"/>
          <wp:wrapSquare wrapText="bothSides"/>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5945" cy="594995"/>
                  </a:xfrm>
                  <a:prstGeom prst="rect">
                    <a:avLst/>
                  </a:prstGeom>
                </pic:spPr>
              </pic:pic>
            </a:graphicData>
          </a:graphic>
        </wp:anchor>
      </w:drawing>
    </w:r>
    <w:r>
      <w:rPr>
        <w:rFonts w:asciiTheme="minorHAnsi" w:hAnsiTheme="minorHAnsi" w:cstheme="minorHAnsi"/>
        <w:color w:val="000000"/>
        <w:sz w:val="22"/>
      </w:rPr>
      <w:t xml:space="preserve">  </w:t>
    </w:r>
    <w:r>
      <w:rPr>
        <w:rFonts w:asciiTheme="minorHAnsi" w:hAnsiTheme="minorHAnsi" w:cstheme="minorHAnsi"/>
        <w:color w:val="000000"/>
        <w:sz w:val="22"/>
      </w:rPr>
      <w:tab/>
    </w:r>
  </w:p>
  <w:p w14:paraId="12C6ED3C">
    <w:pPr>
      <w:pBdr>
        <w:top w:val="none" w:color="auto" w:sz="0" w:space="0"/>
        <w:left w:val="none" w:color="auto" w:sz="0" w:space="0"/>
        <w:bottom w:val="none" w:color="auto" w:sz="0" w:space="0"/>
        <w:right w:val="none" w:color="auto" w:sz="0" w:space="0"/>
        <w:between w:val="none" w:color="auto" w:sz="0" w:space="0"/>
      </w:pBdr>
      <w:spacing w:line="240" w:lineRule="auto"/>
      <w:ind w:left="28" w:leftChars="-142" w:hanging="312" w:hangingChars="142"/>
      <w:rPr>
        <w:rFonts w:ascii="Arial" w:hAnsi="Arial" w:cs="Arial"/>
        <w:color w:val="000000"/>
        <w:sz w:val="24"/>
        <w:szCs w:val="24"/>
      </w:rPr>
    </w:pPr>
    <w:r>
      <w:rPr>
        <w:rFonts w:asciiTheme="minorHAnsi" w:hAnsiTheme="minorHAnsi" w:cstheme="minorHAnsi"/>
        <w:color w:val="000000"/>
        <w:sz w:val="22"/>
      </w:rPr>
      <w:t xml:space="preserve">                 </w:t>
    </w:r>
    <w:r>
      <w:rPr>
        <w:rFonts w:ascii="Arial" w:hAnsi="Arial" w:cs="Arial"/>
        <w:color w:val="000000"/>
        <w:sz w:val="24"/>
        <w:szCs w:val="24"/>
      </w:rPr>
      <w:t>ESTADO DA BAHIA</w:t>
    </w:r>
  </w:p>
  <w:p w14:paraId="1A85EC55">
    <w:pPr>
      <w:pBdr>
        <w:top w:val="none" w:color="auto" w:sz="0" w:space="0"/>
        <w:left w:val="none" w:color="auto" w:sz="0" w:space="0"/>
        <w:bottom w:val="none" w:color="auto" w:sz="0" w:space="0"/>
        <w:right w:val="none" w:color="auto" w:sz="0" w:space="0"/>
        <w:between w:val="none" w:color="auto" w:sz="0" w:space="0"/>
      </w:pBdr>
      <w:spacing w:line="240" w:lineRule="auto"/>
      <w:ind w:left="57" w:leftChars="-142" w:hanging="341" w:hangingChars="142"/>
      <w:rPr>
        <w:rFonts w:ascii="Arial" w:hAnsi="Arial" w:cs="Arial"/>
        <w:color w:val="000000"/>
        <w:sz w:val="24"/>
        <w:szCs w:val="24"/>
      </w:rPr>
    </w:pPr>
    <w:bookmarkStart w:id="0" w:name="_heading=h.gjdgxs" w:colFirst="0" w:colLast="0"/>
    <w:bookmarkEnd w:id="0"/>
    <w:r>
      <w:rPr>
        <w:rFonts w:ascii="Arial" w:hAnsi="Arial" w:cs="Arial"/>
        <w:b/>
        <w:color w:val="000000"/>
        <w:sz w:val="24"/>
        <w:szCs w:val="24"/>
      </w:rPr>
      <w:t xml:space="preserve">  </w:t>
    </w:r>
    <w:r>
      <w:rPr>
        <w:rFonts w:ascii="Arial" w:hAnsi="Arial" w:cs="Arial"/>
        <w:b/>
        <w:color w:val="000000"/>
        <w:sz w:val="24"/>
        <w:szCs w:val="24"/>
      </w:rPr>
      <w:tab/>
    </w:r>
    <w:r>
      <w:rPr>
        <w:rFonts w:ascii="Arial" w:hAnsi="Arial" w:cs="Arial"/>
        <w:b/>
        <w:color w:val="000000"/>
        <w:sz w:val="24"/>
        <w:szCs w:val="24"/>
      </w:rPr>
      <w:t xml:space="preserve">          PREFEITURA MUNICIPAL DE SIMÕES FILHO</w:t>
    </w:r>
  </w:p>
  <w:p w14:paraId="58857406">
    <w:pPr>
      <w:pBdr>
        <w:top w:val="none" w:color="auto" w:sz="0" w:space="0"/>
        <w:left w:val="none" w:color="auto" w:sz="0" w:space="0"/>
        <w:bottom w:val="none" w:color="auto" w:sz="0" w:space="0"/>
        <w:right w:val="none" w:color="auto" w:sz="0" w:space="0"/>
        <w:between w:val="none" w:color="auto" w:sz="0" w:space="0"/>
      </w:pBdr>
      <w:spacing w:line="240" w:lineRule="auto"/>
      <w:ind w:left="56" w:leftChars="-142" w:hanging="340" w:hangingChars="142"/>
      <w:rPr>
        <w:rFonts w:ascii="Arial" w:hAnsi="Arial" w:cs="Arial"/>
        <w:color w:val="000000"/>
        <w:sz w:val="24"/>
        <w:szCs w:val="24"/>
        <w:u w:val="single"/>
      </w:rPr>
    </w:pPr>
    <w:r>
      <w:rPr>
        <w:rFonts w:ascii="Arial" w:hAnsi="Arial" w:cs="Arial"/>
        <w:color w:val="000000"/>
        <w:sz w:val="24"/>
        <w:szCs w:val="24"/>
      </w:rPr>
      <w:t xml:space="preserve">  </w:t>
    </w:r>
    <w:r>
      <w:rPr>
        <w:rFonts w:ascii="Arial" w:hAnsi="Arial" w:cs="Arial"/>
        <w:color w:val="000000"/>
        <w:sz w:val="24"/>
        <w:szCs w:val="24"/>
      </w:rPr>
      <w:tab/>
    </w:r>
    <w:r>
      <w:rPr>
        <w:rFonts w:ascii="Arial" w:hAnsi="Arial" w:cs="Arial"/>
        <w:color w:val="000000"/>
        <w:sz w:val="24"/>
        <w:szCs w:val="24"/>
      </w:rPr>
      <w:t xml:space="preserve">          </w:t>
    </w:r>
    <w:r>
      <w:rPr>
        <w:rFonts w:ascii="Arial" w:hAnsi="Arial" w:cs="Arial"/>
        <w:color w:val="000000"/>
        <w:sz w:val="24"/>
        <w:szCs w:val="24"/>
        <w:u w:val="single"/>
      </w:rPr>
      <w:t>SECRETARIA MUNICIPAL DE SAÚDE</w:t>
    </w:r>
  </w:p>
  <w:p w14:paraId="21225596">
    <w:pPr>
      <w:pStyle w:val="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F8934">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p w14:paraId="0B71E94D">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r>
      <w:rPr>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A6CB3">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774B5C"/>
    <w:rsid w:val="00007AE5"/>
    <w:rsid w:val="00012D1F"/>
    <w:rsid w:val="00020470"/>
    <w:rsid w:val="00041F70"/>
    <w:rsid w:val="000533AE"/>
    <w:rsid w:val="00056752"/>
    <w:rsid w:val="00075F15"/>
    <w:rsid w:val="00085715"/>
    <w:rsid w:val="000A1839"/>
    <w:rsid w:val="000B71BD"/>
    <w:rsid w:val="000F3D44"/>
    <w:rsid w:val="00111737"/>
    <w:rsid w:val="00190334"/>
    <w:rsid w:val="001B7F02"/>
    <w:rsid w:val="001E6A5C"/>
    <w:rsid w:val="00216AB5"/>
    <w:rsid w:val="00251BC8"/>
    <w:rsid w:val="00251E6B"/>
    <w:rsid w:val="0026617E"/>
    <w:rsid w:val="00271747"/>
    <w:rsid w:val="00285073"/>
    <w:rsid w:val="002D180A"/>
    <w:rsid w:val="002D1D60"/>
    <w:rsid w:val="002F4E37"/>
    <w:rsid w:val="00303531"/>
    <w:rsid w:val="00321C9F"/>
    <w:rsid w:val="00346DD0"/>
    <w:rsid w:val="00356022"/>
    <w:rsid w:val="0039508A"/>
    <w:rsid w:val="003C4AB2"/>
    <w:rsid w:val="004066EA"/>
    <w:rsid w:val="00422D19"/>
    <w:rsid w:val="004262D4"/>
    <w:rsid w:val="0043292E"/>
    <w:rsid w:val="00436E27"/>
    <w:rsid w:val="00446D80"/>
    <w:rsid w:val="00497458"/>
    <w:rsid w:val="005806F6"/>
    <w:rsid w:val="00580BD5"/>
    <w:rsid w:val="006947A1"/>
    <w:rsid w:val="00694B43"/>
    <w:rsid w:val="006C2EC4"/>
    <w:rsid w:val="00704B10"/>
    <w:rsid w:val="007053BA"/>
    <w:rsid w:val="00774B5C"/>
    <w:rsid w:val="007D155D"/>
    <w:rsid w:val="0080782D"/>
    <w:rsid w:val="00815EA7"/>
    <w:rsid w:val="0087241D"/>
    <w:rsid w:val="008A7922"/>
    <w:rsid w:val="008B6F98"/>
    <w:rsid w:val="008C34A4"/>
    <w:rsid w:val="008C78D7"/>
    <w:rsid w:val="008E0EF6"/>
    <w:rsid w:val="009025AE"/>
    <w:rsid w:val="009418DC"/>
    <w:rsid w:val="00971788"/>
    <w:rsid w:val="0098365E"/>
    <w:rsid w:val="00993122"/>
    <w:rsid w:val="009B4D53"/>
    <w:rsid w:val="009E3F13"/>
    <w:rsid w:val="00A21C12"/>
    <w:rsid w:val="00A4534F"/>
    <w:rsid w:val="00AA2002"/>
    <w:rsid w:val="00AB104D"/>
    <w:rsid w:val="00B32456"/>
    <w:rsid w:val="00B5591E"/>
    <w:rsid w:val="00B60F0B"/>
    <w:rsid w:val="00B94D82"/>
    <w:rsid w:val="00BA77F4"/>
    <w:rsid w:val="00C14193"/>
    <w:rsid w:val="00C50A54"/>
    <w:rsid w:val="00C824FD"/>
    <w:rsid w:val="00C82C3B"/>
    <w:rsid w:val="00CC5F45"/>
    <w:rsid w:val="00CD5737"/>
    <w:rsid w:val="00CD7316"/>
    <w:rsid w:val="00CE5A4D"/>
    <w:rsid w:val="00CF443A"/>
    <w:rsid w:val="00D07A84"/>
    <w:rsid w:val="00D22094"/>
    <w:rsid w:val="00D36C55"/>
    <w:rsid w:val="00D44B9D"/>
    <w:rsid w:val="00D526A4"/>
    <w:rsid w:val="00DA54A0"/>
    <w:rsid w:val="00DA6E29"/>
    <w:rsid w:val="00DE04DD"/>
    <w:rsid w:val="00E15E04"/>
    <w:rsid w:val="00E43CC2"/>
    <w:rsid w:val="00E829D1"/>
    <w:rsid w:val="00EB2849"/>
    <w:rsid w:val="00EC3E85"/>
    <w:rsid w:val="00ED3C2C"/>
    <w:rsid w:val="00ED75D5"/>
    <w:rsid w:val="00EE7D5B"/>
    <w:rsid w:val="00F77970"/>
    <w:rsid w:val="00FE5B6B"/>
    <w:rsid w:val="01BE299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next w:val="2"/>
    <w:qFormat/>
    <w:uiPriority w:val="0"/>
    <w:pPr>
      <w:suppressAutoHyphens/>
      <w:spacing w:after="0" w:line="1" w:lineRule="atLeast"/>
      <w:ind w:left="-1" w:leftChars="-1" w:hanging="1" w:hangingChars="1"/>
      <w:textAlignment w:val="top"/>
      <w:outlineLvl w:val="0"/>
    </w:pPr>
    <w:rPr>
      <w:rFonts w:ascii="Times New Roman" w:hAnsi="Times New Roman" w:eastAsia="Times New Roman" w:cs="Times New Roman"/>
      <w:position w:val="-1"/>
      <w:sz w:val="20"/>
      <w:szCs w:val="20"/>
      <w:lang w:val="pt-BR" w:eastAsia="pt-BR" w:bidi="ar-SA"/>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2">
    <w:name w:val="normal"/>
    <w:uiPriority w:val="0"/>
    <w:pPr>
      <w:spacing w:after="0" w:line="240" w:lineRule="auto"/>
      <w:ind w:hanging="1"/>
    </w:pPr>
    <w:rPr>
      <w:rFonts w:ascii="Times New Roman" w:hAnsi="Times New Roman" w:eastAsia="Times New Roman" w:cs="Times New Roman"/>
      <w:sz w:val="20"/>
      <w:szCs w:val="20"/>
      <w:lang w:val="pt-BR" w:eastAsia="pt-BR" w:bidi="ar-SA"/>
    </w:rPr>
  </w:style>
  <w:style w:type="character" w:styleId="5">
    <w:name w:val="Strong"/>
    <w:basedOn w:val="3"/>
    <w:qFormat/>
    <w:uiPriority w:val="22"/>
    <w:rPr>
      <w:b/>
      <w:bCs/>
    </w:rPr>
  </w:style>
  <w:style w:type="paragraph" w:styleId="6">
    <w:name w:val="Normal (Web)"/>
    <w:basedOn w:val="1"/>
    <w:unhideWhenUsed/>
    <w:uiPriority w:val="99"/>
    <w:pPr>
      <w:suppressAutoHyphens w:val="0"/>
      <w:spacing w:before="100" w:beforeAutospacing="1" w:after="100" w:afterAutospacing="1" w:line="240" w:lineRule="auto"/>
      <w:ind w:left="0" w:leftChars="0" w:firstLine="0" w:firstLineChars="0"/>
      <w:textAlignment w:val="auto"/>
      <w:outlineLvl w:val="9"/>
    </w:pPr>
    <w:rPr>
      <w:position w:val="0"/>
      <w:sz w:val="24"/>
      <w:szCs w:val="24"/>
    </w:rPr>
  </w:style>
  <w:style w:type="table" w:styleId="7">
    <w:name w:val="Table Grid"/>
    <w:basedOn w:val="4"/>
    <w:uiPriority w:val="59"/>
    <w:pPr>
      <w:suppressAutoHyphens/>
      <w:spacing w:after="0" w:line="1" w:lineRule="atLeast"/>
      <w:ind w:left="-1" w:leftChars="-1" w:hanging="1" w:hangingChars="1"/>
      <w:textAlignment w:val="top"/>
      <w:outlineLvl w:val="0"/>
    </w:pPr>
    <w:rPr>
      <w:rFonts w:ascii="Calibri" w:hAnsi="Calibri" w:eastAsia="Calibri" w:cs="Times New Roman"/>
      <w:position w:val="-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2219</Words>
  <Characters>11986</Characters>
  <Lines>99</Lines>
  <Paragraphs>28</Paragraphs>
  <TotalTime>211</TotalTime>
  <ScaleCrop>false</ScaleCrop>
  <LinksUpToDate>false</LinksUpToDate>
  <CharactersWithSpaces>14177</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2025-06-09T13:05:00Z</dcterms:created>
  <dc:creator>cintia.daltro</dc:creator>
  <cp:lastModifiedBy>andressa.santos</cp:lastModifiedBy>
  <cp:lastPrinted>2025-09-11T12:47:00Z</cp:lastPrinted>
  <dcterms:modified xsi:type="dcterms:W3CDTF">2025-10-02T14:58:33Z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2C33238955814882A8F2636AFA1693A3_12</vt:lpwstr>
  </property>
</Properties>
</file>