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keepNext w:val="0"/>
        <w:keepLines w:val="0"/>
        <w:pageBreakBefore w:val="0"/>
        <w:widowControl/>
        <w:pBdr>
          <w:top w:val="single" w:color="1F497D" w:sz="4" w:space="1"/>
          <w:left w:val="single" w:color="1F497D" w:sz="4" w:space="4"/>
          <w:bottom w:val="single" w:color="1F497D" w:sz="4" w:space="1"/>
          <w:right w:val="single" w:color="1F497D" w:sz="4" w:space="4"/>
          <w:between w:val="none" w:color="auto" w:sz="0" w:space="0"/>
        </w:pBdr>
        <w:shd w:val="clear" w:fill="D9D9D9"/>
        <w:spacing w:before="288" w:after="288" w:line="312" w:lineRule="auto"/>
        <w:ind w:left="0" w:right="0" w:firstLine="567"/>
        <w:jc w:val="center"/>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 xml:space="preserve">EDITAL </w:t>
      </w:r>
    </w:p>
    <w:p w14:paraId="00000002">
      <w:pPr>
        <w:keepLines/>
        <w:widowControl w:val="0"/>
        <w:pBdr>
          <w:top w:val="single" w:color="000000" w:sz="4" w:space="1"/>
          <w:left w:val="single" w:color="000000" w:sz="4" w:space="0"/>
          <w:bottom w:val="single" w:color="000000" w:sz="4" w:space="1"/>
          <w:right w:val="single" w:color="000000" w:sz="4" w:space="0"/>
        </w:pBdr>
        <w:shd w:val="clear" w:fill="D9D9D9"/>
        <w:ind w:hanging="2"/>
        <w:jc w:val="center"/>
        <w:rPr>
          <w:rFonts w:ascii="Arial" w:hAnsi="Arial" w:eastAsia="Arial" w:cs="Arial"/>
          <w:vertAlign w:val="baseline"/>
        </w:rPr>
      </w:pPr>
      <w:r>
        <w:rPr>
          <w:rFonts w:ascii="Arial" w:hAnsi="Arial" w:eastAsia="Arial" w:cs="Arial"/>
          <w:b/>
          <w:vertAlign w:val="baseline"/>
          <w:rtl w:val="0"/>
        </w:rPr>
        <w:t>PROCESSO LICITATÓRIO Nº 014/2025.</w:t>
      </w:r>
    </w:p>
    <w:p w14:paraId="00000003">
      <w:pPr>
        <w:keepLines/>
        <w:widowControl w:val="0"/>
        <w:pBdr>
          <w:top w:val="single" w:color="000000" w:sz="4" w:space="1"/>
          <w:left w:val="single" w:color="000000" w:sz="4" w:space="0"/>
          <w:bottom w:val="single" w:color="000000" w:sz="4" w:space="1"/>
          <w:right w:val="single" w:color="000000" w:sz="4" w:space="0"/>
        </w:pBdr>
        <w:shd w:val="clear" w:fill="D9D9D9"/>
        <w:ind w:hanging="2"/>
        <w:jc w:val="center"/>
        <w:rPr>
          <w:rFonts w:ascii="Arial" w:hAnsi="Arial" w:eastAsia="Arial" w:cs="Arial"/>
          <w:vertAlign w:val="baseline"/>
        </w:rPr>
      </w:pPr>
      <w:r>
        <w:rPr>
          <w:rFonts w:ascii="Arial" w:hAnsi="Arial" w:eastAsia="Arial" w:cs="Arial"/>
          <w:b/>
          <w:vertAlign w:val="baseline"/>
          <w:rtl w:val="0"/>
        </w:rPr>
        <w:t>PREGÃO ELETRÔNICO Nº 004/2025.</w:t>
      </w:r>
    </w:p>
    <w:p w14:paraId="00000004">
      <w:pPr>
        <w:keepLines/>
        <w:widowControl w:val="0"/>
        <w:ind w:hanging="2"/>
        <w:jc w:val="center"/>
        <w:rPr>
          <w:rFonts w:ascii="Arial" w:hAnsi="Arial" w:eastAsia="Arial" w:cs="Arial"/>
          <w:vertAlign w:val="baseline"/>
        </w:rPr>
      </w:pPr>
    </w:p>
    <w:p w14:paraId="00000005">
      <w:pPr>
        <w:keepLines/>
        <w:widowControl w:val="0"/>
        <w:pBdr>
          <w:top w:val="single" w:color="000000" w:sz="4" w:space="1"/>
          <w:left w:val="single" w:color="000000" w:sz="4" w:space="4"/>
          <w:bottom w:val="single" w:color="000000" w:sz="4" w:space="1"/>
          <w:right w:val="single" w:color="000000" w:sz="4" w:space="4"/>
        </w:pBdr>
        <w:shd w:val="clear" w:fill="CCCCCC"/>
        <w:ind w:hanging="2"/>
        <w:jc w:val="center"/>
        <w:rPr>
          <w:rFonts w:ascii="Arial" w:hAnsi="Arial" w:eastAsia="Arial" w:cs="Arial"/>
          <w:vertAlign w:val="baseline"/>
        </w:rPr>
      </w:pPr>
      <w:r>
        <w:rPr>
          <w:rFonts w:ascii="Arial" w:hAnsi="Arial" w:eastAsia="Arial" w:cs="Arial"/>
          <w:b/>
          <w:vertAlign w:val="baseline"/>
          <w:rtl w:val="0"/>
        </w:rPr>
        <w:t>PREÂMBULO</w:t>
      </w:r>
    </w:p>
    <w:p w14:paraId="00000006">
      <w:pPr>
        <w:keepLines/>
        <w:ind w:right="-759" w:hanging="2"/>
        <w:jc w:val="center"/>
        <w:rPr>
          <w:rFonts w:ascii="Arial" w:hAnsi="Arial" w:eastAsia="Arial" w:cs="Arial"/>
          <w:vertAlign w:val="baseline"/>
        </w:rPr>
      </w:pPr>
      <w:r>
        <w:rPr>
          <w:rFonts w:ascii="Arial" w:hAnsi="Arial" w:eastAsia="Arial" w:cs="Arial"/>
          <w:vertAlign w:val="baseline"/>
          <w:rtl w:val="0"/>
        </w:rPr>
        <w:t xml:space="preserve">                                                                                                                                                                                                                                                                                                                                                </w:t>
      </w:r>
    </w:p>
    <w:p w14:paraId="0000000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0" w:right="0" w:firstLine="113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Torna-se público que </w:t>
      </w:r>
      <w:r>
        <w:rPr>
          <w:rFonts w:ascii="Arial" w:hAnsi="Arial" w:eastAsia="Arial" w:cs="Arial"/>
          <w:b/>
          <w:i w:val="0"/>
          <w:smallCaps w:val="0"/>
          <w:strike w:val="0"/>
          <w:color w:val="000000"/>
          <w:sz w:val="24"/>
          <w:szCs w:val="24"/>
          <w:u w:val="none"/>
          <w:shd w:val="clear" w:fill="auto"/>
          <w:vertAlign w:val="baseline"/>
          <w:rtl w:val="0"/>
        </w:rPr>
        <w:t>a Prefeitura Municipal de Macururé-BA</w:t>
      </w:r>
      <w:r>
        <w:rPr>
          <w:rFonts w:ascii="Arial" w:hAnsi="Arial" w:eastAsia="Arial" w:cs="Arial"/>
          <w:b w:val="0"/>
          <w:i w:val="0"/>
          <w:smallCaps w:val="0"/>
          <w:strike w:val="0"/>
          <w:color w:val="000000"/>
          <w:sz w:val="24"/>
          <w:szCs w:val="24"/>
          <w:u w:val="none"/>
          <w:shd w:val="clear" w:fill="auto"/>
          <w:vertAlign w:val="baseline"/>
          <w:rtl w:val="0"/>
        </w:rPr>
        <w:t xml:space="preserve">, por meio do Pregoeiro, Sr. José Ronildo Rodrigues de Araújo, sediado na praça Municipal, s/n, Centro, MACURURÉ– BA,  realizará licitação, para registro de preços, na modalidade PREGÃO, na forma ELETRÔNICA, nos termos da </w:t>
      </w:r>
      <w:r>
        <w:fldChar w:fldCharType="begin"/>
      </w:r>
      <w:r>
        <w:instrText xml:space="preserve"> HYPERLINK "http://www.planalto.gov.br/ccivil_03/_ato2019-2022/2021/lei/L14133.htm"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Lei nº 14.133, de 1º de abril de 2021</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xml:space="preserve"> e demais legislação aplicável e, ainda, de acordo com as condições estabelecidas neste Edital.</w:t>
      </w:r>
    </w:p>
    <w:p w14:paraId="00000008">
      <w:pPr>
        <w:keepNext/>
        <w:keepLines/>
        <w:pageBreakBefore w:val="0"/>
        <w:widowControl/>
        <w:numPr>
          <w:ilvl w:val="0"/>
          <w:numId w:val="2"/>
        </w:numPr>
        <w:pBdr>
          <w:top w:val="single" w:color="000000" w:sz="4" w:space="1"/>
          <w:left w:val="single" w:color="000000" w:sz="4" w:space="4"/>
          <w:bottom w:val="single" w:color="000000" w:sz="4" w:space="1"/>
          <w:right w:val="single" w:color="000000" w:sz="4" w:space="4"/>
          <w:between w:val="none" w:color="auto" w:sz="0" w:space="0"/>
        </w:pBdr>
        <w:shd w:val="clear" w:fill="BFBFBF"/>
        <w:tabs>
          <w:tab w:val="left" w:pos="567"/>
        </w:tabs>
        <w:spacing w:before="288" w:after="288" w:line="312" w:lineRule="auto"/>
        <w:ind w:left="360" w:right="0" w:hanging="360"/>
        <w:jc w:val="both"/>
      </w:pPr>
      <w:bookmarkStart w:id="0" w:name="_heading=h.18pklso6k772" w:colFirst="0" w:colLast="0"/>
      <w:bookmarkEnd w:id="0"/>
      <w:r>
        <w:rPr>
          <w:rFonts w:ascii="Arial" w:hAnsi="Arial" w:eastAsia="Arial" w:cs="Arial"/>
          <w:b/>
          <w:i w:val="0"/>
          <w:smallCaps w:val="0"/>
          <w:strike w:val="0"/>
          <w:color w:val="000000"/>
          <w:sz w:val="24"/>
          <w:szCs w:val="24"/>
          <w:u w:val="none"/>
          <w:shd w:val="clear" w:fill="auto"/>
          <w:vertAlign w:val="baseline"/>
          <w:rtl w:val="0"/>
        </w:rPr>
        <w:t>DO OBJETO</w:t>
      </w:r>
    </w:p>
    <w:p w14:paraId="00000009">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O objeto da presente licitação é </w:t>
      </w:r>
      <w:r>
        <w:rPr>
          <w:rFonts w:ascii="Arial" w:hAnsi="Arial" w:eastAsia="Arial" w:cs="Arial"/>
          <w:b/>
          <w:i w:val="0"/>
          <w:smallCaps w:val="0"/>
          <w:strike w:val="0"/>
          <w:color w:val="000000"/>
          <w:sz w:val="24"/>
          <w:szCs w:val="24"/>
          <w:u w:val="none"/>
          <w:shd w:val="clear" w:fill="auto"/>
          <w:vertAlign w:val="baseline"/>
          <w:rtl w:val="0"/>
        </w:rPr>
        <w:t>AQUISIÇÃO DE RECARGA DE GÁS LIQUEFEITO GLP TIPO DOMÉSTICO 1 (UM) BOTIJÃO DE 13 KG MEDIANTE, BEM COMO VASILHAME VAZIO PARA RECARGA DE GÁS LIQUEFEITO GLP DE 13 KG PARA TODAS AS SECRETARIAS E SEUS ÓRGÃOS DO MUNICÍPIO DE MACURURÉ-BA</w:t>
      </w:r>
      <w:r>
        <w:rPr>
          <w:rFonts w:ascii="Arial" w:hAnsi="Arial" w:eastAsia="Arial" w:cs="Arial"/>
          <w:b w:val="0"/>
          <w:i w:val="0"/>
          <w:smallCaps w:val="0"/>
          <w:strike w:val="0"/>
          <w:color w:val="000000"/>
          <w:sz w:val="24"/>
          <w:szCs w:val="24"/>
          <w:u w:val="none"/>
          <w:shd w:val="clear" w:fill="auto"/>
          <w:vertAlign w:val="baseline"/>
          <w:rtl w:val="0"/>
        </w:rPr>
        <w:t>, conforme condições, quantidades e exigências estabelecidas neste Edital e seus anexos.</w:t>
      </w:r>
    </w:p>
    <w:p w14:paraId="0000000A">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 licitação será dividida em </w:t>
      </w:r>
      <w:r>
        <w:rPr>
          <w:rFonts w:ascii="Arial" w:hAnsi="Arial" w:eastAsia="Arial" w:cs="Arial"/>
          <w:b/>
          <w:i w:val="0"/>
          <w:smallCaps w:val="0"/>
          <w:strike w:val="0"/>
          <w:color w:val="000000"/>
          <w:sz w:val="24"/>
          <w:szCs w:val="24"/>
          <w:u w:val="none"/>
          <w:shd w:val="clear" w:fill="auto"/>
          <w:vertAlign w:val="baseline"/>
          <w:rtl w:val="0"/>
        </w:rPr>
        <w:t>LOTE</w:t>
      </w:r>
      <w:r>
        <w:rPr>
          <w:rFonts w:ascii="Arial" w:hAnsi="Arial" w:eastAsia="Arial" w:cs="Arial"/>
          <w:b w:val="0"/>
          <w:i w:val="0"/>
          <w:smallCaps w:val="0"/>
          <w:strike w:val="0"/>
          <w:color w:val="000000"/>
          <w:sz w:val="24"/>
          <w:szCs w:val="24"/>
          <w:u w:val="none"/>
          <w:shd w:val="clear" w:fill="auto"/>
          <w:vertAlign w:val="baseline"/>
          <w:rtl w:val="0"/>
        </w:rPr>
        <w:t>, conforme tabela constante do Termo de Referência.</w:t>
      </w:r>
    </w:p>
    <w:p w14:paraId="0000000B">
      <w:pPr>
        <w:ind w:right="-2"/>
        <w:jc w:val="both"/>
        <w:rPr>
          <w:rFonts w:ascii="Arial" w:hAnsi="Arial" w:eastAsia="Arial" w:cs="Arial"/>
        </w:rPr>
      </w:pPr>
      <w:r>
        <w:rPr>
          <w:rFonts w:ascii="Arial" w:hAnsi="Arial" w:eastAsia="Arial" w:cs="Arial"/>
          <w:rtl w:val="0"/>
        </w:rPr>
        <w:t xml:space="preserve">Os trabalhos serão conduzidos pelo Pregoeiro, mediante a inserção e monitoramento de dados gerados ou transferidos diretamente para a página eletrônica </w:t>
      </w:r>
      <w:r>
        <w:fldChar w:fldCharType="begin"/>
      </w:r>
      <w:r>
        <w:instrText xml:space="preserve"> HYPERLINK "http://www.portaldecompraspublicas.com.br/" \h </w:instrText>
      </w:r>
      <w:r>
        <w:fldChar w:fldCharType="separate"/>
      </w:r>
      <w:r>
        <w:rPr>
          <w:rFonts w:ascii="Arial" w:hAnsi="Arial" w:eastAsia="Arial" w:cs="Arial"/>
          <w:b/>
          <w:color w:val="0000FF"/>
          <w:u w:val="single"/>
          <w:rtl w:val="0"/>
        </w:rPr>
        <w:t>www.portaldecompraspublicas.com.br</w:t>
      </w:r>
      <w:r>
        <w:rPr>
          <w:rFonts w:ascii="Arial" w:hAnsi="Arial" w:eastAsia="Arial" w:cs="Arial"/>
          <w:b/>
          <w:color w:val="0000FF"/>
          <w:u w:val="single"/>
          <w:rtl w:val="0"/>
        </w:rPr>
        <w:fldChar w:fldCharType="end"/>
      </w:r>
      <w:r>
        <w:rPr>
          <w:rFonts w:ascii="Arial" w:hAnsi="Arial" w:eastAsia="Arial" w:cs="Arial"/>
          <w:rtl w:val="0"/>
        </w:rPr>
        <w:t>. O Pregoeiro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000000C">
      <w:pPr>
        <w:jc w:val="both"/>
        <w:rPr>
          <w:rFonts w:ascii="Arial" w:hAnsi="Arial" w:eastAsia="Arial" w:cs="Arial"/>
          <w:b/>
          <w:color w:val="000000"/>
        </w:rPr>
      </w:pPr>
    </w:p>
    <w:tbl>
      <w:tblPr>
        <w:tblStyle w:val="131"/>
        <w:tblW w:w="10201"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3823"/>
        <w:gridCol w:w="6378"/>
      </w:tblGrid>
      <w:tr w14:paraId="5B7FF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20" w:hRule="atLeast"/>
        </w:trPr>
        <w:tc>
          <w:tcPr>
            <w:tcBorders>
              <w:top w:val="single" w:color="000000" w:sz="4" w:space="0"/>
              <w:left w:val="single" w:color="000000" w:sz="4" w:space="0"/>
              <w:bottom w:val="single" w:color="000000" w:sz="4" w:space="0"/>
              <w:right w:val="single" w:color="000000" w:sz="4" w:space="0"/>
            </w:tcBorders>
            <w:shd w:val="clear" w:color="auto" w:fill="F2F2F2"/>
            <w:vAlign w:val="center"/>
          </w:tcPr>
          <w:p w14:paraId="0000000D">
            <w:pPr>
              <w:jc w:val="center"/>
              <w:rPr>
                <w:rFonts w:ascii="Arial" w:hAnsi="Arial" w:eastAsia="Arial" w:cs="Arial"/>
                <w:b/>
              </w:rPr>
            </w:pPr>
            <w:r>
              <w:rPr>
                <w:rFonts w:ascii="Arial" w:hAnsi="Arial" w:eastAsia="Arial" w:cs="Arial"/>
                <w:b/>
                <w:rtl w:val="0"/>
              </w:rPr>
              <w:t>ÓRGÃOS INTERESSADOS:</w:t>
            </w:r>
          </w:p>
        </w:tc>
        <w:tc>
          <w:tcPr>
            <w:tcBorders>
              <w:top w:val="single" w:color="000000" w:sz="4" w:space="0"/>
              <w:left w:val="single" w:color="000000" w:sz="4" w:space="0"/>
              <w:bottom w:val="single" w:color="000000" w:sz="4" w:space="0"/>
              <w:right w:val="single" w:color="000000" w:sz="4" w:space="0"/>
            </w:tcBorders>
            <w:vAlign w:val="center"/>
          </w:tcPr>
          <w:p w14:paraId="0000000E">
            <w:pPr>
              <w:jc w:val="center"/>
              <w:rPr>
                <w:rFonts w:ascii="Arial" w:hAnsi="Arial" w:eastAsia="Arial" w:cs="Arial"/>
                <w:b/>
              </w:rPr>
            </w:pPr>
            <w:r>
              <w:rPr>
                <w:rFonts w:ascii="Arial" w:hAnsi="Arial" w:eastAsia="Arial" w:cs="Arial"/>
                <w:b/>
                <w:rtl w:val="0"/>
              </w:rPr>
              <w:t>PREFEITURA MUNICIPAL DE MACURURÉ-BA.</w:t>
            </w:r>
          </w:p>
          <w:p w14:paraId="0000000F">
            <w:pPr>
              <w:jc w:val="center"/>
              <w:rPr>
                <w:rFonts w:ascii="Arial" w:hAnsi="Arial" w:eastAsia="Arial" w:cs="Arial"/>
                <w:b/>
              </w:rPr>
            </w:pPr>
          </w:p>
        </w:tc>
      </w:tr>
      <w:tr w14:paraId="6B0A7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20" w:hRule="atLeast"/>
        </w:trPr>
        <w:tc>
          <w:tcPr>
            <w:tcBorders>
              <w:top w:val="single" w:color="000000" w:sz="4" w:space="0"/>
              <w:left w:val="single" w:color="000000" w:sz="4" w:space="0"/>
              <w:bottom w:val="single" w:color="000000" w:sz="4" w:space="0"/>
              <w:right w:val="single" w:color="000000" w:sz="4" w:space="0"/>
            </w:tcBorders>
            <w:shd w:val="clear" w:color="auto" w:fill="F2F2F2"/>
            <w:vAlign w:val="center"/>
          </w:tcPr>
          <w:p w14:paraId="00000010">
            <w:pPr>
              <w:jc w:val="center"/>
              <w:rPr>
                <w:rFonts w:ascii="Arial" w:hAnsi="Arial" w:eastAsia="Arial" w:cs="Arial"/>
                <w:b/>
              </w:rPr>
            </w:pPr>
            <w:r>
              <w:rPr>
                <w:rFonts w:ascii="Arial" w:hAnsi="Arial" w:eastAsia="Arial" w:cs="Arial"/>
                <w:b/>
                <w:rtl w:val="0"/>
              </w:rPr>
              <w:t>DATA E HORA DE INÍCIO DAS PROPOSTAS:</w:t>
            </w:r>
          </w:p>
        </w:tc>
        <w:tc>
          <w:tcPr>
            <w:tcBorders>
              <w:top w:val="single" w:color="000000" w:sz="4" w:space="0"/>
              <w:left w:val="single" w:color="000000" w:sz="4" w:space="0"/>
              <w:bottom w:val="single" w:color="000000" w:sz="4" w:space="0"/>
              <w:right w:val="single" w:color="000000" w:sz="4" w:space="0"/>
            </w:tcBorders>
            <w:shd w:val="clear" w:color="auto" w:fill="FFFFFF"/>
          </w:tcPr>
          <w:p w14:paraId="00000011">
            <w:pPr>
              <w:jc w:val="center"/>
              <w:rPr>
                <w:rFonts w:ascii="Arial" w:hAnsi="Arial" w:eastAsia="Arial" w:cs="Arial"/>
                <w:b/>
              </w:rPr>
            </w:pPr>
            <w:r>
              <w:rPr>
                <w:rFonts w:ascii="Arial" w:hAnsi="Arial" w:eastAsia="Arial" w:cs="Arial"/>
                <w:b/>
                <w:rtl w:val="0"/>
              </w:rPr>
              <w:t>09H:00M DO DIA 25/0</w:t>
            </w:r>
            <w:r>
              <w:rPr>
                <w:rFonts w:hint="default" w:ascii="Arial" w:hAnsi="Arial" w:eastAsia="Arial" w:cs="Arial"/>
                <w:b/>
                <w:rtl w:val="0"/>
                <w:lang w:val="pt-BR"/>
              </w:rPr>
              <w:t>3</w:t>
            </w:r>
            <w:r>
              <w:rPr>
                <w:rFonts w:ascii="Arial" w:hAnsi="Arial" w:eastAsia="Arial" w:cs="Arial"/>
                <w:b/>
                <w:rtl w:val="0"/>
              </w:rPr>
              <w:t>/2025 (HORÁRIO DE BRASÍLIA).</w:t>
            </w:r>
          </w:p>
        </w:tc>
      </w:tr>
      <w:tr w14:paraId="39DA1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20" w:hRule="atLeast"/>
        </w:trPr>
        <w:tc>
          <w:tcPr>
            <w:tcBorders>
              <w:top w:val="single" w:color="000000" w:sz="4" w:space="0"/>
              <w:left w:val="single" w:color="000000" w:sz="4" w:space="0"/>
              <w:bottom w:val="single" w:color="000000" w:sz="4" w:space="0"/>
              <w:right w:val="single" w:color="000000" w:sz="4" w:space="0"/>
            </w:tcBorders>
            <w:shd w:val="clear" w:color="auto" w:fill="F2F2F2"/>
            <w:vAlign w:val="center"/>
          </w:tcPr>
          <w:p w14:paraId="00000012">
            <w:pPr>
              <w:jc w:val="center"/>
              <w:rPr>
                <w:rFonts w:ascii="Arial" w:hAnsi="Arial" w:eastAsia="Arial" w:cs="Arial"/>
                <w:b/>
              </w:rPr>
            </w:pPr>
            <w:r>
              <w:rPr>
                <w:rFonts w:ascii="Arial" w:hAnsi="Arial" w:eastAsia="Arial" w:cs="Arial"/>
                <w:b/>
                <w:rtl w:val="0"/>
              </w:rPr>
              <w:t>DATA E HORA LIMITE PARA IMPUGNAÇÃO:</w:t>
            </w:r>
          </w:p>
        </w:tc>
        <w:tc>
          <w:tcPr>
            <w:tcBorders>
              <w:top w:val="single" w:color="000000" w:sz="4" w:space="0"/>
              <w:left w:val="single" w:color="000000" w:sz="4" w:space="0"/>
              <w:bottom w:val="single" w:color="000000" w:sz="4" w:space="0"/>
              <w:right w:val="single" w:color="000000" w:sz="4" w:space="0"/>
            </w:tcBorders>
            <w:shd w:val="clear" w:color="auto" w:fill="FFFFFF"/>
          </w:tcPr>
          <w:p w14:paraId="00000013">
            <w:pPr>
              <w:jc w:val="center"/>
              <w:rPr>
                <w:rFonts w:ascii="Arial" w:hAnsi="Arial" w:eastAsia="Arial" w:cs="Arial"/>
                <w:b/>
              </w:rPr>
            </w:pPr>
            <w:r>
              <w:rPr>
                <w:rFonts w:ascii="Arial" w:hAnsi="Arial" w:eastAsia="Arial" w:cs="Arial"/>
                <w:b/>
                <w:rtl w:val="0"/>
              </w:rPr>
              <w:t>23H:59M DO DIA 0</w:t>
            </w:r>
            <w:r>
              <w:rPr>
                <w:rFonts w:hint="default" w:ascii="Arial" w:hAnsi="Arial" w:eastAsia="Arial" w:cs="Arial"/>
                <w:b/>
                <w:rtl w:val="0"/>
                <w:lang w:val="pt-BR"/>
              </w:rPr>
              <w:t>2</w:t>
            </w:r>
            <w:bookmarkStart w:id="63" w:name="_GoBack"/>
            <w:bookmarkEnd w:id="63"/>
            <w:r>
              <w:rPr>
                <w:rFonts w:ascii="Arial" w:hAnsi="Arial" w:eastAsia="Arial" w:cs="Arial"/>
                <w:b/>
                <w:rtl w:val="0"/>
              </w:rPr>
              <w:t>/04/2025 (HORÁRIO DE BRASÍLIA).</w:t>
            </w:r>
          </w:p>
        </w:tc>
      </w:tr>
      <w:tr w14:paraId="61D7D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20" w:hRule="atLeast"/>
        </w:trPr>
        <w:tc>
          <w:tcPr>
            <w:tcBorders>
              <w:top w:val="single" w:color="000000" w:sz="4" w:space="0"/>
              <w:left w:val="single" w:color="000000" w:sz="4" w:space="0"/>
              <w:bottom w:val="single" w:color="000000" w:sz="4" w:space="0"/>
              <w:right w:val="single" w:color="000000" w:sz="4" w:space="0"/>
            </w:tcBorders>
            <w:shd w:val="clear" w:color="auto" w:fill="F2F2F2"/>
            <w:vAlign w:val="center"/>
          </w:tcPr>
          <w:p w14:paraId="00000014">
            <w:pPr>
              <w:jc w:val="center"/>
              <w:rPr>
                <w:rFonts w:ascii="Arial" w:hAnsi="Arial" w:eastAsia="Arial" w:cs="Arial"/>
                <w:b/>
              </w:rPr>
            </w:pPr>
            <w:r>
              <w:rPr>
                <w:rFonts w:ascii="Arial" w:hAnsi="Arial" w:eastAsia="Arial" w:cs="Arial"/>
                <w:b/>
                <w:rtl w:val="0"/>
              </w:rPr>
              <w:t>DATA E HORA FINAL DAS PROPOSTAS:</w:t>
            </w:r>
          </w:p>
        </w:tc>
        <w:tc>
          <w:tcPr>
            <w:tcBorders>
              <w:top w:val="single" w:color="000000" w:sz="4" w:space="0"/>
              <w:left w:val="single" w:color="000000" w:sz="4" w:space="0"/>
              <w:bottom w:val="single" w:color="000000" w:sz="4" w:space="0"/>
              <w:right w:val="single" w:color="000000" w:sz="4" w:space="0"/>
            </w:tcBorders>
            <w:shd w:val="clear" w:color="auto" w:fill="FFFFFF"/>
          </w:tcPr>
          <w:p w14:paraId="00000015">
            <w:pPr>
              <w:jc w:val="center"/>
              <w:rPr>
                <w:rFonts w:ascii="Arial" w:hAnsi="Arial" w:eastAsia="Arial" w:cs="Arial"/>
                <w:b/>
              </w:rPr>
            </w:pPr>
            <w:r>
              <w:rPr>
                <w:rFonts w:ascii="Arial" w:hAnsi="Arial" w:eastAsia="Arial" w:cs="Arial"/>
                <w:b/>
                <w:rtl w:val="0"/>
              </w:rPr>
              <w:t>09H:00M DO DIA 07/04/2025 (HORÁRIO DE BRASÍLIA).</w:t>
            </w:r>
          </w:p>
        </w:tc>
      </w:tr>
      <w:tr w14:paraId="65EBA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20" w:hRule="atLeast"/>
        </w:trPr>
        <w:tc>
          <w:tcPr>
            <w:tcBorders>
              <w:top w:val="single" w:color="000000" w:sz="4" w:space="0"/>
              <w:left w:val="single" w:color="000000" w:sz="4" w:space="0"/>
              <w:bottom w:val="single" w:color="000000" w:sz="4" w:space="0"/>
              <w:right w:val="single" w:color="000000" w:sz="4" w:space="0"/>
            </w:tcBorders>
            <w:shd w:val="clear" w:color="auto" w:fill="F2F2F2"/>
            <w:vAlign w:val="center"/>
          </w:tcPr>
          <w:p w14:paraId="00000016">
            <w:pPr>
              <w:jc w:val="center"/>
              <w:rPr>
                <w:rFonts w:ascii="Arial" w:hAnsi="Arial" w:eastAsia="Arial" w:cs="Arial"/>
                <w:b/>
              </w:rPr>
            </w:pPr>
            <w:r>
              <w:rPr>
                <w:rFonts w:ascii="Arial" w:hAnsi="Arial" w:eastAsia="Arial" w:cs="Arial"/>
                <w:b/>
                <w:rtl w:val="0"/>
              </w:rPr>
              <w:t>DATA DE ABERTURA DAS PROPOSTAS – SESSÃO PÚBLICA:</w:t>
            </w:r>
          </w:p>
        </w:tc>
        <w:tc>
          <w:tcPr>
            <w:tcBorders>
              <w:top w:val="single" w:color="000000" w:sz="4" w:space="0"/>
              <w:left w:val="single" w:color="000000" w:sz="4" w:space="0"/>
              <w:bottom w:val="single" w:color="000000" w:sz="4" w:space="0"/>
              <w:right w:val="single" w:color="000000" w:sz="4" w:space="0"/>
            </w:tcBorders>
            <w:shd w:val="clear" w:color="auto" w:fill="auto"/>
          </w:tcPr>
          <w:p w14:paraId="00000017">
            <w:pPr>
              <w:jc w:val="center"/>
              <w:rPr>
                <w:rFonts w:ascii="Arial" w:hAnsi="Arial" w:eastAsia="Arial" w:cs="Arial"/>
                <w:b/>
              </w:rPr>
            </w:pPr>
            <w:r>
              <w:rPr>
                <w:rFonts w:ascii="Arial" w:hAnsi="Arial" w:eastAsia="Arial" w:cs="Arial"/>
                <w:b/>
                <w:rtl w:val="0"/>
              </w:rPr>
              <w:t>09H:01M DO DIA 07/04/2025 (HORÁRIO DE BRASÍLIA).</w:t>
            </w:r>
          </w:p>
        </w:tc>
      </w:tr>
      <w:tr w14:paraId="58DC2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20" w:hRule="atLeast"/>
        </w:trPr>
        <w:tc>
          <w:tcPr>
            <w:tcBorders>
              <w:top w:val="single" w:color="000000" w:sz="4" w:space="0"/>
              <w:left w:val="single" w:color="000000" w:sz="4" w:space="0"/>
              <w:bottom w:val="single" w:color="000000" w:sz="4" w:space="0"/>
              <w:right w:val="single" w:color="000000" w:sz="4" w:space="0"/>
            </w:tcBorders>
            <w:shd w:val="clear" w:color="auto" w:fill="F2F2F2"/>
            <w:vAlign w:val="center"/>
          </w:tcPr>
          <w:p w14:paraId="00000018">
            <w:pPr>
              <w:jc w:val="center"/>
              <w:rPr>
                <w:rFonts w:ascii="Arial" w:hAnsi="Arial" w:eastAsia="Arial" w:cs="Arial"/>
                <w:b/>
              </w:rPr>
            </w:pPr>
            <w:r>
              <w:rPr>
                <w:rFonts w:ascii="Arial" w:hAnsi="Arial" w:eastAsia="Arial" w:cs="Arial"/>
                <w:b/>
                <w:rtl w:val="0"/>
              </w:rPr>
              <w:t>LOCAL:</w:t>
            </w:r>
          </w:p>
        </w:tc>
        <w:tc>
          <w:tcPr>
            <w:tcBorders>
              <w:top w:val="single" w:color="000000" w:sz="4" w:space="0"/>
              <w:left w:val="single" w:color="000000" w:sz="4" w:space="0"/>
              <w:bottom w:val="single" w:color="000000" w:sz="4" w:space="0"/>
              <w:right w:val="single" w:color="000000" w:sz="4" w:space="0"/>
            </w:tcBorders>
            <w:shd w:val="clear" w:color="auto" w:fill="auto"/>
            <w:vAlign w:val="center"/>
          </w:tcPr>
          <w:p w14:paraId="00000019">
            <w:pPr>
              <w:jc w:val="center"/>
              <w:rPr>
                <w:rFonts w:ascii="Arial" w:hAnsi="Arial" w:eastAsia="Arial" w:cs="Arial"/>
                <w:b/>
              </w:rPr>
            </w:pPr>
          </w:p>
          <w:p w14:paraId="0000001A">
            <w:pPr>
              <w:jc w:val="center"/>
              <w:rPr>
                <w:rFonts w:ascii="Arial" w:hAnsi="Arial" w:eastAsia="Arial" w:cs="Arial"/>
                <w:b/>
              </w:rPr>
            </w:pPr>
            <w:r>
              <w:fldChar w:fldCharType="begin"/>
            </w:r>
            <w:r>
              <w:instrText xml:space="preserve"> HYPERLINK "http://www.portaldecompraspublicas.com.br" \h </w:instrText>
            </w:r>
            <w:r>
              <w:fldChar w:fldCharType="separate"/>
            </w:r>
            <w:r>
              <w:rPr>
                <w:rFonts w:ascii="Arial" w:hAnsi="Arial" w:eastAsia="Arial" w:cs="Arial"/>
                <w:b/>
                <w:color w:val="000080"/>
                <w:u w:val="single"/>
                <w:rtl w:val="0"/>
              </w:rPr>
              <w:t>www.portaldecompraspublicas.com.br</w:t>
            </w:r>
            <w:r>
              <w:rPr>
                <w:rFonts w:ascii="Arial" w:hAnsi="Arial" w:eastAsia="Arial" w:cs="Arial"/>
                <w:b/>
                <w:color w:val="000080"/>
                <w:u w:val="single"/>
                <w:rtl w:val="0"/>
              </w:rPr>
              <w:fldChar w:fldCharType="end"/>
            </w:r>
          </w:p>
          <w:p w14:paraId="0000001B">
            <w:pPr>
              <w:jc w:val="center"/>
              <w:rPr>
                <w:rFonts w:ascii="Arial" w:hAnsi="Arial" w:eastAsia="Arial" w:cs="Arial"/>
                <w:b/>
              </w:rPr>
            </w:pPr>
          </w:p>
        </w:tc>
      </w:tr>
      <w:tr w14:paraId="32531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20" w:hRule="atLeast"/>
        </w:trPr>
        <w:tc>
          <w:tcPr>
            <w:tcBorders>
              <w:top w:val="single" w:color="000000" w:sz="4" w:space="0"/>
              <w:left w:val="single" w:color="000000" w:sz="4" w:space="0"/>
              <w:bottom w:val="single" w:color="000000" w:sz="4" w:space="0"/>
              <w:right w:val="single" w:color="000000" w:sz="4" w:space="0"/>
            </w:tcBorders>
            <w:shd w:val="clear" w:color="auto" w:fill="F2F2F2"/>
            <w:vAlign w:val="center"/>
          </w:tcPr>
          <w:p w14:paraId="0000001C">
            <w:pPr>
              <w:jc w:val="center"/>
              <w:rPr>
                <w:rFonts w:ascii="Arial" w:hAnsi="Arial" w:eastAsia="Arial" w:cs="Arial"/>
                <w:b/>
              </w:rPr>
            </w:pPr>
            <w:r>
              <w:rPr>
                <w:rFonts w:ascii="Arial" w:hAnsi="Arial" w:eastAsia="Arial" w:cs="Arial"/>
                <w:b/>
                <w:rtl w:val="0"/>
              </w:rPr>
              <w:t>MODO DE DISPUTA:</w:t>
            </w:r>
          </w:p>
        </w:tc>
        <w:tc>
          <w:tcPr>
            <w:tcBorders>
              <w:top w:val="single" w:color="000000" w:sz="4" w:space="0"/>
              <w:left w:val="single" w:color="000000" w:sz="4" w:space="0"/>
              <w:bottom w:val="single" w:color="000000" w:sz="4" w:space="0"/>
              <w:right w:val="single" w:color="000000" w:sz="4" w:space="0"/>
            </w:tcBorders>
            <w:shd w:val="clear" w:color="auto" w:fill="auto"/>
            <w:vAlign w:val="center"/>
          </w:tcPr>
          <w:p w14:paraId="0000001D">
            <w:pPr>
              <w:jc w:val="center"/>
              <w:rPr>
                <w:rFonts w:ascii="Arial" w:hAnsi="Arial" w:eastAsia="Arial" w:cs="Arial"/>
                <w:b/>
              </w:rPr>
            </w:pPr>
            <w:r>
              <w:rPr>
                <w:rFonts w:ascii="Arial" w:hAnsi="Arial" w:eastAsia="Arial" w:cs="Arial"/>
                <w:b/>
                <w:rtl w:val="0"/>
              </w:rPr>
              <w:t>ABERTO E FECHADO.</w:t>
            </w:r>
          </w:p>
        </w:tc>
      </w:tr>
      <w:tr w14:paraId="5216A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20" w:hRule="atLeast"/>
        </w:trPr>
        <w:tc>
          <w:tcPr>
            <w:tcBorders>
              <w:top w:val="single" w:color="000000" w:sz="4" w:space="0"/>
              <w:left w:val="single" w:color="000000" w:sz="4" w:space="0"/>
              <w:bottom w:val="single" w:color="000000" w:sz="4" w:space="0"/>
              <w:right w:val="single" w:color="000000" w:sz="4" w:space="0"/>
            </w:tcBorders>
            <w:shd w:val="clear" w:color="auto" w:fill="F2F2F2"/>
            <w:vAlign w:val="center"/>
          </w:tcPr>
          <w:p w14:paraId="0000001E">
            <w:pPr>
              <w:jc w:val="center"/>
              <w:rPr>
                <w:rFonts w:ascii="Arial" w:hAnsi="Arial" w:eastAsia="Arial" w:cs="Arial"/>
                <w:b/>
              </w:rPr>
            </w:pPr>
            <w:r>
              <w:rPr>
                <w:rFonts w:ascii="Arial" w:hAnsi="Arial" w:eastAsia="Arial" w:cs="Arial"/>
                <w:b/>
                <w:rtl w:val="0"/>
              </w:rPr>
              <w:t>CRITERIO DE JULGAMENTO:</w:t>
            </w:r>
          </w:p>
        </w:tc>
        <w:tc>
          <w:tcPr>
            <w:tcBorders>
              <w:top w:val="single" w:color="000000" w:sz="4" w:space="0"/>
              <w:left w:val="single" w:color="000000" w:sz="4" w:space="0"/>
              <w:bottom w:val="single" w:color="000000" w:sz="4" w:space="0"/>
              <w:right w:val="single" w:color="000000" w:sz="4" w:space="0"/>
            </w:tcBorders>
            <w:shd w:val="clear" w:color="auto" w:fill="auto"/>
            <w:vAlign w:val="center"/>
          </w:tcPr>
          <w:p w14:paraId="0000001F">
            <w:pPr>
              <w:jc w:val="center"/>
              <w:rPr>
                <w:rFonts w:ascii="Arial" w:hAnsi="Arial" w:eastAsia="Arial" w:cs="Arial"/>
                <w:b/>
              </w:rPr>
            </w:pPr>
            <w:r>
              <w:rPr>
                <w:rFonts w:ascii="Arial" w:hAnsi="Arial" w:eastAsia="Arial" w:cs="Arial"/>
                <w:b/>
                <w:rtl w:val="0"/>
              </w:rPr>
              <w:t>MENOR PREÇO POR LOTE</w:t>
            </w:r>
          </w:p>
        </w:tc>
      </w:tr>
    </w:tbl>
    <w:p w14:paraId="00000020">
      <w:pPr>
        <w:keepNext/>
        <w:keepLines/>
        <w:pageBreakBefore w:val="0"/>
        <w:widowControl/>
        <w:numPr>
          <w:ilvl w:val="0"/>
          <w:numId w:val="2"/>
        </w:numPr>
        <w:pBdr>
          <w:top w:val="single" w:color="000000" w:sz="4" w:space="1"/>
          <w:left w:val="single" w:color="000000" w:sz="4" w:space="4"/>
          <w:bottom w:val="single" w:color="000000" w:sz="4" w:space="1"/>
          <w:right w:val="single" w:color="000000" w:sz="4" w:space="4"/>
          <w:between w:val="none" w:color="auto" w:sz="0" w:space="0"/>
        </w:pBdr>
        <w:shd w:val="clear" w:fill="BFBFBF"/>
        <w:tabs>
          <w:tab w:val="left" w:pos="567"/>
        </w:tabs>
        <w:spacing w:before="288" w:after="288" w:line="312" w:lineRule="auto"/>
        <w:ind w:left="360" w:right="0" w:hanging="360"/>
        <w:jc w:val="both"/>
      </w:pPr>
      <w:bookmarkStart w:id="1" w:name="_heading=h.mm24py7fndlm" w:colFirst="0" w:colLast="0"/>
      <w:bookmarkEnd w:id="1"/>
      <w:r>
        <w:rPr>
          <w:rFonts w:ascii="Arial" w:hAnsi="Arial" w:eastAsia="Arial" w:cs="Arial"/>
          <w:b/>
          <w:i w:val="0"/>
          <w:smallCaps w:val="0"/>
          <w:strike w:val="0"/>
          <w:color w:val="000000"/>
          <w:sz w:val="24"/>
          <w:szCs w:val="24"/>
          <w:u w:val="none"/>
          <w:shd w:val="clear" w:fill="auto"/>
          <w:vertAlign w:val="baseline"/>
          <w:rtl w:val="0"/>
        </w:rPr>
        <w:t>DA PARTICIPAÇÃO NA LICITAÇÃO</w:t>
      </w:r>
    </w:p>
    <w:p w14:paraId="00000021">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2" w:name="_heading=h.te0d4dqlf01d" w:colFirst="0" w:colLast="0"/>
      <w:bookmarkEnd w:id="2"/>
      <w:r>
        <w:rPr>
          <w:rFonts w:ascii="Arial" w:hAnsi="Arial" w:eastAsia="Arial" w:cs="Arial"/>
          <w:b w:val="0"/>
          <w:i w:val="0"/>
          <w:smallCaps w:val="0"/>
          <w:strike w:val="0"/>
          <w:color w:val="000000"/>
          <w:sz w:val="24"/>
          <w:szCs w:val="24"/>
          <w:u w:val="none"/>
          <w:shd w:val="clear" w:fill="auto"/>
          <w:vertAlign w:val="baseline"/>
          <w:rtl w:val="0"/>
        </w:rPr>
        <w:t>Poderão participar deste Pregão os interessados que estiverem previamente credenciados na página eletrônica:  www.portaldecompraspublicas.com.br</w:t>
      </w:r>
    </w:p>
    <w:p w14:paraId="00000022">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3" w:name="_heading=h.hdtvcxri08c7" w:colFirst="0" w:colLast="0"/>
      <w:bookmarkEnd w:id="3"/>
      <w:r>
        <w:rPr>
          <w:rFonts w:ascii="Arial" w:hAnsi="Arial" w:eastAsia="Arial" w:cs="Arial"/>
          <w:b w:val="0"/>
          <w:i w:val="0"/>
          <w:smallCaps w:val="0"/>
          <w:strike w:val="0"/>
          <w:color w:val="000000"/>
          <w:sz w:val="24"/>
          <w:szCs w:val="24"/>
          <w:u w:val="none"/>
          <w:shd w:val="clear" w:fill="auto"/>
          <w:vertAlign w:val="baseline"/>
          <w:rtl w:val="0"/>
        </w:rPr>
        <w:t>Os interessados deverão atender às condições exigidas no cadastramento na Plataforma do www.portaldecompraspublicas.com.br até o terceiro dia útil anterior à data prevista para recebimento das propostas.</w:t>
      </w:r>
    </w:p>
    <w:p w14:paraId="00000023">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0000024">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0000025">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não observância do disposto no item anterior poderá ensejar desclassificação no momento da habilitação.</w:t>
      </w:r>
    </w:p>
    <w:p w14:paraId="00000026">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Será concedido tratamento favorecido para as microempresas e empresas de pequeno porte, nos limites previstos da </w:t>
      </w:r>
      <w:r>
        <w:fldChar w:fldCharType="begin"/>
      </w:r>
      <w:r>
        <w:instrText xml:space="preserve"> HYPERLINK "https://www.planalto.gov.br/ccivil_03/leis/lcp/lcp123.htm"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Lei Complementar nº 123, de 2006</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xml:space="preserve"> e do Decreto n.º 8.538, de 2015.</w:t>
      </w:r>
    </w:p>
    <w:p w14:paraId="00000027">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4" w:name="_heading=h.nbm65tihbc3o" w:colFirst="0" w:colLast="0"/>
      <w:bookmarkEnd w:id="4"/>
      <w:r>
        <w:rPr>
          <w:rFonts w:ascii="Arial" w:hAnsi="Arial" w:eastAsia="Arial" w:cs="Arial"/>
          <w:b w:val="0"/>
          <w:i w:val="0"/>
          <w:smallCaps w:val="0"/>
          <w:strike w:val="0"/>
          <w:color w:val="000000"/>
          <w:sz w:val="24"/>
          <w:szCs w:val="24"/>
          <w:u w:val="none"/>
          <w:shd w:val="clear" w:fill="auto"/>
          <w:vertAlign w:val="baseline"/>
          <w:rtl w:val="0"/>
        </w:rPr>
        <w:t>Não poderão disputar esta licitação:</w:t>
      </w:r>
    </w:p>
    <w:p w14:paraId="00000028">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5" w:name="_heading=h.zg45m47357m4" w:colFirst="0" w:colLast="0"/>
      <w:bookmarkEnd w:id="5"/>
      <w:r>
        <w:rPr>
          <w:rFonts w:ascii="Arial" w:hAnsi="Arial" w:eastAsia="Arial" w:cs="Arial"/>
          <w:b w:val="0"/>
          <w:i w:val="0"/>
          <w:smallCaps w:val="0"/>
          <w:strike w:val="0"/>
          <w:color w:val="000000"/>
          <w:sz w:val="24"/>
          <w:szCs w:val="24"/>
          <w:u w:val="none"/>
          <w:shd w:val="clear" w:fill="auto"/>
          <w:vertAlign w:val="baseline"/>
          <w:rtl w:val="0"/>
        </w:rPr>
        <w:t>aquele que não atenda às condições deste Edital e seu(s) anexo(s);</w:t>
      </w:r>
    </w:p>
    <w:p w14:paraId="00000029">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6" w:name="_heading=h.2ppmkmuz96or" w:colFirst="0" w:colLast="0"/>
      <w:bookmarkEnd w:id="6"/>
      <w:r>
        <w:rPr>
          <w:rFonts w:ascii="Arial" w:hAnsi="Arial" w:eastAsia="Arial" w:cs="Arial"/>
          <w:b w:val="0"/>
          <w:i w:val="0"/>
          <w:smallCaps w:val="0"/>
          <w:strike w:val="0"/>
          <w:color w:val="000000"/>
          <w:sz w:val="24"/>
          <w:szCs w:val="24"/>
          <w:u w:val="none"/>
          <w:shd w:val="clear" w:fill="auto"/>
          <w:vertAlign w:val="baseline"/>
          <w:rtl w:val="0"/>
        </w:rPr>
        <w:t>autor do termo de referência, anteprojeto, do projeto básico ou do projeto executivo, pessoa física ou jurídica, quando a licitação versar sobre serviços ou fornecimento de bens a ele relacionados;</w:t>
      </w:r>
    </w:p>
    <w:p w14:paraId="0000002A">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7" w:name="_heading=h.y3l8f226gbv9" w:colFirst="0" w:colLast="0"/>
      <w:bookmarkEnd w:id="7"/>
      <w:r>
        <w:rPr>
          <w:rFonts w:ascii="Arial" w:hAnsi="Arial" w:eastAsia="Arial" w:cs="Arial"/>
          <w:b w:val="0"/>
          <w:i w:val="0"/>
          <w:smallCaps w:val="0"/>
          <w:strike w:val="0"/>
          <w:color w:val="000000"/>
          <w:sz w:val="24"/>
          <w:szCs w:val="24"/>
          <w:u w:val="none"/>
          <w:shd w:val="clear" w:fill="auto"/>
          <w:vertAlign w:val="baseline"/>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000002B">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8" w:name="_heading=h.sd3ffilmzw21" w:colFirst="0" w:colLast="0"/>
      <w:bookmarkEnd w:id="8"/>
      <w:r>
        <w:rPr>
          <w:rFonts w:ascii="Arial" w:hAnsi="Arial" w:eastAsia="Arial" w:cs="Arial"/>
          <w:b w:val="0"/>
          <w:i w:val="0"/>
          <w:smallCaps w:val="0"/>
          <w:strike w:val="0"/>
          <w:color w:val="000000"/>
          <w:sz w:val="24"/>
          <w:szCs w:val="24"/>
          <w:u w:val="none"/>
          <w:shd w:val="clear" w:fill="auto"/>
          <w:vertAlign w:val="baseline"/>
          <w:rtl w:val="0"/>
        </w:rPr>
        <w:t>pessoa física ou jurídica que se encontre, ao tempo da licitação, impossibilitada de participar da licitação em decorrência de sanção que lhe foi imposta;</w:t>
      </w:r>
    </w:p>
    <w:p w14:paraId="0000002C">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00002D">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9" w:name="_heading=h.9n979nx9aqd0" w:colFirst="0" w:colLast="0"/>
      <w:bookmarkEnd w:id="9"/>
      <w:r>
        <w:rPr>
          <w:rFonts w:ascii="Arial" w:hAnsi="Arial" w:eastAsia="Arial" w:cs="Arial"/>
          <w:b w:val="0"/>
          <w:i w:val="0"/>
          <w:smallCaps w:val="0"/>
          <w:strike w:val="0"/>
          <w:color w:val="000000"/>
          <w:sz w:val="24"/>
          <w:szCs w:val="24"/>
          <w:u w:val="none"/>
          <w:shd w:val="clear" w:fill="auto"/>
          <w:vertAlign w:val="baseline"/>
          <w:rtl w:val="0"/>
        </w:rPr>
        <w:t>empresas controladoras, controladas ou coligadas, nos termos da Lei nº 6.404, de 15 de dezembro de 1976, concorrendo entre si;</w:t>
      </w:r>
    </w:p>
    <w:p w14:paraId="0000002E">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00002F">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10" w:name="_heading=h.pfxu90bk9m95" w:colFirst="0" w:colLast="0"/>
      <w:bookmarkEnd w:id="10"/>
      <w:r>
        <w:rPr>
          <w:rFonts w:ascii="Arial" w:hAnsi="Arial" w:eastAsia="Arial" w:cs="Arial"/>
          <w:b w:val="0"/>
          <w:i w:val="0"/>
          <w:smallCaps w:val="0"/>
          <w:strike w:val="0"/>
          <w:color w:val="000000"/>
          <w:sz w:val="24"/>
          <w:szCs w:val="24"/>
          <w:u w:val="none"/>
          <w:shd w:val="clear" w:fill="auto"/>
          <w:vertAlign w:val="baseline"/>
          <w:rtl w:val="0"/>
        </w:rPr>
        <w:t>agente público do órgão ou entidade licitante;</w:t>
      </w:r>
    </w:p>
    <w:p w14:paraId="00000030">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smallCaps w:val="0"/>
          <w:strike w:val="0"/>
          <w:color w:val="000000"/>
          <w:sz w:val="24"/>
          <w:szCs w:val="24"/>
          <w:u w:val="none"/>
          <w:shd w:val="clear" w:fill="auto"/>
          <w:vertAlign w:val="baseline"/>
          <w:rtl w:val="0"/>
        </w:rPr>
        <w:t>pessoas jurídicas reunidas em consórcio;</w:t>
      </w:r>
    </w:p>
    <w:p w14:paraId="00000031">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Organizações da Sociedade Civil de Interesse Público - OSCIP, atuando nessa condição;</w:t>
      </w:r>
    </w:p>
    <w:p w14:paraId="00000032">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"http://www.planalto.gov.br/ccivil_03/_ato2019-2022/2021/lei/L14133.htm#art9%C2%A71"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 1º do art. 9º da Lei nº 14.133, de 2021</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33">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0000034">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11" w:name="bookmark=id.hsws2g5zyl9r" w:colFirst="0" w:colLast="0"/>
      <w:bookmarkEnd w:id="11"/>
      <w:r>
        <w:rPr>
          <w:rFonts w:ascii="Arial" w:hAnsi="Arial" w:eastAsia="Arial" w:cs="Arial"/>
          <w:b w:val="0"/>
          <w:i w:val="0"/>
          <w:smallCaps w:val="0"/>
          <w:strike w:val="0"/>
          <w:color w:val="000000"/>
          <w:sz w:val="24"/>
          <w:szCs w:val="24"/>
          <w:u w:val="none"/>
          <w:shd w:val="clear" w:fill="auto"/>
          <w:vertAlign w:val="baseline"/>
          <w:rtl w:val="0"/>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00000035">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12" w:name="bookmark=id.bopeznuz0gz3" w:colFirst="0" w:colLast="0"/>
      <w:bookmarkEnd w:id="12"/>
      <w:r>
        <w:rPr>
          <w:rFonts w:ascii="Arial" w:hAnsi="Arial" w:eastAsia="Arial" w:cs="Arial"/>
          <w:b w:val="0"/>
          <w:i w:val="0"/>
          <w:smallCaps w:val="0"/>
          <w:strike w:val="0"/>
          <w:color w:val="000000"/>
          <w:sz w:val="24"/>
          <w:szCs w:val="24"/>
          <w:u w:val="none"/>
          <w:shd w:val="clear" w:fill="auto"/>
          <w:vertAlign w:val="baseline"/>
          <w:rtl w:val="0"/>
        </w:rPr>
        <w:t>Equiparam-se aos autores do projeto as empresas integrantes do mesmo grupo econômico.</w:t>
      </w:r>
    </w:p>
    <w:p w14:paraId="00000036">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13" w:name="bookmark=id.jtxj55ea8km7" w:colFirst="0" w:colLast="0"/>
      <w:bookmarkEnd w:id="13"/>
      <w:r>
        <w:rPr>
          <w:rFonts w:ascii="Arial" w:hAnsi="Arial" w:eastAsia="Arial" w:cs="Arial"/>
          <w:b w:val="0"/>
          <w:i w:val="0"/>
          <w:smallCaps w:val="0"/>
          <w:strike w:val="0"/>
          <w:color w:val="000000"/>
          <w:sz w:val="24"/>
          <w:szCs w:val="24"/>
          <w:u w:val="none"/>
          <w:shd w:val="clear" w:fill="auto"/>
          <w:vertAlign w:val="baseline"/>
          <w:rtl w:val="0"/>
        </w:rPr>
        <w:t>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00000037">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14" w:name="bookmark=id.y1toinevn1t3" w:colFirst="0" w:colLast="0"/>
      <w:bookmarkEnd w:id="14"/>
      <w:r>
        <w:rPr>
          <w:rFonts w:ascii="Arial" w:hAnsi="Arial" w:eastAsia="Arial" w:cs="Arial"/>
          <w:b w:val="0"/>
          <w:i w:val="0"/>
          <w:smallCaps w:val="0"/>
          <w:strike w:val="0"/>
          <w:color w:val="000000"/>
          <w:sz w:val="24"/>
          <w:szCs w:val="24"/>
          <w:u w:val="none"/>
          <w:shd w:val="clear" w:fill="auto"/>
          <w:vertAlign w:val="baseline"/>
          <w:rtl w:val="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Lei nº 14.133/2021</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38">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vedação de que trata o item 3.7.8 estende-se a terceiro que auxilie a condução da contratação na qualidade de integrante de equipe de apoio, profissional especializado ou funcionário ou representante de empresa que preste assessoria técnica.</w:t>
      </w:r>
    </w:p>
    <w:p w14:paraId="00000039">
      <w:pPr>
        <w:keepNext/>
        <w:keepLines/>
        <w:pageBreakBefore w:val="0"/>
        <w:widowControl/>
        <w:numPr>
          <w:ilvl w:val="0"/>
          <w:numId w:val="2"/>
        </w:numPr>
        <w:pBdr>
          <w:top w:val="single" w:color="000000" w:sz="4" w:space="1"/>
          <w:left w:val="single" w:color="000000" w:sz="4" w:space="4"/>
          <w:bottom w:val="single" w:color="000000" w:sz="4" w:space="1"/>
          <w:right w:val="single" w:color="000000" w:sz="4" w:space="4"/>
          <w:between w:val="none" w:color="auto" w:sz="0" w:space="0"/>
        </w:pBdr>
        <w:shd w:val="clear" w:fill="BFBFBF"/>
        <w:tabs>
          <w:tab w:val="left" w:pos="567"/>
        </w:tabs>
        <w:spacing w:before="288" w:after="288" w:line="312" w:lineRule="auto"/>
        <w:ind w:left="360" w:right="0" w:hanging="360"/>
        <w:jc w:val="both"/>
      </w:pPr>
      <w:bookmarkStart w:id="15" w:name="_heading=h.5lhbwj9a5md9" w:colFirst="0" w:colLast="0"/>
      <w:bookmarkEnd w:id="15"/>
      <w:r>
        <w:rPr>
          <w:rFonts w:ascii="Arial" w:hAnsi="Arial" w:eastAsia="Arial" w:cs="Arial"/>
          <w:b/>
          <w:i w:val="0"/>
          <w:smallCaps w:val="0"/>
          <w:strike w:val="0"/>
          <w:color w:val="000000"/>
          <w:sz w:val="24"/>
          <w:szCs w:val="24"/>
          <w:u w:val="none"/>
          <w:shd w:val="clear" w:fill="auto"/>
          <w:vertAlign w:val="baseline"/>
          <w:rtl w:val="0"/>
        </w:rPr>
        <w:t>DA APRESENTAÇÃO DA PROPOSTA E DOS DOCUMENTOS DE HABILITAÇÃO</w:t>
      </w:r>
    </w:p>
    <w:p w14:paraId="0000003A">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smallCaps w:val="0"/>
          <w:strike w:val="0"/>
          <w:color w:val="000000"/>
          <w:sz w:val="24"/>
          <w:szCs w:val="24"/>
          <w:u w:val="none"/>
          <w:shd w:val="clear" w:fill="auto"/>
          <w:vertAlign w:val="baseline"/>
          <w:rtl w:val="0"/>
        </w:rPr>
        <w:t>Na presente licitação, a fase de habilitação sucederá as fases de apresentação de propostas e lances e de julgamento.</w:t>
      </w:r>
    </w:p>
    <w:p w14:paraId="0000003B">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16" w:name="_heading=h.6svx5ai6qbkg" w:colFirst="0" w:colLast="0"/>
      <w:bookmarkEnd w:id="16"/>
      <w:r>
        <w:rPr>
          <w:rFonts w:ascii="Arial" w:hAnsi="Arial" w:eastAsia="Arial" w:cs="Arial"/>
          <w:b w:val="0"/>
          <w:i w:val="0"/>
          <w:smallCaps w:val="0"/>
          <w:strike w:val="0"/>
          <w:color w:val="000000"/>
          <w:sz w:val="24"/>
          <w:szCs w:val="24"/>
          <w:u w:val="none"/>
          <w:shd w:val="clear" w:fill="auto"/>
          <w:vertAlign w:val="baseline"/>
          <w:rtl w:val="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0000003C">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17" w:name="_heading=h.a1fb4kjwq8q5" w:colFirst="0" w:colLast="0"/>
      <w:bookmarkEnd w:id="17"/>
      <w:r>
        <w:rPr>
          <w:rFonts w:ascii="Arial" w:hAnsi="Arial" w:eastAsia="Arial" w:cs="Arial"/>
          <w:b w:val="0"/>
          <w:i w:val="0"/>
          <w:smallCaps w:val="0"/>
          <w:strike w:val="0"/>
          <w:color w:val="000000"/>
          <w:sz w:val="24"/>
          <w:szCs w:val="24"/>
          <w:u w:val="none"/>
          <w:shd w:val="clear" w:fill="auto"/>
          <w:vertAlign w:val="baseline"/>
          <w:rtl w:val="0"/>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8.1.1 e 8.13.1 deste Edital.</w:t>
      </w:r>
    </w:p>
    <w:p w14:paraId="0000003D">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18" w:name="_heading=h.69l48d8nwb9h" w:colFirst="0" w:colLast="0"/>
      <w:bookmarkEnd w:id="18"/>
      <w:r>
        <w:rPr>
          <w:rFonts w:ascii="Arial" w:hAnsi="Arial" w:eastAsia="Arial" w:cs="Arial"/>
          <w:b w:val="0"/>
          <w:i w:val="0"/>
          <w:smallCaps w:val="0"/>
          <w:strike w:val="0"/>
          <w:color w:val="000000"/>
          <w:sz w:val="24"/>
          <w:szCs w:val="24"/>
          <w:u w:val="none"/>
          <w:shd w:val="clear" w:fill="auto"/>
          <w:vertAlign w:val="baseline"/>
          <w:rtl w:val="0"/>
        </w:rPr>
        <w:t>No cadastramento da proposta inicial, o licitante declarará, em campo próprio do sistema, que:</w:t>
      </w:r>
    </w:p>
    <w:p w14:paraId="0000003E">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288" w:after="288" w:line="312" w:lineRule="auto"/>
        <w:ind w:left="0" w:right="0" w:firstLine="709"/>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000003F">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"https://www.planalto.gov.br/ccivil_03/constituicao/constituicaocompilado.htm#art7"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artigo 7°, XXXIII, da Constituição</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40">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não possui empregados executando trabalho degradante ou forçado, observando o disposto nos </w:t>
      </w:r>
      <w:r>
        <w:fldChar w:fldCharType="begin"/>
      </w:r>
      <w:r>
        <w:instrText xml:space="preserve"> HYPERLINK "https://www.planalto.gov.br/ccivil_03/constituicao/constituicaocompilado.htm"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incisos III e IV do art. 1º e no inciso III do art. 5º da Constituição Federal</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41">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cumpre as exigências de reserva de cargos para pessoa com deficiência e para reabilitado da Previdência Social, previstas em lei e em outras normas específicas.</w:t>
      </w:r>
    </w:p>
    <w:p w14:paraId="00000042">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"http://www.planalto.gov.br/ccivil_03/_ato2019-2022/2021/lei/L14133.htm#art16"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artigo 16 da Lei nº 14.133, de 2021</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43">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19" w:name="_heading=h.4tva0ukn1b1" w:colFirst="0" w:colLast="0"/>
      <w:bookmarkEnd w:id="19"/>
      <w:r>
        <w:rPr>
          <w:rFonts w:ascii="Arial" w:hAnsi="Arial" w:eastAsia="Arial" w:cs="Arial"/>
          <w:b w:val="0"/>
          <w:i w:val="0"/>
          <w:smallCaps w:val="0"/>
          <w:strike w:val="0"/>
          <w:color w:val="000000"/>
          <w:sz w:val="24"/>
          <w:szCs w:val="24"/>
          <w:u w:val="none"/>
          <w:shd w:val="clear" w:fill="auto"/>
          <w:vertAlign w:val="baseline"/>
          <w:rtl w:val="0"/>
        </w:rPr>
        <w:t xml:space="preserve">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"https://www.planalto.gov.br/ccivil_03/leis/lcp/lcp123.htm#art3"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artigo 3° da Lei Complementar nº 123, de 2006</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xml:space="preserve">, estando apto a usufruir do tratamento favorecido estabelecido em seus </w:t>
      </w:r>
      <w:r>
        <w:fldChar w:fldCharType="begin"/>
      </w:r>
      <w:r>
        <w:instrText xml:space="preserve"> HYPERLINK "https://www.planalto.gov.br/ccivil_03/leis/lcp/lcp123.htm#art42"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arts. 42 a 49</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xml:space="preserve">, observado o disposto nos </w:t>
      </w:r>
      <w:r>
        <w:fldChar w:fldCharType="begin"/>
      </w:r>
      <w:r>
        <w:instrText xml:space="preserve"> HYPERLINK "http://www.planalto.gov.br/ccivil_03/_ato2019-2022/2021/lei/L14133.htm#art4%C2%A71"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 1º ao 3º do art. 4º, da Lei n.º 14.133, de 2021.</w:t>
      </w:r>
      <w:r>
        <w:rPr>
          <w:rFonts w:ascii="Arial" w:hAnsi="Arial" w:eastAsia="Arial" w:cs="Arial"/>
          <w:b w:val="0"/>
          <w:i w:val="0"/>
          <w:smallCaps w:val="0"/>
          <w:strike w:val="0"/>
          <w:color w:val="000000"/>
          <w:sz w:val="24"/>
          <w:szCs w:val="24"/>
          <w:u w:val="single"/>
          <w:shd w:val="clear" w:fill="auto"/>
          <w:vertAlign w:val="baseline"/>
          <w:rtl w:val="0"/>
        </w:rPr>
        <w:fldChar w:fldCharType="end"/>
      </w:r>
    </w:p>
    <w:p w14:paraId="00000044">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no item exclusivo para participação de microempresas e empresas de pequeno porte, a assinalação do campo “não” impedirá o prosseguimento no certame, para aquele item;</w:t>
      </w:r>
    </w:p>
    <w:p w14:paraId="00000045">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Lei Complementar nº 123, de 2006</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mesmo que microempresa, empresa de pequeno porte ou sociedade cooperativa.</w:t>
      </w:r>
    </w:p>
    <w:p w14:paraId="00000046">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 falsidade da declaração de que trata os itens 4.4 ou 4.6 sujeitará o licitante às sanções previstas na </w:t>
      </w:r>
      <w:r>
        <w:fldChar w:fldCharType="begin"/>
      </w:r>
      <w:r>
        <w:instrText xml:space="preserve"> HYPERLINK "http://www.planalto.gov.br/ccivil_03/_ato2019-2022/2021/lei/L14133.htm"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Lei nº 14.133, de 2021</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e neste Edital.</w:t>
      </w:r>
    </w:p>
    <w:p w14:paraId="00000047">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0000048">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Não haverá ordem de classificação na etapa de apresentação da proposta e dos documentos de habilitação pelo licitante, o que ocorrerá somente após os procedimentos de abertura da sessão pública e da fase de envio de lances.</w:t>
      </w:r>
    </w:p>
    <w:p w14:paraId="00000049">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Serão disponibilizados para acesso público os documentos que compõem a proposta dos licitantes convocados para apresentação de propostas, após a fase de envio de lances.</w:t>
      </w:r>
    </w:p>
    <w:p w14:paraId="0000004A">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20" w:name="_heading=h.rfxaib58irwz" w:colFirst="0" w:colLast="0"/>
      <w:bookmarkEnd w:id="20"/>
      <w:r>
        <w:rPr>
          <w:rFonts w:ascii="Arial" w:hAnsi="Arial" w:eastAsia="Arial" w:cs="Arial"/>
          <w:b w:val="0"/>
          <w:i w:val="0"/>
          <w:smallCaps w:val="0"/>
          <w:strike w:val="0"/>
          <w:color w:val="000000"/>
          <w:sz w:val="24"/>
          <w:szCs w:val="24"/>
          <w:u w:val="none"/>
          <w:shd w:val="clear" w:fill="auto"/>
          <w:vertAlign w:val="baseline"/>
          <w:rtl w:val="0"/>
        </w:rPr>
        <w:t>Desde que disponibilizada a funcionalidade no sistema, o licitante poderá parametrizar o seu valor final mínimo ou o seu percentual de desconto máximo quando do cadastramento da proposta e obedecerá às seguintes regras:</w:t>
      </w:r>
    </w:p>
    <w:p w14:paraId="0000004B">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aplicação do intervalo mínimo de diferença de valores ou de percentuais entre os lances, que incidirá tanto em relação aos lances intermediários quanto em relação ao lance que cobrir a melhor oferta; e</w:t>
      </w:r>
    </w:p>
    <w:p w14:paraId="0000004C">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lances serão de envio automático pelo sistema, respeitado o valor final mínimo, caso estabelecido, e o intervalo de que trata o subitem acima.</w:t>
      </w:r>
    </w:p>
    <w:p w14:paraId="0000004D">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valor final mínimo ou o percentual de desconto final máximo parametrizado no sistema poderá ser alterado pelo fornecedor durante a fase de disputa, sendo vedado:</w:t>
      </w:r>
    </w:p>
    <w:p w14:paraId="0000004E">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valor superior a lance já registrado pelo fornecedor no sistema, quando adotado o critério de julgamento por menor preço; e</w:t>
      </w:r>
    </w:p>
    <w:p w14:paraId="0000004F">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 percentual de desconto inferior a lance já registrado pelo fornecedor no sistema, quando adotado o critério de julgamento por maior desconto.</w:t>
      </w:r>
    </w:p>
    <w:p w14:paraId="00000050">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00000051">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0000052">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licitante deverá comunicar imediatamente ao provedor do sistema qualquer acontecimento que possa comprometer o sigilo ou a segurança, para imediato bloqueio de acesso.</w:t>
      </w:r>
    </w:p>
    <w:p w14:paraId="00000053">
      <w:pPr>
        <w:keepNext/>
        <w:keepLines/>
        <w:pageBreakBefore w:val="0"/>
        <w:widowControl/>
        <w:numPr>
          <w:ilvl w:val="0"/>
          <w:numId w:val="2"/>
        </w:numPr>
        <w:pBdr>
          <w:top w:val="single" w:color="000000" w:sz="4" w:space="1"/>
          <w:left w:val="single" w:color="000000" w:sz="4" w:space="4"/>
          <w:bottom w:val="single" w:color="000000" w:sz="4" w:space="1"/>
          <w:right w:val="single" w:color="000000" w:sz="4" w:space="4"/>
          <w:between w:val="none" w:color="auto" w:sz="0" w:space="0"/>
        </w:pBdr>
        <w:shd w:val="clear" w:fill="BFBFBF"/>
        <w:tabs>
          <w:tab w:val="left" w:pos="567"/>
        </w:tabs>
        <w:spacing w:before="288" w:after="288" w:line="312" w:lineRule="auto"/>
        <w:ind w:left="360" w:right="0" w:hanging="360"/>
        <w:jc w:val="both"/>
      </w:pPr>
      <w:bookmarkStart w:id="21" w:name="_heading=h.su4kd143ndho" w:colFirst="0" w:colLast="0"/>
      <w:bookmarkEnd w:id="21"/>
      <w:r>
        <w:rPr>
          <w:rFonts w:ascii="Arial" w:hAnsi="Arial" w:eastAsia="Arial" w:cs="Arial"/>
          <w:b/>
          <w:i w:val="0"/>
          <w:smallCaps w:val="0"/>
          <w:strike w:val="0"/>
          <w:color w:val="000000"/>
          <w:sz w:val="24"/>
          <w:szCs w:val="24"/>
          <w:u w:val="none"/>
          <w:shd w:val="clear" w:fill="auto"/>
          <w:vertAlign w:val="baseline"/>
          <w:rtl w:val="0"/>
        </w:rPr>
        <w:t>DO PREENCHIMENTO DA PROPOSTA</w:t>
      </w:r>
    </w:p>
    <w:p w14:paraId="00000054">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licitante deverá enviar sua proposta mediante o preenchimento, no sistema eletrônico, dos seguintes campos:</w:t>
      </w:r>
    </w:p>
    <w:p w14:paraId="0000005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p>
    <w:p w14:paraId="00000056">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568"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Valor unitário e total para cada item ou lote de itens (conforme o caso), em moeda corrente nacional;</w:t>
      </w:r>
    </w:p>
    <w:p w14:paraId="00000057">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Marca de cada item ofertado;</w:t>
      </w:r>
    </w:p>
    <w:p w14:paraId="00000058">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Fabricante de cada item ofertado;</w:t>
      </w:r>
    </w:p>
    <w:p w14:paraId="00000059">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0000005A">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Todas as especificações do objeto contidas na proposta vinculam a Contratada.</w:t>
      </w:r>
    </w:p>
    <w:p w14:paraId="0000005B">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Nos valores propostos estarão inclusos todos os custos operacionais, encargos previdenciários, trabalhistas, tributários, comerciais e quaisquer outros que incidam direta ou indiretamente na execução do objeto.</w:t>
      </w:r>
    </w:p>
    <w:p w14:paraId="0000005C">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preços ofertados, tanto na proposta inicial, quanto na etapa de lances, serão de exclusiva responsabilidade do licitante, não lhe assistindo o direito de pleitear qualquer alteração, sob alegação de erro, omissão ou qualquer outro pretexto.</w:t>
      </w:r>
    </w:p>
    <w:p w14:paraId="0000005D">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Se o regime tributário da empresa implicar o recolhimento de tributos em percentuais variáveis, a cotação adequada será a que corresponde à média dos efetivos recolhimentos da empresa nos últimos doze meses. </w:t>
      </w:r>
    </w:p>
    <w:p w14:paraId="0000005E">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Independentemente do percentual de tributo inserido na planilha, no pagamento serão retidos na fonte os percentuais estabelecidos na legislação vigente.</w:t>
      </w:r>
    </w:p>
    <w:p w14:paraId="0000005F">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smallCaps w:val="0"/>
          <w:strike w:val="0"/>
          <w:color w:val="000000"/>
          <w:sz w:val="24"/>
          <w:szCs w:val="24"/>
          <w:u w:val="none"/>
          <w:shd w:val="clear" w:fill="auto"/>
          <w:vertAlign w:val="baseline"/>
          <w:rtl w:val="0"/>
        </w:rPr>
        <w:t>Na presente licitação, a Microempresa e a Empresa de Pequeno Porte poderão se beneficiar do regime de tributação pelo Simples Nacional.</w:t>
      </w:r>
    </w:p>
    <w:p w14:paraId="00000060">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0000061">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O prazo de validade da proposta não será inferior a </w:t>
      </w:r>
      <w:r>
        <w:rPr>
          <w:rFonts w:ascii="Arial" w:hAnsi="Arial" w:eastAsia="Arial" w:cs="Arial"/>
          <w:b/>
          <w:i w:val="0"/>
          <w:smallCaps w:val="0"/>
          <w:strike w:val="0"/>
          <w:color w:val="000000"/>
          <w:sz w:val="24"/>
          <w:szCs w:val="24"/>
          <w:u w:val="none"/>
          <w:shd w:val="clear" w:fill="auto"/>
          <w:vertAlign w:val="baseline"/>
          <w:rtl w:val="0"/>
        </w:rPr>
        <w:t>60 (sessenta)</w:t>
      </w:r>
      <w:r>
        <w:rPr>
          <w:rFonts w:ascii="Arial" w:hAnsi="Arial" w:eastAsia="Arial" w:cs="Arial"/>
          <w:b w:val="0"/>
          <w:i w:val="0"/>
          <w:smallCaps w:val="0"/>
          <w:strike w:val="0"/>
          <w:color w:val="000000"/>
          <w:sz w:val="24"/>
          <w:szCs w:val="24"/>
          <w:u w:val="none"/>
          <w:shd w:val="clear" w:fill="auto"/>
          <w:vertAlign w:val="baseline"/>
          <w:rtl w:val="0"/>
        </w:rPr>
        <w:t xml:space="preserve"> dias</w:t>
      </w:r>
      <w:r>
        <w:rPr>
          <w:rFonts w:ascii="Arial" w:hAnsi="Arial" w:eastAsia="Arial" w:cs="Arial"/>
          <w:b/>
          <w:i w:val="0"/>
          <w:smallCaps w:val="0"/>
          <w:strike w:val="0"/>
          <w:color w:val="000000"/>
          <w:sz w:val="24"/>
          <w:szCs w:val="24"/>
          <w:u w:val="none"/>
          <w:shd w:val="clear" w:fill="auto"/>
          <w:vertAlign w:val="baseline"/>
          <w:rtl w:val="0"/>
        </w:rPr>
        <w:t>,</w:t>
      </w:r>
      <w:r>
        <w:rPr>
          <w:rFonts w:ascii="Arial" w:hAnsi="Arial" w:eastAsia="Arial" w:cs="Arial"/>
          <w:b w:val="0"/>
          <w:i w:val="0"/>
          <w:smallCaps w:val="0"/>
          <w:strike w:val="0"/>
          <w:color w:val="000000"/>
          <w:sz w:val="24"/>
          <w:szCs w:val="24"/>
          <w:u w:val="none"/>
          <w:shd w:val="clear" w:fill="auto"/>
          <w:vertAlign w:val="baseline"/>
          <w:rtl w:val="0"/>
        </w:rPr>
        <w:t xml:space="preserve"> a contar da data de sua apresentação.</w:t>
      </w:r>
    </w:p>
    <w:p w14:paraId="00000062">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licitantes devem respeitar os preços máximos estabelecidos nas normas de regência de contratações públicas federais, quando participarem de licitações públicas;</w:t>
      </w:r>
    </w:p>
    <w:p w14:paraId="00000063">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Caso o critério de julgamento seja o de maior desconto, o preço já decorrente da aplicação do desconto ofertado deverá respeitar os preços máximos previstos no item 4.9.</w:t>
      </w:r>
    </w:p>
    <w:p w14:paraId="00000064">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art. 71, inciso IX, da Constituição</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ou condenação dos agentes públicos responsáveis e da empresa contratada ao pagamento dos prejuízos ao erário, caso verificada a ocorrência de superfaturamento por sobrepreço na execução do contrato.</w:t>
      </w:r>
    </w:p>
    <w:p w14:paraId="00000065">
      <w:pPr>
        <w:keepNext/>
        <w:keepLines/>
        <w:pageBreakBefore w:val="0"/>
        <w:widowControl/>
        <w:numPr>
          <w:ilvl w:val="0"/>
          <w:numId w:val="2"/>
        </w:numPr>
        <w:pBdr>
          <w:top w:val="single" w:color="000000" w:sz="4" w:space="1"/>
          <w:left w:val="single" w:color="000000" w:sz="4" w:space="4"/>
          <w:bottom w:val="single" w:color="000000" w:sz="4" w:space="1"/>
          <w:right w:val="single" w:color="000000" w:sz="4" w:space="4"/>
          <w:between w:val="none" w:color="auto" w:sz="0" w:space="0"/>
        </w:pBdr>
        <w:shd w:val="clear" w:fill="BFBFBF"/>
        <w:tabs>
          <w:tab w:val="left" w:pos="567"/>
        </w:tabs>
        <w:spacing w:before="288" w:after="288" w:line="312" w:lineRule="auto"/>
        <w:ind w:left="360" w:right="0" w:hanging="360"/>
        <w:jc w:val="both"/>
      </w:pPr>
      <w:bookmarkStart w:id="22" w:name="_heading=h.1oiac7ogif6" w:colFirst="0" w:colLast="0"/>
      <w:bookmarkEnd w:id="22"/>
      <w:r>
        <w:rPr>
          <w:rFonts w:ascii="Arial" w:hAnsi="Arial" w:eastAsia="Arial" w:cs="Arial"/>
          <w:b/>
          <w:i w:val="0"/>
          <w:smallCaps w:val="0"/>
          <w:strike w:val="0"/>
          <w:color w:val="000000"/>
          <w:sz w:val="24"/>
          <w:szCs w:val="24"/>
          <w:u w:val="none"/>
          <w:shd w:val="clear" w:fill="auto"/>
          <w:vertAlign w:val="baseline"/>
          <w:rtl w:val="0"/>
        </w:rPr>
        <w:t>DA ABERTURA DA SESSÃO, CLASSIFICAÇÃO DAS PROPOSTAS E FORMULAÇÃO DE LANCES.</w:t>
      </w:r>
    </w:p>
    <w:p w14:paraId="00000066">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23" w:name="_heading=h.3lwlxjycp5la" w:colFirst="0" w:colLast="0"/>
      <w:bookmarkEnd w:id="23"/>
      <w:r>
        <w:rPr>
          <w:rFonts w:ascii="Arial" w:hAnsi="Arial" w:eastAsia="Arial" w:cs="Arial"/>
          <w:b w:val="0"/>
          <w:i w:val="0"/>
          <w:smallCaps w:val="0"/>
          <w:strike w:val="0"/>
          <w:color w:val="000000"/>
          <w:sz w:val="24"/>
          <w:szCs w:val="24"/>
          <w:u w:val="none"/>
          <w:shd w:val="clear" w:fill="auto"/>
          <w:vertAlign w:val="baseline"/>
          <w:rtl w:val="0"/>
        </w:rPr>
        <w:t>A abertura da presente licitação dar-se-á automaticamente em sessão pública, por meio de sistema eletrônico, na data, horário e local indicados neste Edital.</w:t>
      </w:r>
    </w:p>
    <w:p w14:paraId="00000067">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licitantes poderão retirar ou substituir a proposta ou os documentos de habilitação, quando for o caso, anteriormente inseridos no sistema, até a abertura da sessão pública.</w:t>
      </w:r>
    </w:p>
    <w:p w14:paraId="00000068">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sistema disponibilizará campo próprio para troca de mensagens entre o Pregoeiro e os licitantes.</w:t>
      </w:r>
    </w:p>
    <w:p w14:paraId="00000069">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Iniciada a etapa competitiva, os licitantes deverão encaminhar lances exclusivamente por meio de sistema eletrônico, sendo imediatamente informados do seu recebimento e do valor consignado no registro. </w:t>
      </w:r>
    </w:p>
    <w:p w14:paraId="0000006A">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lance deverá ser ofertado pelo valor unitário do item</w:t>
      </w:r>
    </w:p>
    <w:p w14:paraId="0000006B">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licitantes poderão oferecer lances sucessivos, observando o horário fixado para abertura da sessão e as regras estabelecidas no Edital.</w:t>
      </w:r>
    </w:p>
    <w:p w14:paraId="0000006C">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O licitante somente poderá oferecer lance </w:t>
      </w:r>
      <w:r>
        <w:rPr>
          <w:rFonts w:ascii="Arial" w:hAnsi="Arial" w:eastAsia="Arial" w:cs="Arial"/>
          <w:b w:val="0"/>
          <w:i/>
          <w:smallCaps w:val="0"/>
          <w:strike w:val="0"/>
          <w:color w:val="000000"/>
          <w:sz w:val="24"/>
          <w:szCs w:val="24"/>
          <w:u w:val="none"/>
          <w:shd w:val="clear" w:fill="auto"/>
          <w:vertAlign w:val="baseline"/>
          <w:rtl w:val="0"/>
        </w:rPr>
        <w:t>de valor</w:t>
      </w:r>
      <w:r>
        <w:rPr>
          <w:rFonts w:ascii="Arial" w:hAnsi="Arial" w:eastAsia="Arial" w:cs="Arial"/>
          <w:b w:val="0"/>
          <w:i w:val="0"/>
          <w:smallCaps w:val="0"/>
          <w:strike w:val="0"/>
          <w:color w:val="000000"/>
          <w:sz w:val="24"/>
          <w:szCs w:val="24"/>
          <w:u w:val="none"/>
          <w:shd w:val="clear" w:fill="auto"/>
          <w:vertAlign w:val="baseline"/>
          <w:rtl w:val="0"/>
        </w:rPr>
        <w:t xml:space="preserve"> </w:t>
      </w:r>
      <w:r>
        <w:rPr>
          <w:rFonts w:ascii="Arial" w:hAnsi="Arial" w:eastAsia="Arial" w:cs="Arial"/>
          <w:b w:val="0"/>
          <w:i/>
          <w:smallCaps w:val="0"/>
          <w:strike w:val="0"/>
          <w:color w:val="000000"/>
          <w:sz w:val="24"/>
          <w:szCs w:val="24"/>
          <w:u w:val="none"/>
          <w:shd w:val="clear" w:fill="auto"/>
          <w:vertAlign w:val="baseline"/>
          <w:rtl w:val="0"/>
        </w:rPr>
        <w:t>inferior</w:t>
      </w:r>
      <w:r>
        <w:rPr>
          <w:rFonts w:ascii="Arial" w:hAnsi="Arial" w:eastAsia="Arial" w:cs="Arial"/>
          <w:b w:val="0"/>
          <w:i w:val="0"/>
          <w:smallCaps w:val="0"/>
          <w:strike w:val="0"/>
          <w:color w:val="000000"/>
          <w:sz w:val="24"/>
          <w:szCs w:val="24"/>
          <w:u w:val="none"/>
          <w:shd w:val="clear" w:fill="auto"/>
          <w:vertAlign w:val="baseline"/>
          <w:rtl w:val="0"/>
        </w:rPr>
        <w:t xml:space="preserve"> </w:t>
      </w:r>
      <w:r>
        <w:rPr>
          <w:rFonts w:ascii="Arial" w:hAnsi="Arial" w:eastAsia="Arial" w:cs="Arial"/>
          <w:b w:val="0"/>
          <w:i/>
          <w:smallCaps w:val="0"/>
          <w:strike w:val="0"/>
          <w:color w:val="000000"/>
          <w:sz w:val="24"/>
          <w:szCs w:val="24"/>
          <w:u w:val="none"/>
          <w:shd w:val="clear" w:fill="auto"/>
          <w:vertAlign w:val="baseline"/>
          <w:rtl w:val="0"/>
        </w:rPr>
        <w:t>ou percentual de desconto superior</w:t>
      </w:r>
      <w:r>
        <w:rPr>
          <w:rFonts w:ascii="Arial" w:hAnsi="Arial" w:eastAsia="Arial" w:cs="Arial"/>
          <w:b w:val="0"/>
          <w:i w:val="0"/>
          <w:smallCaps w:val="0"/>
          <w:strike w:val="0"/>
          <w:color w:val="000000"/>
          <w:sz w:val="24"/>
          <w:szCs w:val="24"/>
          <w:u w:val="none"/>
          <w:shd w:val="clear" w:fill="auto"/>
          <w:vertAlign w:val="baseline"/>
          <w:rtl w:val="0"/>
        </w:rPr>
        <w:t xml:space="preserve"> ao último por ele ofertado e registrado pelo sistema. </w:t>
      </w:r>
    </w:p>
    <w:p w14:paraId="0000006D">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intervalo mínimo de diferença de valores ou percentuais entre os lances, que incidirá tanto em relação aos lances intermediários quanto em relação à proposta que cobrir a melhor oferta deverá ser</w:t>
      </w:r>
      <w:r>
        <w:rPr>
          <w:rFonts w:ascii="Arial" w:hAnsi="Arial" w:eastAsia="Arial" w:cs="Arial"/>
          <w:b w:val="0"/>
          <w:i/>
          <w:smallCaps w:val="0"/>
          <w:strike w:val="0"/>
          <w:color w:val="000000"/>
          <w:sz w:val="24"/>
          <w:szCs w:val="24"/>
          <w:u w:val="none"/>
          <w:shd w:val="clear" w:fill="auto"/>
          <w:vertAlign w:val="baseline"/>
          <w:rtl w:val="0"/>
        </w:rPr>
        <w:t xml:space="preserve"> </w:t>
      </w:r>
      <w:r>
        <w:rPr>
          <w:rFonts w:ascii="Arial" w:hAnsi="Arial" w:eastAsia="Arial" w:cs="Arial"/>
          <w:b/>
          <w:i/>
          <w:smallCaps w:val="0"/>
          <w:strike w:val="0"/>
          <w:color w:val="000000"/>
          <w:sz w:val="24"/>
          <w:szCs w:val="24"/>
          <w:highlight w:val="green"/>
          <w:u w:val="none"/>
          <w:vertAlign w:val="baseline"/>
          <w:rtl w:val="0"/>
        </w:rPr>
        <w:t>R$ 0,01 (UM CENTAVO).</w:t>
      </w:r>
    </w:p>
    <w:p w14:paraId="0000006E">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licitante poderá, uma única vez, excluir seu último lance ofertado, no intervalo de quinze segundos após o registro no sistema, na hipótese de lance inconsistente ou inexequível.</w:t>
      </w:r>
    </w:p>
    <w:p w14:paraId="0000006F">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procedimento seguirá de acordo com o modo de disputa adotado.</w:t>
      </w:r>
    </w:p>
    <w:p w14:paraId="00000070">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24" w:name="_heading=h.ah5jur5v77te" w:colFirst="0" w:colLast="0"/>
      <w:bookmarkEnd w:id="24"/>
      <w:r>
        <w:rPr>
          <w:rFonts w:ascii="Arial" w:hAnsi="Arial" w:eastAsia="Arial" w:cs="Arial"/>
          <w:b w:val="0"/>
          <w:i w:val="0"/>
          <w:smallCaps w:val="0"/>
          <w:strike w:val="0"/>
          <w:color w:val="000000"/>
          <w:sz w:val="24"/>
          <w:szCs w:val="24"/>
          <w:u w:val="none"/>
          <w:shd w:val="clear" w:fill="auto"/>
          <w:vertAlign w:val="baseline"/>
          <w:rtl w:val="0"/>
        </w:rPr>
        <w:t>Caso seja adotado para o envio de lances no pregão eletrônico o modo de disputa “aberto”, os licitantes apresentarão lances públicos e sucessivos, com prorrogações.</w:t>
      </w:r>
    </w:p>
    <w:p w14:paraId="00000071">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25" w:name="_heading=h.jmenqz6xrcbz" w:colFirst="0" w:colLast="0"/>
      <w:bookmarkEnd w:id="25"/>
      <w:r>
        <w:rPr>
          <w:rFonts w:ascii="Arial" w:hAnsi="Arial" w:eastAsia="Arial" w:cs="Arial"/>
          <w:b w:val="0"/>
          <w:i w:val="0"/>
          <w:smallCaps w:val="0"/>
          <w:strike w:val="0"/>
          <w:color w:val="000000"/>
          <w:sz w:val="24"/>
          <w:szCs w:val="24"/>
          <w:u w:val="none"/>
          <w:shd w:val="clear" w:fill="auto"/>
          <w:vertAlign w:val="baseline"/>
          <w:rtl w:val="0"/>
        </w:rPr>
        <w:t>A etapa de lances da sessão pública terá duração de dez minutos e, após isso, será prorrogada automaticamente pelo sistema quando houver lance ofertado nos últimos dois minutos do período de duração da sessão pública.</w:t>
      </w:r>
    </w:p>
    <w:p w14:paraId="00000072">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prorrogação automática da etapa de lances, de que trata o subitem anterior, será de dois minutos e ocorrerá sucessivamente sempre que houver lances enviados nesse período de prorrogação, inclusive no caso de lances intermediários.</w:t>
      </w:r>
    </w:p>
    <w:p w14:paraId="00000073">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Não havendo novos lances na forma estabelecida nos itens anteriores, a sessão pública encerrar-se-á automaticamente, e o sistema ordenará e divulgará os lances conforme a ordem final de classificação.</w:t>
      </w:r>
    </w:p>
    <w:p w14:paraId="00000074">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0000075">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26" w:name="_heading=h.kh237fsys3v5" w:colFirst="0" w:colLast="0"/>
      <w:bookmarkEnd w:id="26"/>
      <w:r>
        <w:rPr>
          <w:rFonts w:ascii="Arial" w:hAnsi="Arial" w:eastAsia="Arial" w:cs="Arial"/>
          <w:b w:val="0"/>
          <w:i w:val="0"/>
          <w:smallCaps w:val="0"/>
          <w:strike w:val="0"/>
          <w:color w:val="000000"/>
          <w:sz w:val="24"/>
          <w:szCs w:val="24"/>
          <w:u w:val="none"/>
          <w:shd w:val="clear" w:fill="auto"/>
          <w:vertAlign w:val="baseline"/>
          <w:rtl w:val="0"/>
        </w:rPr>
        <w:t>Após o reinício previsto no item supra, os licitantes serão convocados para apresentar lances intermediários.</w:t>
      </w:r>
    </w:p>
    <w:p w14:paraId="00000076">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O envio de lances no pregão eletrônico será através do </w:t>
      </w:r>
      <w:r>
        <w:rPr>
          <w:rFonts w:ascii="Arial" w:hAnsi="Arial" w:eastAsia="Arial" w:cs="Arial"/>
          <w:b/>
          <w:i w:val="0"/>
          <w:smallCaps w:val="0"/>
          <w:strike w:val="0"/>
          <w:color w:val="000000"/>
          <w:sz w:val="24"/>
          <w:szCs w:val="24"/>
          <w:highlight w:val="green"/>
          <w:u w:val="none"/>
          <w:vertAlign w:val="baseline"/>
          <w:rtl w:val="0"/>
        </w:rPr>
        <w:t>modo de disputa “aberto e fechado”</w:t>
      </w:r>
      <w:r>
        <w:rPr>
          <w:rFonts w:ascii="Arial" w:hAnsi="Arial" w:eastAsia="Arial" w:cs="Arial"/>
          <w:b w:val="0"/>
          <w:i w:val="0"/>
          <w:smallCaps w:val="0"/>
          <w:strike w:val="0"/>
          <w:color w:val="000000"/>
          <w:sz w:val="24"/>
          <w:szCs w:val="24"/>
          <w:highlight w:val="green"/>
          <w:u w:val="none"/>
          <w:vertAlign w:val="baseline"/>
          <w:rtl w:val="0"/>
        </w:rPr>
        <w:t>,</w:t>
      </w:r>
      <w:r>
        <w:rPr>
          <w:rFonts w:ascii="Arial" w:hAnsi="Arial" w:eastAsia="Arial" w:cs="Arial"/>
          <w:b w:val="0"/>
          <w:i w:val="0"/>
          <w:smallCaps w:val="0"/>
          <w:strike w:val="0"/>
          <w:color w:val="000000"/>
          <w:sz w:val="24"/>
          <w:szCs w:val="24"/>
          <w:u w:val="none"/>
          <w:shd w:val="clear" w:fill="auto"/>
          <w:vertAlign w:val="baseline"/>
          <w:rtl w:val="0"/>
        </w:rPr>
        <w:t xml:space="preserve"> os licitantes apresentarão lances públicos e sucessivos, com lance final e fechado.</w:t>
      </w:r>
    </w:p>
    <w:p w14:paraId="00000077">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0000078">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0000079">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No procedimento de que trata o subitem supra, o licitante poderá optar por manter o seu último lance da etapa aberta, ou por ofertar melhor lance.</w:t>
      </w:r>
    </w:p>
    <w:p w14:paraId="0000007A">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000007B">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27" w:name="_heading=h.xgfecgcq3mho" w:colFirst="0" w:colLast="0"/>
      <w:bookmarkEnd w:id="27"/>
      <w:r>
        <w:rPr>
          <w:rFonts w:ascii="Arial" w:hAnsi="Arial" w:eastAsia="Arial" w:cs="Arial"/>
          <w:b w:val="0"/>
          <w:i w:val="0"/>
          <w:smallCaps w:val="0"/>
          <w:strike w:val="0"/>
          <w:color w:val="000000"/>
          <w:sz w:val="24"/>
          <w:szCs w:val="24"/>
          <w:u w:val="none"/>
          <w:shd w:val="clear" w:fill="auto"/>
          <w:vertAlign w:val="baseline"/>
          <w:rtl w:val="0"/>
        </w:rPr>
        <w:t>Após o término dos prazos estabelecidos nos itens anteriores, o sistema ordenará e divulgará os lances segundo a ordem crescente de valores.</w:t>
      </w:r>
    </w:p>
    <w:p w14:paraId="0000007C">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Após o término dos prazos estabelecidos nos subitens anteriores, o sistema ordenará e divulgará os lances segundo a ordem crescente de valores.</w:t>
      </w:r>
    </w:p>
    <w:p w14:paraId="0000007D">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Não serão aceitos dois ou mais lances de mesmo valor, prevalecendo aquele que for recebido e registrado em primeiro lugar. </w:t>
      </w:r>
    </w:p>
    <w:p w14:paraId="0000007E">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Durante o transcurso da sessão pública, os licitantes serão informados, em tempo real, do valor do menor lance registrado, vedada a identificação do licitante. </w:t>
      </w:r>
    </w:p>
    <w:p w14:paraId="0000007F">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No caso de desconexão com o Pregoeiro, no decorrer da etapa competitiva do Pregão, o sistema eletrônico poderá permanecer acessível aos licitantes para a recepção dos lances. </w:t>
      </w:r>
    </w:p>
    <w:p w14:paraId="00000080">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0000081">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Caso o licitante não apresente lances, concorrerá com o valor de sua proposta.</w:t>
      </w:r>
    </w:p>
    <w:p w14:paraId="00000082">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"https://www.planalto.gov.br/ccivil_03/leis/lcp/lcp123.htm#art44"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arts. 44 e 45 da Lei Complementar nº 123, de 2006</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xml:space="preserve">, regulamentada pelo </w:t>
      </w:r>
      <w:r>
        <w:fldChar w:fldCharType="begin"/>
      </w:r>
      <w:r>
        <w:instrText xml:space="preserve"> HYPERLINK "https://www.planalto.gov.br/ccivil_03/_ato2015-2018/2015/decreto/d8539.htm"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Decreto nº 8.538, de 2015</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83">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Nessas condições, as propostas de microempresas e empresas de pequeno porte que se encontrarem na faixa de até 5% (cinco por cento) acima da melhor proposta ou melhor lance serão consideradas empatadas com a primeira colocada.</w:t>
      </w:r>
    </w:p>
    <w:p w14:paraId="00000084">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0000085">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0000086">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0000087">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Só poderá haver empate entre propostas iguais (não seguidas de lances), ou entre lances finais da fase fechada do modo de disputa aberto e fechado. </w:t>
      </w:r>
    </w:p>
    <w:p w14:paraId="00000088">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Havendo eventual empate entre propostas ou lances, o critério de desempate será aquele previsto no </w:t>
      </w:r>
      <w:r>
        <w:fldChar w:fldCharType="begin"/>
      </w:r>
      <w:r>
        <w:instrText xml:space="preserve"> HYPERLINK "http://www.planalto.gov.br/ccivil_03/_ato2019-2022/2021/lei/L14133.htm#art60"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art. 60 da Lei nº 14.133, de 2021</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nesta ordem:</w:t>
      </w:r>
    </w:p>
    <w:p w14:paraId="00000089">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disputa final, hipótese em que os licitantes empatados poderão apresentar nova proposta em ato contínuo à classificação;</w:t>
      </w:r>
    </w:p>
    <w:p w14:paraId="0000008A">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avaliação do desempenho contratual prévio dos licitantes, para a qual deverão preferencialmente ser utilizados registros cadastrais para efeito de atesto de cumprimento de obrigações previstos nesta Lei;</w:t>
      </w:r>
    </w:p>
    <w:p w14:paraId="0000008B">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desenvolvimento pelo licitante de ações de equidade entre homens e mulheres no ambiente de trabalho, conforme regulamento;</w:t>
      </w:r>
    </w:p>
    <w:p w14:paraId="0000008C">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desenvolvimento pelo licitante de programa de integridade, conforme orientações dos órgãos de controle.</w:t>
      </w:r>
    </w:p>
    <w:p w14:paraId="0000008D">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Persistindo o empate, será assegurada preferência, sucessivamente, aos bens e serviços produzidos ou prestados por:</w:t>
      </w:r>
    </w:p>
    <w:p w14:paraId="0000008E">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bookmarkStart w:id="28" w:name="bookmark=id.qsixxgoidhgt" w:colFirst="0" w:colLast="0"/>
      <w:bookmarkEnd w:id="28"/>
      <w:r>
        <w:rPr>
          <w:rFonts w:ascii="Arial" w:hAnsi="Arial" w:eastAsia="Arial" w:cs="Arial"/>
          <w:b w:val="0"/>
          <w:i w:val="0"/>
          <w:smallCaps w:val="0"/>
          <w:strike w:val="0"/>
          <w:color w:val="000000"/>
          <w:sz w:val="24"/>
          <w:szCs w:val="24"/>
          <w:u w:val="none"/>
          <w:shd w:val="clear" w:fill="auto"/>
          <w:vertAlign w:val="baseline"/>
          <w:rtl w:val="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000008F">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bookmarkStart w:id="29" w:name="bookmark=id.ciomlj2u8t7l" w:colFirst="0" w:colLast="0"/>
      <w:bookmarkEnd w:id="29"/>
      <w:r>
        <w:rPr>
          <w:rFonts w:ascii="Arial" w:hAnsi="Arial" w:eastAsia="Arial" w:cs="Arial"/>
          <w:b w:val="0"/>
          <w:i w:val="0"/>
          <w:smallCaps w:val="0"/>
          <w:strike w:val="0"/>
          <w:color w:val="000000"/>
          <w:sz w:val="24"/>
          <w:szCs w:val="24"/>
          <w:u w:val="none"/>
          <w:shd w:val="clear" w:fill="auto"/>
          <w:vertAlign w:val="baseline"/>
          <w:rtl w:val="0"/>
        </w:rPr>
        <w:t>empresas brasileiras;</w:t>
      </w:r>
    </w:p>
    <w:p w14:paraId="00000090">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bookmarkStart w:id="30" w:name="bookmark=id.50z8vyiwvwwv" w:colFirst="0" w:colLast="0"/>
      <w:bookmarkEnd w:id="30"/>
      <w:r>
        <w:rPr>
          <w:rFonts w:ascii="Arial" w:hAnsi="Arial" w:eastAsia="Arial" w:cs="Arial"/>
          <w:b w:val="0"/>
          <w:i w:val="0"/>
          <w:smallCaps w:val="0"/>
          <w:strike w:val="0"/>
          <w:color w:val="000000"/>
          <w:sz w:val="24"/>
          <w:szCs w:val="24"/>
          <w:u w:val="none"/>
          <w:shd w:val="clear" w:fill="auto"/>
          <w:vertAlign w:val="baseline"/>
          <w:rtl w:val="0"/>
        </w:rPr>
        <w:t>empresas que invistam em pesquisa e no desenvolvimento de tecnologia no País;</w:t>
      </w:r>
    </w:p>
    <w:p w14:paraId="00000091">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bookmarkStart w:id="31" w:name="bookmark=id.tgnlcwnnuygn" w:colFirst="0" w:colLast="0"/>
      <w:bookmarkEnd w:id="31"/>
      <w:r>
        <w:rPr>
          <w:rFonts w:ascii="Arial" w:hAnsi="Arial" w:eastAsia="Arial" w:cs="Arial"/>
          <w:b w:val="0"/>
          <w:i w:val="0"/>
          <w:smallCaps w:val="0"/>
          <w:strike w:val="0"/>
          <w:color w:val="000000"/>
          <w:sz w:val="24"/>
          <w:szCs w:val="24"/>
          <w:u w:val="none"/>
          <w:shd w:val="clear" w:fill="auto"/>
          <w:vertAlign w:val="baseline"/>
          <w:rtl w:val="0"/>
        </w:rPr>
        <w:t>empresas que comprovem a prática de mitigação, nos termos da </w:t>
      </w:r>
      <w:r>
        <w:fldChar w:fldCharType="begin"/>
      </w:r>
      <w:r>
        <w:instrText xml:space="preserve"> HYPERLINK "https://www.planalto.gov.br/ccivil_03/_ato2007-2010/2009/lei/l12187.htm#:~:text=LEI%20N%C2%BA%2012.187%2C%20DE%2029%20DE%20DEZEMBRO%20DE%202009.&amp;text=Institui%20a%20Pol%C3%ADtica%20Nacional%20sobre,PNMC%20e%20d%C3%A1%20outras%20provid%C3%AAncias."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Lei nº 12.187, de 29 de dezembro de 2009</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92">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0000093">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0000094">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negociação será realizada por meio do sistema, podendo ser acompanhada pelos demais licitantes.</w:t>
      </w:r>
    </w:p>
    <w:p w14:paraId="00000095">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resultado da negociação será divulgado a todos os licitantes e anexado aos autos do processo licitatório.</w:t>
      </w:r>
    </w:p>
    <w:p w14:paraId="00000096">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32" w:name="_heading=h.647bl7l7wl1p" w:colFirst="0" w:colLast="0"/>
      <w:bookmarkEnd w:id="32"/>
      <w:r>
        <w:rPr>
          <w:rFonts w:ascii="Arial" w:hAnsi="Arial" w:eastAsia="Arial" w:cs="Arial"/>
          <w:b w:val="0"/>
          <w:i w:val="0"/>
          <w:smallCaps w:val="0"/>
          <w:strike w:val="0"/>
          <w:color w:val="000000"/>
          <w:sz w:val="24"/>
          <w:szCs w:val="24"/>
          <w:u w:val="none"/>
          <w:shd w:val="clear" w:fill="auto"/>
          <w:vertAlign w:val="baseline"/>
          <w:rtl w:val="0"/>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0000097">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É facultado ao pregoeiro prorrogar o prazo estabelecido, a partir de solicitação fundamentada feita no chat pelo licitante, antes de findo o prazo.</w:t>
      </w:r>
    </w:p>
    <w:p w14:paraId="00000098">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Após a negociação do preço, o Pregoeiro iniciará a fase de aceitação e julgamento da proposta.</w:t>
      </w:r>
    </w:p>
    <w:p w14:paraId="00000099">
      <w:pPr>
        <w:keepNext/>
        <w:keepLines/>
        <w:pageBreakBefore w:val="0"/>
        <w:widowControl/>
        <w:numPr>
          <w:ilvl w:val="0"/>
          <w:numId w:val="2"/>
        </w:numPr>
        <w:pBdr>
          <w:top w:val="single" w:color="000000" w:sz="4" w:space="1"/>
          <w:left w:val="single" w:color="000000" w:sz="4" w:space="4"/>
          <w:bottom w:val="single" w:color="000000" w:sz="4" w:space="1"/>
          <w:right w:val="single" w:color="000000" w:sz="4" w:space="4"/>
          <w:between w:val="none" w:color="auto" w:sz="0" w:space="0"/>
        </w:pBdr>
        <w:shd w:val="clear" w:fill="BFBFBF"/>
        <w:tabs>
          <w:tab w:val="left" w:pos="567"/>
        </w:tabs>
        <w:spacing w:before="288" w:after="288" w:line="312" w:lineRule="auto"/>
        <w:ind w:left="360" w:right="0" w:hanging="360"/>
        <w:jc w:val="both"/>
      </w:pPr>
      <w:bookmarkStart w:id="33" w:name="_heading=h.agflu1inqz2m" w:colFirst="0" w:colLast="0"/>
      <w:bookmarkEnd w:id="33"/>
      <w:r>
        <w:rPr>
          <w:rFonts w:ascii="Arial" w:hAnsi="Arial" w:eastAsia="Arial" w:cs="Arial"/>
          <w:b/>
          <w:i w:val="0"/>
          <w:smallCaps w:val="0"/>
          <w:strike w:val="0"/>
          <w:color w:val="000000"/>
          <w:sz w:val="24"/>
          <w:szCs w:val="24"/>
          <w:u w:val="none"/>
          <w:shd w:val="clear" w:fill="auto"/>
          <w:vertAlign w:val="baseline"/>
          <w:rtl w:val="0"/>
        </w:rPr>
        <w:t>DA FASE DE JULGAMENTO.</w:t>
      </w:r>
    </w:p>
    <w:p w14:paraId="0000009A">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i w:val="0"/>
          <w:smallCaps w:val="0"/>
          <w:strike w:val="0"/>
          <w:color w:val="000000"/>
          <w:sz w:val="24"/>
          <w:szCs w:val="24"/>
          <w:u w:val="none"/>
          <w:shd w:val="clear" w:fill="auto"/>
          <w:vertAlign w:val="baseline"/>
        </w:rPr>
      </w:pPr>
      <w:bookmarkStart w:id="34" w:name="_heading=h.xybcwmasz921" w:colFirst="0" w:colLast="0"/>
      <w:bookmarkEnd w:id="34"/>
      <w:r>
        <w:rPr>
          <w:rFonts w:ascii="Arial" w:hAnsi="Arial" w:eastAsia="Arial" w:cs="Arial"/>
          <w:b w:val="0"/>
          <w:i w:val="0"/>
          <w:smallCaps w:val="0"/>
          <w:strike w:val="0"/>
          <w:color w:val="000000"/>
          <w:sz w:val="24"/>
          <w:szCs w:val="24"/>
          <w:u w:val="none"/>
          <w:shd w:val="clear" w:fill="auto"/>
          <w:vertAlign w:val="baseline"/>
          <w:rtl w:val="0"/>
        </w:rPr>
        <w:t xml:space="preserve">Encerrada a etapa de negociação,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"http://www.planalto.gov.br/ccivil_03/_ato2019-2022/2021/lei/L14133.htm#art14"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art. 14 da Lei nº 14.133/2021</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legislação correlata e no item 3.7 do edital, especialmente quanto à existência de sanção que impeça a participação no certame ou a futura contratação, mediante a consulta aos seguintes cadastros:</w:t>
      </w:r>
    </w:p>
    <w:p w14:paraId="0000009B">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Cadastro Nacional de Empresas Inidôneas e Suspensas - CEIS, mantido pela Controladoria-Geral da União (</w:t>
      </w:r>
      <w:r>
        <w:fldChar w:fldCharType="begin"/>
      </w:r>
      <w:r>
        <w:instrText xml:space="preserve"> HYPERLINK "https://www.portaltransparencia.gov.br/sancoes/ceis"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https://www.portaltransparencia.gov.br/sancoes/ceis</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xml:space="preserve">); e </w:t>
      </w:r>
    </w:p>
    <w:p w14:paraId="0000009C">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Cadastro Nacional de Empresas Punidas – CNEP, mantido pela Controladoria-Geral da União (</w:t>
      </w:r>
      <w:r>
        <w:fldChar w:fldCharType="begin"/>
      </w:r>
      <w:r>
        <w:instrText xml:space="preserve"> HYPERLINK "https://www.portaltransparencia.gov.br/sancoes/cnep"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https://www.portaltransparencia.gov.br/sancoes/cnep</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9D">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 consulta aos cadastros será realizada em nome da empresa licitante e também de seu sócio majoritário, por força da vedação de que trata o </w:t>
      </w:r>
      <w:r>
        <w:fldChar w:fldCharType="begin"/>
      </w:r>
      <w:r>
        <w:instrText xml:space="preserve"> HYPERLINK "https://www.planalto.gov.br/ccivil_03/leis/l8429.htm#:~:text=%C3%A0s%20seguintes%20comina%C3%A7%C3%B5es%3A-,Art.,n%C2%BA%2012.120%2C%20de%202009)."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artigo 12 da Lei n° 8.429, de 1992</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9E">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Caso conste na Consulta de Situação do licitante a existência de Ocorrências Impeditivas Indiretas, o Pregoeiro diligenciará para verificar se houve fraude por parte das empresas apontadas no Relatório de Ocorrências Impeditivas Indiretas. (</w:t>
      </w:r>
      <w:r>
        <w:fldChar w:fldCharType="begin"/>
      </w:r>
      <w:r>
        <w:instrText xml:space="preserve"> HYPERLINK "https://www.gov.br/compras/pt-br/acesso-a-informacao/legislacao/instrucoes-normativas/instrucao-normativa-no-3-de-26-de-abril-de-2018#art29"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 xml:space="preserve">IN nº 3/2018, art. 29, </w:t>
      </w:r>
      <w:r>
        <w:rPr>
          <w:rFonts w:ascii="Arial" w:hAnsi="Arial" w:eastAsia="Arial" w:cs="Arial"/>
          <w:b w:val="0"/>
          <w:i w:val="0"/>
          <w:smallCaps w:val="0"/>
          <w:strike w:val="0"/>
          <w:color w:val="000000"/>
          <w:sz w:val="24"/>
          <w:szCs w:val="24"/>
          <w:u w:val="single"/>
          <w:shd w:val="clear" w:fill="auto"/>
          <w:vertAlign w:val="baseline"/>
          <w:rtl w:val="0"/>
        </w:rPr>
        <w:fldChar w:fldCharType="end"/>
      </w:r>
      <w:r>
        <w:fldChar w:fldCharType="begin"/>
      </w:r>
      <w:r>
        <w:instrText xml:space="preserve"> HYPERLINK "https://www.gov.br/compras/pt-br/acesso-a-informacao/legislacao/instrucoes-normativas/instrucao-normativa-no-3-de-26-de-abril-de-2018#art29" \h </w:instrText>
      </w:r>
      <w:r>
        <w:fldChar w:fldCharType="separate"/>
      </w:r>
      <w:r>
        <w:rPr>
          <w:rFonts w:ascii="Arial" w:hAnsi="Arial" w:eastAsia="Arial" w:cs="Arial"/>
          <w:b w:val="0"/>
          <w:i/>
          <w:smallCaps w:val="0"/>
          <w:strike w:val="0"/>
          <w:color w:val="000000"/>
          <w:sz w:val="24"/>
          <w:szCs w:val="24"/>
          <w:u w:val="single"/>
          <w:shd w:val="clear" w:fill="auto"/>
          <w:vertAlign w:val="baseline"/>
          <w:rtl w:val="0"/>
        </w:rPr>
        <w:t>caput</w:t>
      </w:r>
      <w:r>
        <w:rPr>
          <w:rFonts w:ascii="Arial" w:hAnsi="Arial" w:eastAsia="Arial" w:cs="Arial"/>
          <w:b w:val="0"/>
          <w:i/>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9F">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tentativa de burla será verificada por meio dos vínculos societários, linhas de fornecimento similares, dentre outros. (</w:t>
      </w:r>
      <w:r>
        <w:fldChar w:fldCharType="begin"/>
      </w:r>
      <w:r>
        <w:instrText xml:space="preserve"> HYPERLINK "https://www.gov.br/compras/pt-br/acesso-a-informacao/legislacao/instrucoes-normativas/instrucao-normativa-no-3-de-26-de-abril-de-2018"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IN nº 3/2018, art. 29, §1º</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A0">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licitante será convocado para manifestação previamente a uma eventual desclassificação. (</w:t>
      </w:r>
      <w:r>
        <w:fldChar w:fldCharType="begin"/>
      </w:r>
      <w:r>
        <w:instrText xml:space="preserve"> HYPERLINK "https://www.gov.br/compras/pt-br/acesso-a-informacao/legislacao/instrucoes-normativas/instrucao-normativa-no-3-de-26-de-abril-de-2018"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IN nº 3/2018, art. 29, §2º</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A1">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Constatada a existência de sanção, o licitante será reputado inabilitado, por falta de condição de participação.</w:t>
      </w:r>
    </w:p>
    <w:p w14:paraId="000000A2">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Caso o licitante provisoriamente classificado em primeiro lugar tenha se utilizado de algum tratamento favorecido às ME/EPPs, o pregoeiro verificará se faz jus ao benefício, em conformidade com os itens 3.5.1 e 4.6 deste edital.</w:t>
      </w:r>
    </w:p>
    <w:p w14:paraId="000000A3">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fldChar w:fldCharType="begin"/>
      </w:r>
      <w:r>
        <w:instrText xml:space="preserve"> HYPERLINK "https://www.gov.br/compras/pt-br/acesso-a-informacao/legislacao/instrucoes-normativas/instrucao-normativa-seges-me-no-73-de-30-de-setembro-de-2022#art29"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artigo 29 a 35 da IN SEGES nº 73, de 30 de setembro de 2022</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A4">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Será desclassificada a proposta vencedora que: </w:t>
      </w:r>
    </w:p>
    <w:p w14:paraId="000000A5">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contiver vícios insanáveis;</w:t>
      </w:r>
    </w:p>
    <w:p w14:paraId="000000A6">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não obedecer às especificações técnicas contidas no Termo de Referência;</w:t>
      </w:r>
    </w:p>
    <w:p w14:paraId="000000A7">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apresentar preços inexequíveis ou permanecerem acima do preço máximo definido para a contratação;</w:t>
      </w:r>
    </w:p>
    <w:p w14:paraId="000000A8">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não tiverem sua exequibilidade demonstrada, quando exigido pela Administração;</w:t>
      </w:r>
    </w:p>
    <w:p w14:paraId="000000A9">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apresentar desconformidade com quaisquer outras exigências deste Edital ou seus anexos, desde que insanável.</w:t>
      </w:r>
    </w:p>
    <w:p w14:paraId="000000AA">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No caso de bens e serviços em geral, é indício de inexequibilidade das propostas valores inferiores a 50% (cinquenta por cento) do valor orçado pela Administração.</w:t>
      </w:r>
    </w:p>
    <w:p w14:paraId="000000AB">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 inexequibilidade, na hipótese de que trata o </w:t>
      </w:r>
      <w:r>
        <w:rPr>
          <w:rFonts w:ascii="Arial" w:hAnsi="Arial" w:eastAsia="Arial" w:cs="Arial"/>
          <w:b/>
          <w:i w:val="0"/>
          <w:smallCaps w:val="0"/>
          <w:strike w:val="0"/>
          <w:color w:val="000000"/>
          <w:sz w:val="24"/>
          <w:szCs w:val="24"/>
          <w:u w:val="none"/>
          <w:shd w:val="clear" w:fill="auto"/>
          <w:vertAlign w:val="baseline"/>
          <w:rtl w:val="0"/>
        </w:rPr>
        <w:t>caput</w:t>
      </w:r>
      <w:r>
        <w:rPr>
          <w:rFonts w:ascii="Arial" w:hAnsi="Arial" w:eastAsia="Arial" w:cs="Arial"/>
          <w:b w:val="0"/>
          <w:i w:val="0"/>
          <w:smallCaps w:val="0"/>
          <w:strike w:val="0"/>
          <w:color w:val="000000"/>
          <w:sz w:val="24"/>
          <w:szCs w:val="24"/>
          <w:u w:val="none"/>
          <w:shd w:val="clear" w:fill="auto"/>
          <w:vertAlign w:val="baseline"/>
          <w:rtl w:val="0"/>
        </w:rPr>
        <w:t>, só será considerada após diligência do pregoeiro, que comprove:</w:t>
      </w:r>
    </w:p>
    <w:p w14:paraId="000000AC">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que o custo do licitante ultrapassa o valor da proposta; e</w:t>
      </w:r>
    </w:p>
    <w:p w14:paraId="000000AD">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inexistirem custos de oportunidade capazes de justificar o vulto da oferta.</w:t>
      </w:r>
    </w:p>
    <w:p w14:paraId="000000AE">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Em contratação de serviços de engenharia, além das disposições acima, a análise de exequibilidade e sobrepreço considerará o seguinte:</w:t>
      </w:r>
    </w:p>
    <w:p w14:paraId="000000AF">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Nos regimes de execução por tarefa, empreitada por preço global ou empreitada integral, semi-integrada ou integrada, a caracterização do sobrepreço se dará pela superação do valor global estimado;</w:t>
      </w:r>
    </w:p>
    <w:p w14:paraId="000000B0">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No regime de empreitada por preço unitário, a caracterização do sobrepreço se dará pela superação do valor global estimado e </w:t>
      </w:r>
      <w:r>
        <w:rPr>
          <w:rFonts w:ascii="Arial" w:hAnsi="Arial" w:eastAsia="Arial" w:cs="Arial"/>
          <w:b w:val="0"/>
          <w:i/>
          <w:smallCaps w:val="0"/>
          <w:strike w:val="0"/>
          <w:color w:val="000000"/>
          <w:sz w:val="24"/>
          <w:szCs w:val="24"/>
          <w:u w:val="none"/>
          <w:shd w:val="clear" w:fill="auto"/>
          <w:vertAlign w:val="baseline"/>
          <w:rtl w:val="0"/>
        </w:rPr>
        <w:t>pela superação de custo unitário tido como relevante, conforme planilha anexa ao edital;</w:t>
      </w:r>
    </w:p>
    <w:p w14:paraId="000000B1">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No caso de serviços de engenharia, serão consideradas inexequíveis as propostas cujos valores forem inferiores a 75% (setenta e cinco por cento) do valor orçado pela Administração, independentemente do regime de execução.</w:t>
      </w:r>
    </w:p>
    <w:p w14:paraId="000000B2">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35" w:name="_heading=h.wj4y9gkcjyui" w:colFirst="0" w:colLast="0"/>
      <w:bookmarkEnd w:id="35"/>
      <w:r>
        <w:rPr>
          <w:rFonts w:ascii="Arial" w:hAnsi="Arial" w:eastAsia="Arial" w:cs="Arial"/>
          <w:b w:val="0"/>
          <w:i w:val="0"/>
          <w:smallCaps w:val="0"/>
          <w:strike w:val="0"/>
          <w:color w:val="000000"/>
          <w:sz w:val="24"/>
          <w:szCs w:val="24"/>
          <w:u w:val="none"/>
          <w:shd w:val="clear" w:fill="auto"/>
          <w:vertAlign w:val="baseline"/>
          <w:rtl w:val="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00000B3">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Se houver indícios de inexequibilidade da proposta de preço, ou em caso da necessidade de esclarecimentos complementares, poderão ser efetuadas diligências, para que a empresa comprove a exequibilidade da proposta.</w:t>
      </w:r>
    </w:p>
    <w:p w14:paraId="000000B4">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0000B5">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00000B6">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ajuste de que trata este dispositivo se limita a sanar erros ou falhas que não alterem a substância das propostas;</w:t>
      </w:r>
    </w:p>
    <w:p w14:paraId="000000B7">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Considera-se erro no preenchimento da planilha passível de correção a indicação de recolhimento de impostos e contribuições na forma do Simples Nacional, quando não cabível esse regime.</w:t>
      </w:r>
    </w:p>
    <w:p w14:paraId="000000B8">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Para fins de análise da proposta quanto ao cumprimento das especificações do objeto, poderá ser colhida a manifestação escrita do setor requisitante do serviço ou da área especializada no objeto.</w:t>
      </w:r>
    </w:p>
    <w:p w14:paraId="000000B9">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Caso o Termo de Referência exija a apresentação de amostra, o licitante classificado em primeiro lugar deverá apresentá-la, conforme disciplinado no Termo de Referência, sob pena de não aceitação da proposta.</w:t>
      </w:r>
    </w:p>
    <w:p w14:paraId="000000BA">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Por meio de mensagem no sistema, será divulgado o local e horário de realização do procedimento para a avaliação das amostras, cuja presença será facultada a todos os interessados, incluindo os demais licitantes.</w:t>
      </w:r>
    </w:p>
    <w:p w14:paraId="000000BB">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resultados das avaliações serão divulgados por meio de mensagem no sistema.</w:t>
      </w:r>
    </w:p>
    <w:p w14:paraId="000000BC">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No caso de não haver entrega da amostra ou ocorrer atraso na entrega, sem justificativa aceita pelo Pregoeiro, ou havendo entrega de amostra fora das especificações previstas neste Edital, a proposta do licitante será recusada.</w:t>
      </w:r>
    </w:p>
    <w:p w14:paraId="000000BD">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00000BE">
      <w:pPr>
        <w:keepNext/>
        <w:keepLines/>
        <w:pageBreakBefore w:val="0"/>
        <w:widowControl/>
        <w:numPr>
          <w:ilvl w:val="0"/>
          <w:numId w:val="2"/>
        </w:numPr>
        <w:pBdr>
          <w:top w:val="single" w:color="000000" w:sz="4" w:space="1"/>
          <w:left w:val="single" w:color="000000" w:sz="4" w:space="4"/>
          <w:bottom w:val="single" w:color="000000" w:sz="4" w:space="1"/>
          <w:right w:val="single" w:color="000000" w:sz="4" w:space="4"/>
          <w:between w:val="none" w:color="auto" w:sz="0" w:space="0"/>
        </w:pBdr>
        <w:shd w:val="clear" w:fill="BFBFBF"/>
        <w:tabs>
          <w:tab w:val="left" w:pos="567"/>
        </w:tabs>
        <w:spacing w:before="288" w:after="288" w:line="312" w:lineRule="auto"/>
        <w:ind w:left="360" w:right="0" w:hanging="360"/>
        <w:jc w:val="both"/>
      </w:pPr>
      <w:bookmarkStart w:id="36" w:name="_heading=h.6fa6fmh48cob" w:colFirst="0" w:colLast="0"/>
      <w:bookmarkEnd w:id="36"/>
      <w:r>
        <w:rPr>
          <w:rFonts w:ascii="Arial" w:hAnsi="Arial" w:eastAsia="Arial" w:cs="Arial"/>
          <w:b/>
          <w:i w:val="0"/>
          <w:smallCaps w:val="0"/>
          <w:strike w:val="0"/>
          <w:color w:val="000000"/>
          <w:sz w:val="24"/>
          <w:szCs w:val="24"/>
          <w:u w:val="none"/>
          <w:shd w:val="clear" w:fill="auto"/>
          <w:vertAlign w:val="baseline"/>
          <w:rtl w:val="0"/>
        </w:rPr>
        <w:t>DA FASE DE HABILITAÇÃO</w:t>
      </w:r>
    </w:p>
    <w:p w14:paraId="000000BF">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Os documentos previstos no Termo de Referência, necessários e suficientes para demonstrar a capacidade do licitante de realizar o objeto da licitação, serão exigidos para fins de habilitação, nos termos dos </w:t>
      </w:r>
      <w:r>
        <w:fldChar w:fldCharType="begin"/>
      </w:r>
      <w:r>
        <w:instrText xml:space="preserve"> HYPERLINK "http://www.planalto.gov.br/ccivil_03/_ato2019-2022/2021/lei/L14133.htm#art62"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arts. 62 a 70 da Lei nº 14.133, de 2021</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C0">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smallCaps w:val="0"/>
          <w:strike w:val="0"/>
          <w:color w:val="000000"/>
          <w:sz w:val="24"/>
          <w:szCs w:val="24"/>
          <w:u w:val="none"/>
          <w:shd w:val="clear" w:fill="auto"/>
          <w:vertAlign w:val="baseline"/>
        </w:rPr>
      </w:pPr>
      <w:bookmarkStart w:id="37" w:name="_heading=h.7fcedzswytot" w:colFirst="0" w:colLast="0"/>
      <w:bookmarkEnd w:id="37"/>
      <w:r>
        <w:rPr>
          <w:rFonts w:ascii="Arial" w:hAnsi="Arial" w:eastAsia="Arial" w:cs="Arial"/>
          <w:b w:val="0"/>
          <w:i w:val="0"/>
          <w:smallCaps w:val="0"/>
          <w:strike w:val="0"/>
          <w:color w:val="000000"/>
          <w:sz w:val="24"/>
          <w:szCs w:val="24"/>
          <w:u w:val="none"/>
          <w:shd w:val="clear" w:fill="auto"/>
          <w:vertAlign w:val="baseline"/>
          <w:rtl w:val="0"/>
        </w:rPr>
        <w:t>A documentação exigida para fins de habilitação jurídica, fiscal, social e trabalhista e econômico-ﬁnanceira.</w:t>
      </w:r>
    </w:p>
    <w:p w14:paraId="000000C1">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Quando permitida a participação de empresas estrangeiras que não funcionem no País, as exigências de habilitação serão atendidas mediante documentos equivalentes, inicialmente apresentados em tradução livre.</w:t>
      </w:r>
    </w:p>
    <w:p w14:paraId="000000C2">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fldChar w:fldCharType="begin"/>
      </w:r>
      <w:r>
        <w:instrText xml:space="preserve"> HYPERLINK "https://www.planalto.gov.br/ccivil_03/_ato2015-2018/2016/decreto/d8660.htm"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Decreto nº 8.660, de 29 de janeiro de 2016</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ou de outro que venha a substituí-lo, ou consularizados pelos respectivos consulados ou embaixadas.</w:t>
      </w:r>
    </w:p>
    <w:p w14:paraId="000000C3">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00000C4">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documentos exigidos para fins de habilitação poderão ser apresentados em original, por cópia devidamente registrada em cartório físico ou eletrônico.</w:t>
      </w:r>
    </w:p>
    <w:p w14:paraId="000000C5">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documentos exigidos para fins de habilitação poderão ser substituídos por registro cadastral emitido por órgão ou entidade pública, desde que o registro tenha sido feito em obediência ao disposto na Lei nº 14.133/2021.</w:t>
      </w:r>
    </w:p>
    <w:p w14:paraId="000000C6">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Será verificado se o licitante apresentou declaração de que atende aos requisitos de habilitação, e o declarante responderá pela veracidade das informações prestadas, na forma da lei (</w:t>
      </w:r>
      <w:r>
        <w:fldChar w:fldCharType="begin"/>
      </w:r>
      <w:r>
        <w:instrText xml:space="preserve"> HYPERLINK "http://www.planalto.gov.br/ccivil_03/_ato2019-2022/2021/lei/L14133.htm#art63"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art. 63, I, da Lei nº 14.133/2021</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C7">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00000C8">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0000C9">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smallCaps w:val="0"/>
          <w:strike w:val="0"/>
          <w:color w:val="000000"/>
          <w:sz w:val="24"/>
          <w:szCs w:val="24"/>
          <w:u w:val="none"/>
          <w:shd w:val="clear" w:fill="auto"/>
          <w:vertAlign w:val="baseline"/>
          <w:rtl w:val="0"/>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00000CA">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smallCaps w:val="0"/>
          <w:strike w:val="0"/>
          <w:color w:val="000000"/>
          <w:sz w:val="24"/>
          <w:szCs w:val="24"/>
          <w:u w:val="none"/>
          <w:shd w:val="clear" w:fill="auto"/>
          <w:vertAlign w:val="baseline"/>
          <w:rtl w:val="0"/>
        </w:rPr>
        <w:t>O licitante que optar por realizar vistoria prévia terá disponibilizado pela Administração data e horário exclusivos, a ser agendado via e-mail: copelprefeitura.macurure@gmail.com, de modo que seu agendamento não coincida com o agendamento de outros licitantes.</w:t>
      </w:r>
    </w:p>
    <w:p w14:paraId="000000CB">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smallCaps w:val="0"/>
          <w:strike w:val="0"/>
          <w:color w:val="000000"/>
          <w:sz w:val="24"/>
          <w:szCs w:val="24"/>
          <w:u w:val="none"/>
          <w:shd w:val="clear" w:fill="auto"/>
          <w:vertAlign w:val="baseline"/>
          <w:rtl w:val="0"/>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00000CC">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É de responsabilidade do licitante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 (</w:t>
      </w:r>
      <w:r>
        <w:fldChar w:fldCharType="begin"/>
      </w:r>
      <w:r>
        <w:instrText xml:space="preserve"> HYPERLINK "https://www.gov.br/compras/pt-br/acesso-a-informacao/legislacao/instrucoes-normativas/instrucao-normativa-no-3-de-26-de-abril-de-2018"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 xml:space="preserve">IN nº 3/2018, art. 7º, </w:t>
      </w:r>
      <w:r>
        <w:rPr>
          <w:rFonts w:ascii="Arial" w:hAnsi="Arial" w:eastAsia="Arial" w:cs="Arial"/>
          <w:b w:val="0"/>
          <w:i w:val="0"/>
          <w:smallCaps w:val="0"/>
          <w:strike w:val="0"/>
          <w:color w:val="000000"/>
          <w:sz w:val="24"/>
          <w:szCs w:val="24"/>
          <w:u w:val="single"/>
          <w:shd w:val="clear" w:fill="auto"/>
          <w:vertAlign w:val="baseline"/>
          <w:rtl w:val="0"/>
        </w:rPr>
        <w:fldChar w:fldCharType="end"/>
      </w:r>
      <w:r>
        <w:fldChar w:fldCharType="begin"/>
      </w:r>
      <w:r>
        <w:instrText xml:space="preserve"> HYPERLINK "https://www.gov.br/compras/pt-br/acesso-a-informacao/legislacao/instrucoes-normativas/instrucao-normativa-no-3-de-26-de-abril-de-2018" \h </w:instrText>
      </w:r>
      <w:r>
        <w:fldChar w:fldCharType="separate"/>
      </w:r>
      <w:r>
        <w:rPr>
          <w:rFonts w:ascii="Arial" w:hAnsi="Arial" w:eastAsia="Arial" w:cs="Arial"/>
          <w:b w:val="0"/>
          <w:i/>
          <w:smallCaps w:val="0"/>
          <w:strike w:val="0"/>
          <w:color w:val="000000"/>
          <w:sz w:val="24"/>
          <w:szCs w:val="24"/>
          <w:u w:val="single"/>
          <w:shd w:val="clear" w:fill="auto"/>
          <w:vertAlign w:val="baseline"/>
          <w:rtl w:val="0"/>
        </w:rPr>
        <w:t>caput</w:t>
      </w:r>
      <w:r>
        <w:rPr>
          <w:rFonts w:ascii="Arial" w:hAnsi="Arial" w:eastAsia="Arial" w:cs="Arial"/>
          <w:b w:val="0"/>
          <w:i/>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CD">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não observância do disposto no item anterior poderá ensejar desclassificação no momento da habilitação. (</w:t>
      </w:r>
      <w:r>
        <w:fldChar w:fldCharType="begin"/>
      </w:r>
      <w:r>
        <w:instrText xml:space="preserve"> HYPERLINK "https://www.gov.br/compras/pt-br/acesso-a-informacao/legislacao/instrucoes-normativas/instrucao-normativa-no-3-de-26-de-abril-de-2018"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IN nº 3/2018, art. 7º, parágrafo único</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CE">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verificação pelo pregoeiro, em sítios eletrônicos oficiais de órgãos e entidades emissores de certidões constitui meio legal de prova, para fins de habilitação.</w:t>
      </w:r>
    </w:p>
    <w:p w14:paraId="000000CF">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smallCaps w:val="0"/>
          <w:strike w:val="0"/>
          <w:color w:val="000000"/>
          <w:sz w:val="24"/>
          <w:szCs w:val="24"/>
          <w:u w:val="none"/>
          <w:shd w:val="clear" w:fill="auto"/>
          <w:vertAlign w:val="baseline"/>
        </w:rPr>
      </w:pPr>
      <w:bookmarkStart w:id="38" w:name="_heading=h.l4bvqzhuxinv" w:colFirst="0" w:colLast="0"/>
      <w:bookmarkEnd w:id="38"/>
      <w:r>
        <w:rPr>
          <w:rFonts w:ascii="Arial" w:hAnsi="Arial" w:eastAsia="Arial" w:cs="Arial"/>
          <w:b w:val="0"/>
          <w:i w:val="0"/>
          <w:smallCaps w:val="0"/>
          <w:strike w:val="0"/>
          <w:color w:val="000000"/>
          <w:sz w:val="24"/>
          <w:szCs w:val="24"/>
          <w:u w:val="none"/>
          <w:shd w:val="clear" w:fill="auto"/>
          <w:vertAlign w:val="baseline"/>
          <w:rtl w:val="0"/>
        </w:rPr>
        <w:t>Os documentos exigidos para habilitação que não estejam contemplados no Portal de Compras Públicas serão enviados por meio do sistema, em formato digital, no prazo de</w:t>
      </w:r>
      <w:r>
        <w:rPr>
          <w:rFonts w:ascii="Arial" w:hAnsi="Arial" w:eastAsia="Arial" w:cs="Arial"/>
          <w:b/>
          <w:i w:val="0"/>
          <w:smallCaps w:val="0"/>
          <w:strike w:val="0"/>
          <w:color w:val="000000"/>
          <w:sz w:val="24"/>
          <w:szCs w:val="24"/>
          <w:u w:val="none"/>
          <w:shd w:val="clear" w:fill="auto"/>
          <w:vertAlign w:val="baseline"/>
          <w:rtl w:val="0"/>
        </w:rPr>
        <w:t xml:space="preserve"> DUAS HORAS</w:t>
      </w:r>
      <w:r>
        <w:rPr>
          <w:rFonts w:ascii="Arial" w:hAnsi="Arial" w:eastAsia="Arial" w:cs="Arial"/>
          <w:b w:val="0"/>
          <w:i w:val="0"/>
          <w:smallCaps w:val="0"/>
          <w:strike w:val="0"/>
          <w:color w:val="000000"/>
          <w:sz w:val="24"/>
          <w:szCs w:val="24"/>
          <w:u w:val="none"/>
          <w:shd w:val="clear" w:fill="auto"/>
          <w:vertAlign w:val="baseline"/>
          <w:rtl w:val="0"/>
        </w:rPr>
        <w:t>, prorrogável por igual período, contado da solicitação do pregoeiro.</w:t>
      </w:r>
    </w:p>
    <w:p w14:paraId="000000D0">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verificação no Portal de Compras Públicas ou a exigência dos documentos nele não contidos somente será feita em relação ao licitante vencedor.</w:t>
      </w:r>
    </w:p>
    <w:p w14:paraId="000000D1">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documentos relativos à regularidade fiscal que constem do Termo de Referência somente serão exigidos, em qualquer caso, em momento posterior ao julgamento das propostas, e apenas do licitante mais bem classificado.</w:t>
      </w:r>
    </w:p>
    <w:p w14:paraId="000000D2">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00000D3">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Após a entrega dos documentos para habilitação, não será permitida a substituição ou a apresentação de novos documentos, salvo em sede de diligência, para (</w:t>
      </w:r>
      <w:r>
        <w:fldChar w:fldCharType="begin"/>
      </w:r>
      <w:r>
        <w:instrText xml:space="preserve"> HYPERLINK "http://www.planalto.gov.br/ccivil_03/_ato2019-2022/2021/lei/L14133.htm#art64"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Lei 14.133/21, art. 64</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xml:space="preserve">, e </w:t>
      </w:r>
      <w:r>
        <w:fldChar w:fldCharType="begin"/>
      </w:r>
      <w:r>
        <w:instrText xml:space="preserve"> HYPERLINK "https://www.gov.br/compras/pt-br/acesso-a-informacao/legislacao/instrucoes-normativas/instrucao-normativa-seges-me-no-73-de-30-de-setembro-de-2022"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IN 73/2022, art. 39, §4º</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D4">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complementação de informações acerca dos documentos já apresentados pelos licitantes e desde que necessária para apurar fatos existentes à época da abertura do certame; e</w:t>
      </w:r>
    </w:p>
    <w:p w14:paraId="000000D5">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atualização de documentos cuja validade tenha expirado após a data de recebimento das propostas;</w:t>
      </w:r>
    </w:p>
    <w:p w14:paraId="000000D6">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39" w:name="_heading=h.tu1auv4sf6xo" w:colFirst="0" w:colLast="0"/>
      <w:bookmarkEnd w:id="39"/>
      <w:r>
        <w:rPr>
          <w:rFonts w:ascii="Arial" w:hAnsi="Arial" w:eastAsia="Arial" w:cs="Arial"/>
          <w:b w:val="0"/>
          <w:i w:val="0"/>
          <w:smallCaps w:val="0"/>
          <w:strike w:val="0"/>
          <w:color w:val="000000"/>
          <w:sz w:val="24"/>
          <w:szCs w:val="24"/>
          <w:u w:val="none"/>
          <w:shd w:val="clear" w:fill="auto"/>
          <w:vertAlign w:val="baseline"/>
          <w:rtl w:val="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00000D7">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40" w:name="_heading=h.7k4h579wo1w6" w:colFirst="0" w:colLast="0"/>
      <w:bookmarkEnd w:id="40"/>
      <w:r>
        <w:rPr>
          <w:rFonts w:ascii="Arial" w:hAnsi="Arial" w:eastAsia="Arial" w:cs="Arial"/>
          <w:b w:val="0"/>
          <w:i w:val="0"/>
          <w:smallCaps w:val="0"/>
          <w:strike w:val="0"/>
          <w:color w:val="000000"/>
          <w:sz w:val="24"/>
          <w:szCs w:val="24"/>
          <w:u w:val="none"/>
          <w:shd w:val="clear" w:fill="auto"/>
          <w:vertAlign w:val="baseline"/>
          <w:rtl w:val="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8.13.1.</w:t>
      </w:r>
    </w:p>
    <w:p w14:paraId="000000D8">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41" w:name="_heading=h.hiju3ytnvxnk" w:colFirst="0" w:colLast="0"/>
      <w:bookmarkEnd w:id="41"/>
      <w:r>
        <w:rPr>
          <w:rFonts w:ascii="Arial" w:hAnsi="Arial" w:eastAsia="Arial" w:cs="Arial"/>
          <w:b w:val="0"/>
          <w:i w:val="0"/>
          <w:smallCaps w:val="0"/>
          <w:strike w:val="0"/>
          <w:color w:val="000000"/>
          <w:sz w:val="24"/>
          <w:szCs w:val="24"/>
          <w:u w:val="none"/>
          <w:shd w:val="clear" w:fill="auto"/>
          <w:vertAlign w:val="baseline"/>
          <w:rtl w:val="0"/>
        </w:rPr>
        <w:t>Somente serão disponibilizados para acesso público os documentos de habilitação do licitante cuja proposta atenda ao edital de licitação, após concluídos os procedimentos de que trata o subitem anterior.</w:t>
      </w:r>
    </w:p>
    <w:p w14:paraId="000000D9">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comprovação de regularidade fiscal e trabalhista das microempresas e das empresas de pequeno porte somente será exigida para efeito de contratação, e não como condição para participação na licitação (</w:t>
      </w:r>
      <w:r>
        <w:fldChar w:fldCharType="begin"/>
      </w:r>
      <w:r>
        <w:instrText xml:space="preserve"> HYPERLINK "https://www.planalto.gov.br/ccivil_03/_ato2015-2018/2015/decreto/d8538.htm#art4" \h </w:instrText>
      </w:r>
      <w:r>
        <w:fldChar w:fldCharType="separate"/>
      </w:r>
      <w:r>
        <w:rPr>
          <w:rFonts w:ascii="Arial" w:hAnsi="Arial" w:eastAsia="Arial" w:cs="Arial"/>
          <w:b w:val="0"/>
          <w:i w:val="0"/>
          <w:smallCaps w:val="0"/>
          <w:strike w:val="0"/>
          <w:color w:val="000000"/>
          <w:sz w:val="24"/>
          <w:szCs w:val="24"/>
          <w:u w:val="none"/>
          <w:shd w:val="clear" w:fill="auto"/>
          <w:vertAlign w:val="baseline"/>
          <w:rtl w:val="0"/>
        </w:rPr>
        <w:t>art. 4º do Decreto nº 8.538/2015</w:t>
      </w:r>
      <w:r>
        <w:rPr>
          <w:rFonts w:ascii="Arial" w:hAnsi="Arial" w:eastAsia="Arial" w:cs="Arial"/>
          <w:b w:val="0"/>
          <w:i w:val="0"/>
          <w:smallCaps w:val="0"/>
          <w:strike w:val="0"/>
          <w:color w:val="000000"/>
          <w:sz w:val="24"/>
          <w:szCs w:val="24"/>
          <w:u w:val="non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DA">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Quando a fase de habilitação anteceder a de julgamento e já tiver sido encerrada, não caberá exclusão de licitante por motivo relacionado à habilitação, salvo em razão de fatos supervenientes ou só conhecidos após o julgamento.</w:t>
      </w:r>
    </w:p>
    <w:p w14:paraId="000000DB">
      <w:pPr>
        <w:keepNext/>
        <w:keepLines/>
        <w:pageBreakBefore w:val="0"/>
        <w:widowControl/>
        <w:numPr>
          <w:ilvl w:val="0"/>
          <w:numId w:val="2"/>
        </w:numPr>
        <w:pBdr>
          <w:top w:val="single" w:color="000000" w:sz="4" w:space="1"/>
          <w:left w:val="single" w:color="000000" w:sz="4" w:space="4"/>
          <w:bottom w:val="single" w:color="000000" w:sz="4" w:space="1"/>
          <w:right w:val="single" w:color="000000" w:sz="4" w:space="4"/>
          <w:between w:val="none" w:color="auto" w:sz="0" w:space="0"/>
        </w:pBdr>
        <w:shd w:val="clear" w:fill="BFBFBF"/>
        <w:tabs>
          <w:tab w:val="left" w:pos="567"/>
        </w:tabs>
        <w:spacing w:before="288" w:after="288" w:line="312" w:lineRule="auto"/>
        <w:ind w:left="360" w:right="0" w:hanging="360"/>
        <w:jc w:val="both"/>
      </w:pPr>
      <w:bookmarkStart w:id="42" w:name="_heading=h.gwpe832l8v4p" w:colFirst="0" w:colLast="0"/>
      <w:bookmarkEnd w:id="42"/>
      <w:r>
        <w:rPr>
          <w:rFonts w:ascii="Arial" w:hAnsi="Arial" w:eastAsia="Arial" w:cs="Arial"/>
          <w:b/>
          <w:i w:val="0"/>
          <w:smallCaps w:val="0"/>
          <w:strike w:val="0"/>
          <w:color w:val="000000"/>
          <w:sz w:val="24"/>
          <w:szCs w:val="24"/>
          <w:u w:val="none"/>
          <w:shd w:val="clear" w:fill="auto"/>
          <w:vertAlign w:val="baseline"/>
          <w:rtl w:val="0"/>
        </w:rPr>
        <w:t>DOS RECURSOS</w:t>
      </w:r>
    </w:p>
    <w:p w14:paraId="000000DC">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"http://www.planalto.gov.br/ccivil_03/_ato2019-2022/2021/lei/L14133.htm#art165" \h </w:instrText>
      </w:r>
      <w:r>
        <w:fldChar w:fldCharType="separate"/>
      </w:r>
      <w:r>
        <w:rPr>
          <w:rFonts w:ascii="Arial" w:hAnsi="Arial" w:eastAsia="Arial" w:cs="Arial"/>
          <w:b w:val="0"/>
          <w:i w:val="0"/>
          <w:smallCaps w:val="0"/>
          <w:strike w:val="0"/>
          <w:color w:val="000000"/>
          <w:sz w:val="24"/>
          <w:szCs w:val="24"/>
          <w:u w:val="none"/>
          <w:shd w:val="clear" w:fill="auto"/>
          <w:vertAlign w:val="baseline"/>
          <w:rtl w:val="0"/>
        </w:rPr>
        <w:t>art. 165 da Lei nº 14.133, de 2021</w:t>
      </w:r>
      <w:r>
        <w:rPr>
          <w:rFonts w:ascii="Arial" w:hAnsi="Arial" w:eastAsia="Arial" w:cs="Arial"/>
          <w:b w:val="0"/>
          <w:i w:val="0"/>
          <w:smallCaps w:val="0"/>
          <w:strike w:val="0"/>
          <w:color w:val="000000"/>
          <w:sz w:val="24"/>
          <w:szCs w:val="24"/>
          <w:u w:val="non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DD">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prazo recursal é de 3 (três) dias úteis, contados da data de intimação ou de lavratura da ata.</w:t>
      </w:r>
    </w:p>
    <w:p w14:paraId="000000DE">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Quando o recurso apresentado impugnar o julgamento das propostas ou o ato de habilitação ou inabilitação do licitante:</w:t>
      </w:r>
    </w:p>
    <w:p w14:paraId="000000DF">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intenção de recorrer deverá ser manifestada imediatamente, sob pena de preclusão;</w:t>
      </w:r>
    </w:p>
    <w:p w14:paraId="000000E0">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43" w:name="_heading=h.6f2n9zwq28cl" w:colFirst="0" w:colLast="0"/>
      <w:bookmarkEnd w:id="43"/>
      <w:r>
        <w:rPr>
          <w:rFonts w:ascii="Arial" w:hAnsi="Arial" w:eastAsia="Arial" w:cs="Arial"/>
          <w:b w:val="0"/>
          <w:i w:val="0"/>
          <w:smallCaps w:val="0"/>
          <w:strike w:val="0"/>
          <w:color w:val="000000"/>
          <w:sz w:val="24"/>
          <w:szCs w:val="24"/>
          <w:u w:val="none"/>
          <w:shd w:val="clear" w:fill="auto"/>
          <w:vertAlign w:val="baseline"/>
          <w:rtl w:val="0"/>
        </w:rPr>
        <w:t>o prazo para a manifestação da intenção de recorrer não será inferior a 10 (dez) minutos.</w:t>
      </w:r>
    </w:p>
    <w:p w14:paraId="000000E1">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prazo para apresentação das razões recursais será iniciado na data de intimação ou de lavratura da ata de habilitação ou inabilitação;</w:t>
      </w:r>
    </w:p>
    <w:p w14:paraId="000000E2">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na hipótese de adoção da inversão de fases prevista no </w:t>
      </w:r>
      <w:r>
        <w:fldChar w:fldCharType="begin"/>
      </w:r>
      <w:r>
        <w:instrText xml:space="preserve"> HYPERLINK "http://www.planalto.gov.br/ccivil_03/_ato2019-2022/2021/lei/L14133.htm#art17%C2%A71" \h </w:instrText>
      </w:r>
      <w:r>
        <w:fldChar w:fldCharType="separate"/>
      </w:r>
      <w:r>
        <w:rPr>
          <w:rFonts w:ascii="Arial" w:hAnsi="Arial" w:eastAsia="Arial" w:cs="Arial"/>
          <w:b w:val="0"/>
          <w:i w:val="0"/>
          <w:smallCaps w:val="0"/>
          <w:strike w:val="0"/>
          <w:color w:val="000000"/>
          <w:sz w:val="24"/>
          <w:szCs w:val="24"/>
          <w:u w:val="none"/>
          <w:shd w:val="clear" w:fill="auto"/>
          <w:vertAlign w:val="baseline"/>
          <w:rtl w:val="0"/>
        </w:rPr>
        <w:t>§ 1º do art. 17 da Lei nº 14.133, de 2021</w:t>
      </w:r>
      <w:r>
        <w:rPr>
          <w:rFonts w:ascii="Arial" w:hAnsi="Arial" w:eastAsia="Arial" w:cs="Arial"/>
          <w:b w:val="0"/>
          <w:i w:val="0"/>
          <w:smallCaps w:val="0"/>
          <w:strike w:val="0"/>
          <w:color w:val="000000"/>
          <w:sz w:val="24"/>
          <w:szCs w:val="24"/>
          <w:u w:val="non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o prazo para apresentação das razões recursais será iniciado na data de intimação da ata de julgamento.</w:t>
      </w:r>
    </w:p>
    <w:p w14:paraId="000000E3">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recursos deverão ser encaminhados em campo próprio do sistema.</w:t>
      </w:r>
    </w:p>
    <w:p w14:paraId="000000E4">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00000E5">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Os recursos interpostos fora do prazo não serão conhecidos. </w:t>
      </w:r>
    </w:p>
    <w:p w14:paraId="000000E6">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00000E7">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O recurso e o pedido de reconsideração terão efeito suspensivo do ato ou da decisão recorrida até que sobrevenha decisão final da autoridade competente. </w:t>
      </w:r>
    </w:p>
    <w:p w14:paraId="000000E8">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O acolhimento do recurso invalida tão somente os atos insuscetíveis de aproveitamento. </w:t>
      </w:r>
    </w:p>
    <w:p w14:paraId="000000E9">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autos do processo permanecerão com vista franqueada aos interessados no sítio eletrônico no Portal de Compras Públicas (www.portaldecompraspublicas.com.br).</w:t>
      </w:r>
    </w:p>
    <w:p w14:paraId="000000EA">
      <w:pPr>
        <w:keepNext/>
        <w:keepLines/>
        <w:pageBreakBefore w:val="0"/>
        <w:widowControl/>
        <w:numPr>
          <w:ilvl w:val="0"/>
          <w:numId w:val="2"/>
        </w:numPr>
        <w:pBdr>
          <w:top w:val="single" w:color="000000" w:sz="4" w:space="1"/>
          <w:left w:val="single" w:color="000000" w:sz="4" w:space="4"/>
          <w:bottom w:val="single" w:color="000000" w:sz="4" w:space="1"/>
          <w:right w:val="single" w:color="000000" w:sz="4" w:space="4"/>
          <w:between w:val="none" w:color="auto" w:sz="0" w:space="0"/>
        </w:pBdr>
        <w:shd w:val="clear" w:fill="BFBFBF"/>
        <w:tabs>
          <w:tab w:val="left" w:pos="567"/>
        </w:tabs>
        <w:spacing w:before="288" w:after="288" w:line="312" w:lineRule="auto"/>
        <w:ind w:left="360" w:right="0" w:hanging="360"/>
        <w:jc w:val="both"/>
      </w:pPr>
      <w:bookmarkStart w:id="44" w:name="_heading=h.surwyruxbrvb" w:colFirst="0" w:colLast="0"/>
      <w:bookmarkEnd w:id="44"/>
      <w:r>
        <w:rPr>
          <w:rFonts w:ascii="Arial" w:hAnsi="Arial" w:eastAsia="Arial" w:cs="Arial"/>
          <w:b/>
          <w:i w:val="0"/>
          <w:smallCaps w:val="0"/>
          <w:strike w:val="0"/>
          <w:color w:val="000000"/>
          <w:sz w:val="24"/>
          <w:szCs w:val="24"/>
          <w:u w:val="none"/>
          <w:shd w:val="clear" w:fill="auto"/>
          <w:vertAlign w:val="baseline"/>
          <w:rtl w:val="0"/>
        </w:rPr>
        <w:t>DAS INFRAÇÕES ADMINISTRATIVAS E SANÇÕES</w:t>
      </w:r>
    </w:p>
    <w:p w14:paraId="000000EB">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Comete infração administrativa, nos termos da lei, o licitante que, com dolo ou culpa: </w:t>
      </w:r>
    </w:p>
    <w:p w14:paraId="000000EC">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45" w:name="_heading=h.27ikcccnd635" w:colFirst="0" w:colLast="0"/>
      <w:bookmarkEnd w:id="45"/>
      <w:r>
        <w:rPr>
          <w:rFonts w:ascii="Arial" w:hAnsi="Arial" w:eastAsia="Arial" w:cs="Arial"/>
          <w:b w:val="0"/>
          <w:i w:val="0"/>
          <w:smallCaps w:val="0"/>
          <w:strike w:val="0"/>
          <w:color w:val="000000"/>
          <w:sz w:val="24"/>
          <w:szCs w:val="24"/>
          <w:u w:val="none"/>
          <w:shd w:val="clear" w:fill="auto"/>
          <w:vertAlign w:val="baseline"/>
          <w:rtl w:val="0"/>
        </w:rPr>
        <w:t>deixar de entregar a documentação exigida para o certame ou não entregar qualquer documento que tenha sido solicitado pelo/o Pregoeiro/a durante o certame;</w:t>
      </w:r>
    </w:p>
    <w:p w14:paraId="000000ED">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46" w:name="_heading=h.fukrl02kjsiz" w:colFirst="0" w:colLast="0"/>
      <w:bookmarkEnd w:id="46"/>
      <w:r>
        <w:rPr>
          <w:rFonts w:ascii="Arial" w:hAnsi="Arial" w:eastAsia="Arial" w:cs="Arial"/>
          <w:b w:val="0"/>
          <w:i w:val="0"/>
          <w:smallCaps w:val="0"/>
          <w:strike w:val="0"/>
          <w:color w:val="000000"/>
          <w:sz w:val="24"/>
          <w:szCs w:val="24"/>
          <w:u w:val="none"/>
          <w:shd w:val="clear" w:fill="auto"/>
          <w:vertAlign w:val="baseline"/>
          <w:rtl w:val="0"/>
        </w:rPr>
        <w:t>Salvo em decorrência de fato superveniente devidamente justificado, não mantiver a proposta em especial quando:</w:t>
      </w:r>
    </w:p>
    <w:p w14:paraId="000000EE">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não enviar a proposta adequada ao último lance ofertado ou após a negociação; </w:t>
      </w:r>
    </w:p>
    <w:p w14:paraId="000000EF">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recusar-se a enviar o detalhamento da proposta quando exigível; </w:t>
      </w:r>
    </w:p>
    <w:p w14:paraId="000000F0">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pedir para ser desclassificado quando encerrada a etapa competitiva; ou </w:t>
      </w:r>
    </w:p>
    <w:p w14:paraId="000000F1">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deixar de apresentar amostra;</w:t>
      </w:r>
    </w:p>
    <w:p w14:paraId="000000F2">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apresentar proposta ou amostra em desacordo com as especificações do edital; </w:t>
      </w:r>
    </w:p>
    <w:p w14:paraId="000000F3">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47" w:name="_heading=h.6f3rz4lhgutw" w:colFirst="0" w:colLast="0"/>
      <w:bookmarkEnd w:id="47"/>
      <w:r>
        <w:rPr>
          <w:rFonts w:ascii="Arial" w:hAnsi="Arial" w:eastAsia="Arial" w:cs="Arial"/>
          <w:b w:val="0"/>
          <w:i w:val="0"/>
          <w:smallCaps w:val="0"/>
          <w:strike w:val="0"/>
          <w:color w:val="000000"/>
          <w:sz w:val="24"/>
          <w:szCs w:val="24"/>
          <w:u w:val="none"/>
          <w:shd w:val="clear" w:fill="auto"/>
          <w:vertAlign w:val="baseline"/>
          <w:rtl w:val="0"/>
        </w:rPr>
        <w:t>não celebrar o contrato ou não entregar a documentação exigida para a contratação, quando convocado dentro do prazo de validade de sua proposta;</w:t>
      </w:r>
    </w:p>
    <w:p w14:paraId="000000F4">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recusar-se, sem justificativa, a assinar o contrato ou a ata de registro de preço, ou a aceitar ou retirar o instrumento equivalente no prazo estabelecido pela Administração;</w:t>
      </w:r>
    </w:p>
    <w:p w14:paraId="000000F5">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48" w:name="_heading=h.tuh70afx70wq" w:colFirst="0" w:colLast="0"/>
      <w:bookmarkEnd w:id="48"/>
      <w:r>
        <w:rPr>
          <w:rFonts w:ascii="Arial" w:hAnsi="Arial" w:eastAsia="Arial" w:cs="Arial"/>
          <w:b w:val="0"/>
          <w:i w:val="0"/>
          <w:smallCaps w:val="0"/>
          <w:strike w:val="0"/>
          <w:color w:val="000000"/>
          <w:sz w:val="24"/>
          <w:szCs w:val="24"/>
          <w:u w:val="none"/>
          <w:shd w:val="clear" w:fill="auto"/>
          <w:vertAlign w:val="baseline"/>
          <w:rtl w:val="0"/>
        </w:rPr>
        <w:t>apresentar declaração ou documentação falsa exigida para o certame ou prestar declaração falsa durante a licitação</w:t>
      </w:r>
    </w:p>
    <w:p w14:paraId="000000F6">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49" w:name="_heading=h.iig991jn5iu3" w:colFirst="0" w:colLast="0"/>
      <w:bookmarkEnd w:id="49"/>
      <w:r>
        <w:rPr>
          <w:rFonts w:ascii="Arial" w:hAnsi="Arial" w:eastAsia="Arial" w:cs="Arial"/>
          <w:b w:val="0"/>
          <w:i w:val="0"/>
          <w:smallCaps w:val="0"/>
          <w:strike w:val="0"/>
          <w:color w:val="000000"/>
          <w:sz w:val="24"/>
          <w:szCs w:val="24"/>
          <w:u w:val="none"/>
          <w:shd w:val="clear" w:fill="auto"/>
          <w:vertAlign w:val="baseline"/>
          <w:rtl w:val="0"/>
        </w:rPr>
        <w:t>fraudar a licitação</w:t>
      </w:r>
    </w:p>
    <w:p w14:paraId="000000F7">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50" w:name="_heading=h.uhiasq1buj3a" w:colFirst="0" w:colLast="0"/>
      <w:bookmarkEnd w:id="50"/>
      <w:r>
        <w:rPr>
          <w:rFonts w:ascii="Arial" w:hAnsi="Arial" w:eastAsia="Arial" w:cs="Arial"/>
          <w:b w:val="0"/>
          <w:i w:val="0"/>
          <w:smallCaps w:val="0"/>
          <w:strike w:val="0"/>
          <w:color w:val="000000"/>
          <w:sz w:val="24"/>
          <w:szCs w:val="24"/>
          <w:u w:val="none"/>
          <w:shd w:val="clear" w:fill="auto"/>
          <w:vertAlign w:val="baseline"/>
          <w:rtl w:val="0"/>
        </w:rPr>
        <w:t>comportar-se de modo inidôneo ou cometer fraude de qualquer natureza, em especial quando:</w:t>
      </w:r>
    </w:p>
    <w:p w14:paraId="000000F8">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agir em conluio ou em desconformidade com a lei; </w:t>
      </w:r>
    </w:p>
    <w:p w14:paraId="000000F9">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induzir deliberadamente a erro no julgamento; </w:t>
      </w:r>
    </w:p>
    <w:p w14:paraId="000000FA">
      <w:pPr>
        <w:keepNext w:val="0"/>
        <w:keepLines w:val="0"/>
        <w:pageBreakBefore w:val="0"/>
        <w:widowControl/>
        <w:numPr>
          <w:ilvl w:val="3"/>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491" w:right="0" w:hanging="647"/>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apresentar amostra falsificada ou deteriorada; </w:t>
      </w:r>
    </w:p>
    <w:p w14:paraId="000000FB">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51" w:name="_heading=h.fvyho5fxxlbk" w:colFirst="0" w:colLast="0"/>
      <w:bookmarkEnd w:id="51"/>
      <w:r>
        <w:rPr>
          <w:rFonts w:ascii="Arial" w:hAnsi="Arial" w:eastAsia="Arial" w:cs="Arial"/>
          <w:b w:val="0"/>
          <w:i w:val="0"/>
          <w:smallCaps w:val="0"/>
          <w:strike w:val="0"/>
          <w:color w:val="000000"/>
          <w:sz w:val="24"/>
          <w:szCs w:val="24"/>
          <w:u w:val="none"/>
          <w:shd w:val="clear" w:fill="auto"/>
          <w:vertAlign w:val="baseline"/>
          <w:rtl w:val="0"/>
        </w:rPr>
        <w:t>praticar atos ilícitos com vistas a frustrar os objetivos da licitação</w:t>
      </w:r>
    </w:p>
    <w:p w14:paraId="000000FC">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52" w:name="_heading=h.kxwk7i2pe13j" w:colFirst="0" w:colLast="0"/>
      <w:bookmarkEnd w:id="52"/>
      <w:r>
        <w:rPr>
          <w:rFonts w:ascii="Arial" w:hAnsi="Arial" w:eastAsia="Arial" w:cs="Arial"/>
          <w:b w:val="0"/>
          <w:i w:val="0"/>
          <w:smallCaps w:val="0"/>
          <w:strike w:val="0"/>
          <w:color w:val="000000"/>
          <w:sz w:val="24"/>
          <w:szCs w:val="24"/>
          <w:u w:val="none"/>
          <w:shd w:val="clear" w:fill="auto"/>
          <w:vertAlign w:val="baseline"/>
          <w:rtl w:val="0"/>
        </w:rPr>
        <w:t xml:space="preserve">praticar ato lesivo previsto no </w:t>
      </w:r>
      <w:r>
        <w:fldChar w:fldCharType="begin"/>
      </w:r>
      <w:r>
        <w:instrText xml:space="preserve"> HYPERLINK "https://www.planalto.gov.br/ccivil_03/_ato2011-2014/2013/lei/l12846.htm#art5" \h </w:instrText>
      </w:r>
      <w:r>
        <w:fldChar w:fldCharType="separate"/>
      </w:r>
      <w:r>
        <w:rPr>
          <w:rFonts w:ascii="Arial" w:hAnsi="Arial" w:eastAsia="Arial" w:cs="Arial"/>
          <w:b w:val="0"/>
          <w:i w:val="0"/>
          <w:smallCaps w:val="0"/>
          <w:strike w:val="0"/>
          <w:color w:val="000000"/>
          <w:sz w:val="24"/>
          <w:szCs w:val="24"/>
          <w:u w:val="none"/>
          <w:shd w:val="clear" w:fill="auto"/>
          <w:vertAlign w:val="baseline"/>
          <w:rtl w:val="0"/>
        </w:rPr>
        <w:t>art. 5º da Lei n.º 12.846, de 2013</w:t>
      </w:r>
      <w:r>
        <w:rPr>
          <w:rFonts w:ascii="Arial" w:hAnsi="Arial" w:eastAsia="Arial" w:cs="Arial"/>
          <w:b w:val="0"/>
          <w:i w:val="0"/>
          <w:smallCaps w:val="0"/>
          <w:strike w:val="0"/>
          <w:color w:val="000000"/>
          <w:sz w:val="24"/>
          <w:szCs w:val="24"/>
          <w:u w:val="non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0FD">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Com fulcro na </w:t>
      </w:r>
      <w:r>
        <w:fldChar w:fldCharType="begin"/>
      </w:r>
      <w:r>
        <w:instrText xml:space="preserve"> HYPERLINK "http://www.planalto.gov.br/ccivil_03/_ato2019-2022/2021/lei/L14133.htm" \h </w:instrText>
      </w:r>
      <w:r>
        <w:fldChar w:fldCharType="separate"/>
      </w:r>
      <w:r>
        <w:rPr>
          <w:rFonts w:ascii="Arial" w:hAnsi="Arial" w:eastAsia="Arial" w:cs="Arial"/>
          <w:b w:val="0"/>
          <w:i w:val="0"/>
          <w:smallCaps w:val="0"/>
          <w:strike w:val="0"/>
          <w:color w:val="000000"/>
          <w:sz w:val="24"/>
          <w:szCs w:val="24"/>
          <w:u w:val="single"/>
          <w:shd w:val="clear" w:fill="auto"/>
          <w:vertAlign w:val="baseline"/>
          <w:rtl w:val="0"/>
        </w:rPr>
        <w:t>Lei nº 14.133, de 2021</w:t>
      </w:r>
      <w:r>
        <w:rPr>
          <w:rFonts w:ascii="Arial" w:hAnsi="Arial" w:eastAsia="Arial" w:cs="Arial"/>
          <w:b w:val="0"/>
          <w:i w:val="0"/>
          <w:smallCaps w:val="0"/>
          <w:strike w:val="0"/>
          <w:color w:val="000000"/>
          <w:sz w:val="24"/>
          <w:szCs w:val="24"/>
          <w:u w:val="singl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xml:space="preserve">, a Administração poderá, garantida a prévia defesa, aplicar aos licitantes e/ou adjudicatários as seguintes sanções, sem prejuízo das responsabilidades civil e criminal: </w:t>
      </w:r>
    </w:p>
    <w:p w14:paraId="000000FE">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advertência; </w:t>
      </w:r>
    </w:p>
    <w:p w14:paraId="000000FF">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multa;</w:t>
      </w:r>
    </w:p>
    <w:p w14:paraId="00000100">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impedimento de licitar e contratar e</w:t>
      </w:r>
    </w:p>
    <w:p w14:paraId="00000101">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declaração de inidoneidade para licitar ou contratar, enquanto perdurarem os motivos determinantes da punição ou até que seja promovida sua reabilitação perante a própria autoridade que aplicou a penalidade.</w:t>
      </w:r>
    </w:p>
    <w:p w14:paraId="00000102">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Na aplicação das sanções serão considerados:</w:t>
      </w:r>
    </w:p>
    <w:p w14:paraId="00000103">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natureza e a gravidade da infração cometida.</w:t>
      </w:r>
    </w:p>
    <w:p w14:paraId="00000104">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as peculiaridades do caso concreto</w:t>
      </w:r>
    </w:p>
    <w:p w14:paraId="00000105">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as circunstâncias agravantes ou atenuantes</w:t>
      </w:r>
    </w:p>
    <w:p w14:paraId="00000106">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danos que dela provierem para a Administração Pública</w:t>
      </w:r>
    </w:p>
    <w:p w14:paraId="00000107">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implantação ou o aperfeiçoamento de programa de integridade, conforme normas e orientações dos órgãos de controle.</w:t>
      </w:r>
    </w:p>
    <w:p w14:paraId="00000108">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 multa será recolhida em percentual de 0,5% a 50% incidente sobre o valor do contrato licitado, recolhida no prazo máximo de </w:t>
      </w:r>
      <w:r>
        <w:rPr>
          <w:rFonts w:ascii="Arial" w:hAnsi="Arial" w:eastAsia="Arial" w:cs="Arial"/>
          <w:b/>
          <w:i w:val="0"/>
          <w:smallCaps w:val="0"/>
          <w:strike w:val="0"/>
          <w:color w:val="000000"/>
          <w:sz w:val="24"/>
          <w:szCs w:val="24"/>
          <w:u w:val="none"/>
          <w:shd w:val="clear" w:fill="auto"/>
          <w:vertAlign w:val="baseline"/>
          <w:rtl w:val="0"/>
        </w:rPr>
        <w:t>30 (trinta) dias</w:t>
      </w:r>
      <w:r>
        <w:rPr>
          <w:rFonts w:ascii="Arial" w:hAnsi="Arial" w:eastAsia="Arial" w:cs="Arial"/>
          <w:b w:val="0"/>
          <w:i w:val="0"/>
          <w:smallCaps w:val="0"/>
          <w:strike w:val="0"/>
          <w:color w:val="000000"/>
          <w:sz w:val="24"/>
          <w:szCs w:val="24"/>
          <w:u w:val="none"/>
          <w:shd w:val="clear" w:fill="auto"/>
          <w:vertAlign w:val="baseline"/>
          <w:rtl w:val="0"/>
        </w:rPr>
        <w:t xml:space="preserve"> úteis, a contar da comunicação oficial. </w:t>
      </w:r>
    </w:p>
    <w:p w14:paraId="00000109">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bookmarkStart w:id="53" w:name="_heading=h.vfwjnl68ooj" w:colFirst="0" w:colLast="0"/>
      <w:bookmarkEnd w:id="53"/>
      <w:r>
        <w:rPr>
          <w:rFonts w:ascii="Arial" w:hAnsi="Arial" w:eastAsia="Arial" w:cs="Arial"/>
          <w:b w:val="0"/>
          <w:i w:val="0"/>
          <w:smallCaps w:val="0"/>
          <w:strike w:val="0"/>
          <w:color w:val="000000"/>
          <w:sz w:val="24"/>
          <w:szCs w:val="24"/>
          <w:u w:val="none"/>
          <w:shd w:val="clear" w:fill="auto"/>
          <w:vertAlign w:val="baseline"/>
          <w:rtl w:val="0"/>
        </w:rPr>
        <w:t>Para as infrações previstas nos itens 9.1.1, 9.1.2 e 9.1.3, a multa será de 0,5% a 50% do valor do contrato licitado.</w:t>
      </w:r>
    </w:p>
    <w:p w14:paraId="0000010A">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Para as infrações previstas nos itens 9.1.4, 9.1.5, 9.1.6, 9.1.7 e 9.1.8, a multa será de 15% a 50% do valor do contrato licitado.</w:t>
      </w:r>
    </w:p>
    <w:p w14:paraId="0000010B">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As sanções de advertência, impedimento de licitar e contratar e declaração de inidoneidade para licitar ou contratar poderão ser aplicadas, cumulativamente ou não, à penalidade de multa.</w:t>
      </w:r>
    </w:p>
    <w:p w14:paraId="0000010C">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Na aplicação da sanção de multa será facultada a defesa do interessado no prazo de 15 (quinze) dias úteis, contado da data de sua intimação.</w:t>
      </w:r>
    </w:p>
    <w:p w14:paraId="0000010D">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000010E">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"http://www.planalto.gov.br/ccivil_03/_ato2019-2022/2021/lei/L14133.htm#art156%C2%A75" \h </w:instrText>
      </w:r>
      <w:r>
        <w:fldChar w:fldCharType="separate"/>
      </w:r>
      <w:r>
        <w:rPr>
          <w:rFonts w:ascii="Arial" w:hAnsi="Arial" w:eastAsia="Arial" w:cs="Arial"/>
          <w:b w:val="0"/>
          <w:i w:val="0"/>
          <w:smallCaps w:val="0"/>
          <w:strike w:val="0"/>
          <w:color w:val="000000"/>
          <w:sz w:val="24"/>
          <w:szCs w:val="24"/>
          <w:u w:val="none"/>
          <w:shd w:val="clear" w:fill="auto"/>
          <w:vertAlign w:val="baseline"/>
          <w:rtl w:val="0"/>
        </w:rPr>
        <w:t>art. 156, §5º, da Lei n.º 14.133/2021</w:t>
      </w:r>
      <w:r>
        <w:rPr>
          <w:rFonts w:ascii="Arial" w:hAnsi="Arial" w:eastAsia="Arial" w:cs="Arial"/>
          <w:b w:val="0"/>
          <w:i w:val="0"/>
          <w:smallCaps w:val="0"/>
          <w:strike w:val="0"/>
          <w:color w:val="000000"/>
          <w:sz w:val="24"/>
          <w:szCs w:val="24"/>
          <w:u w:val="non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w:t>
      </w:r>
    </w:p>
    <w:p w14:paraId="0000010F">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r>
        <w:fldChar w:fldCharType="begin"/>
      </w:r>
      <w:r>
        <w:instrText xml:space="preserve"> HYPERLINK "https://www.gov.br/compras/pt-br/acesso-a-informacao/legislacao/instrucoes-normativas/instrucao-normativa-seges-me-no-73-de-30-de-setembro-de-2022" \h </w:instrText>
      </w:r>
      <w:r>
        <w:fldChar w:fldCharType="separate"/>
      </w:r>
      <w:r>
        <w:rPr>
          <w:rFonts w:ascii="Arial" w:hAnsi="Arial" w:eastAsia="Arial" w:cs="Arial"/>
          <w:b w:val="0"/>
          <w:i w:val="0"/>
          <w:smallCaps w:val="0"/>
          <w:strike w:val="0"/>
          <w:color w:val="000000"/>
          <w:sz w:val="24"/>
          <w:szCs w:val="24"/>
          <w:u w:val="none"/>
          <w:shd w:val="clear" w:fill="auto"/>
          <w:vertAlign w:val="baseline"/>
          <w:rtl w:val="0"/>
        </w:rPr>
        <w:t>art. 45, §4º da IN SEGES/ME n.º 73, de 2022</w:t>
      </w:r>
      <w:r>
        <w:rPr>
          <w:rFonts w:ascii="Arial" w:hAnsi="Arial" w:eastAsia="Arial" w:cs="Arial"/>
          <w:b w:val="0"/>
          <w:i w:val="0"/>
          <w:smallCaps w:val="0"/>
          <w:strike w:val="0"/>
          <w:color w:val="000000"/>
          <w:sz w:val="24"/>
          <w:szCs w:val="24"/>
          <w:u w:val="non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xml:space="preserve">. </w:t>
      </w:r>
    </w:p>
    <w:p w14:paraId="00000110">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0000111">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0000112">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000113">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recurso e o pedido de reconsideração terão efeito suspensivo do ato ou da decisão recorrida até que sobrevenha decisão final da autoridade competente.</w:t>
      </w:r>
    </w:p>
    <w:p w14:paraId="00000114">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aplicação das sanções previstas neste edital não exclui, em hipótese alguma, a obrigação de reparação integral dos danos causados.</w:t>
      </w:r>
    </w:p>
    <w:p w14:paraId="00000115">
      <w:pPr>
        <w:keepNext/>
        <w:keepLines/>
        <w:pageBreakBefore w:val="0"/>
        <w:widowControl/>
        <w:numPr>
          <w:ilvl w:val="0"/>
          <w:numId w:val="2"/>
        </w:numPr>
        <w:pBdr>
          <w:top w:val="single" w:color="000000" w:sz="4" w:space="1"/>
          <w:left w:val="single" w:color="000000" w:sz="4" w:space="4"/>
          <w:bottom w:val="single" w:color="000000" w:sz="4" w:space="1"/>
          <w:right w:val="single" w:color="000000" w:sz="4" w:space="4"/>
          <w:between w:val="none" w:color="auto" w:sz="0" w:space="0"/>
        </w:pBdr>
        <w:shd w:val="clear" w:fill="BFBFBF"/>
        <w:tabs>
          <w:tab w:val="left" w:pos="567"/>
        </w:tabs>
        <w:spacing w:before="288" w:after="288" w:line="312" w:lineRule="auto"/>
        <w:ind w:left="360" w:right="0" w:hanging="360"/>
        <w:jc w:val="both"/>
      </w:pPr>
      <w:bookmarkStart w:id="54" w:name="_heading=h.s5t1imgajqlq" w:colFirst="0" w:colLast="0"/>
      <w:bookmarkEnd w:id="54"/>
      <w:r>
        <w:rPr>
          <w:rFonts w:ascii="Arial" w:hAnsi="Arial" w:eastAsia="Arial" w:cs="Arial"/>
          <w:b/>
          <w:i w:val="0"/>
          <w:smallCaps w:val="0"/>
          <w:strike w:val="0"/>
          <w:color w:val="000000"/>
          <w:sz w:val="24"/>
          <w:szCs w:val="24"/>
          <w:u w:val="none"/>
          <w:shd w:val="clear" w:fill="auto"/>
          <w:vertAlign w:val="baseline"/>
          <w:rtl w:val="0"/>
        </w:rPr>
        <w:t>DA IMPUGNAÇÃO AO EDITAL E DO PEDIDO DE ESCLARECIMENTO</w:t>
      </w:r>
    </w:p>
    <w:p w14:paraId="00000116">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Qualquer pessoa é parte legítima para impugnar este Edital por irregularidade na aplicação da </w:t>
      </w:r>
      <w:r>
        <w:fldChar w:fldCharType="begin"/>
      </w:r>
      <w:r>
        <w:instrText xml:space="preserve"> HYPERLINK "http://www.planalto.gov.br/ccivil_03/_ato2019-2022/2021/lei/L14133.htm" \h </w:instrText>
      </w:r>
      <w:r>
        <w:fldChar w:fldCharType="separate"/>
      </w:r>
      <w:r>
        <w:rPr>
          <w:rFonts w:ascii="Arial" w:hAnsi="Arial" w:eastAsia="Arial" w:cs="Arial"/>
          <w:b w:val="0"/>
          <w:i w:val="0"/>
          <w:smallCaps w:val="0"/>
          <w:strike w:val="0"/>
          <w:color w:val="000000"/>
          <w:sz w:val="24"/>
          <w:szCs w:val="24"/>
          <w:u w:val="none"/>
          <w:shd w:val="clear" w:fill="auto"/>
          <w:vertAlign w:val="baseline"/>
          <w:rtl w:val="0"/>
        </w:rPr>
        <w:t>Lei nº 14.133, de 2021</w:t>
      </w:r>
      <w:r>
        <w:rPr>
          <w:rFonts w:ascii="Arial" w:hAnsi="Arial" w:eastAsia="Arial" w:cs="Arial"/>
          <w:b w:val="0"/>
          <w:i w:val="0"/>
          <w:smallCaps w:val="0"/>
          <w:strike w:val="0"/>
          <w:color w:val="000000"/>
          <w:sz w:val="24"/>
          <w:szCs w:val="24"/>
          <w:u w:val="none"/>
          <w:shd w:val="clear" w:fill="auto"/>
          <w:vertAlign w:val="baseline"/>
          <w:rtl w:val="0"/>
        </w:rPr>
        <w:fldChar w:fldCharType="end"/>
      </w:r>
      <w:r>
        <w:rPr>
          <w:rFonts w:ascii="Arial" w:hAnsi="Arial" w:eastAsia="Arial" w:cs="Arial"/>
          <w:b w:val="0"/>
          <w:i w:val="0"/>
          <w:smallCaps w:val="0"/>
          <w:strike w:val="0"/>
          <w:color w:val="000000"/>
          <w:sz w:val="24"/>
          <w:szCs w:val="24"/>
          <w:u w:val="none"/>
          <w:shd w:val="clear" w:fill="auto"/>
          <w:vertAlign w:val="baseline"/>
          <w:rtl w:val="0"/>
        </w:rPr>
        <w:t>, devendo protocolar o pedido até 3 (três) dias úteis antes da data da abertura do certame.</w:t>
      </w:r>
    </w:p>
    <w:p w14:paraId="00000117">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resposta à impugnação ou ao pedido de esclarecimento será divulgado em sítio eletrônico oficial no prazo de até 3 (três) dias úteis, limitado ao último dia útil anterior à data da abertura do certame.</w:t>
      </w:r>
    </w:p>
    <w:p w14:paraId="00000118">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 impugnação e o pedido de esclarecimento poderão ser realizados por forma eletrônica, </w:t>
      </w:r>
      <w:r>
        <w:rPr>
          <w:rFonts w:ascii="Arial" w:hAnsi="Arial" w:eastAsia="Arial" w:cs="Arial"/>
          <w:b w:val="0"/>
          <w:i/>
          <w:smallCaps w:val="0"/>
          <w:strike w:val="0"/>
          <w:color w:val="000000"/>
          <w:sz w:val="24"/>
          <w:szCs w:val="24"/>
          <w:u w:val="none"/>
          <w:shd w:val="clear" w:fill="auto"/>
          <w:vertAlign w:val="baseline"/>
          <w:rtl w:val="0"/>
        </w:rPr>
        <w:t>exclusivamente na Plataforma do Portal de Compras Públicas (www.portaldecompraspublicas.com.br).</w:t>
      </w:r>
    </w:p>
    <w:p w14:paraId="00000119">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As impugnações e pedidos de esclarecimentos não suspendem os prazos previstos no certame.</w:t>
      </w:r>
    </w:p>
    <w:p w14:paraId="0000011A">
      <w:pPr>
        <w:keepNext w:val="0"/>
        <w:keepLines w:val="0"/>
        <w:pageBreakBefore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1638" w:right="0" w:hanging="504"/>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concessão de efeito suspensivo à impugnação é medida excepcional e deverá ser motivada pelo agente de contratação, nos autos do processo de licitação.</w:t>
      </w:r>
    </w:p>
    <w:p w14:paraId="0000011B">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Acolhida a impugnação, será definida e publicada nova data para a realização do certame.</w:t>
      </w:r>
    </w:p>
    <w:p w14:paraId="0000011C">
      <w:pPr>
        <w:keepNext/>
        <w:keepLines/>
        <w:pageBreakBefore w:val="0"/>
        <w:widowControl/>
        <w:numPr>
          <w:ilvl w:val="0"/>
          <w:numId w:val="2"/>
        </w:numPr>
        <w:pBdr>
          <w:top w:val="single" w:color="000000" w:sz="4" w:space="1"/>
          <w:left w:val="single" w:color="000000" w:sz="4" w:space="4"/>
          <w:bottom w:val="single" w:color="000000" w:sz="4" w:space="1"/>
          <w:right w:val="single" w:color="000000" w:sz="4" w:space="4"/>
          <w:between w:val="none" w:color="auto" w:sz="0" w:space="0"/>
        </w:pBdr>
        <w:shd w:val="clear" w:fill="BFBFBF"/>
        <w:tabs>
          <w:tab w:val="left" w:pos="567"/>
        </w:tabs>
        <w:spacing w:before="288" w:after="288" w:line="312" w:lineRule="auto"/>
        <w:ind w:left="360" w:right="0" w:hanging="360"/>
        <w:jc w:val="both"/>
      </w:pPr>
      <w:bookmarkStart w:id="55" w:name="_heading=h.kv5wvpxku0v4" w:colFirst="0" w:colLast="0"/>
      <w:bookmarkEnd w:id="55"/>
      <w:r>
        <w:rPr>
          <w:rFonts w:ascii="Arial" w:hAnsi="Arial" w:eastAsia="Arial" w:cs="Arial"/>
          <w:b/>
          <w:i w:val="0"/>
          <w:smallCaps w:val="0"/>
          <w:strike w:val="0"/>
          <w:color w:val="000000"/>
          <w:sz w:val="24"/>
          <w:szCs w:val="24"/>
          <w:u w:val="none"/>
          <w:shd w:val="clear" w:fill="auto"/>
          <w:vertAlign w:val="baseline"/>
          <w:rtl w:val="0"/>
        </w:rPr>
        <w:t>DAS DISPOSIÇÕES GERAIS</w:t>
      </w:r>
    </w:p>
    <w:p w14:paraId="0000011D">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bookmarkStart w:id="56" w:name="_heading=h.2ymdfjnowv6i" w:colFirst="0" w:colLast="0"/>
      <w:bookmarkEnd w:id="56"/>
      <w:r>
        <w:rPr>
          <w:rFonts w:ascii="Arial" w:hAnsi="Arial" w:eastAsia="Arial" w:cs="Arial"/>
          <w:b w:val="0"/>
          <w:i w:val="0"/>
          <w:smallCaps w:val="0"/>
          <w:strike w:val="0"/>
          <w:color w:val="000000"/>
          <w:sz w:val="24"/>
          <w:szCs w:val="24"/>
          <w:u w:val="none"/>
          <w:shd w:val="clear" w:fill="auto"/>
          <w:vertAlign w:val="baseline"/>
          <w:rtl w:val="0"/>
        </w:rPr>
        <w:t>Será divulgada ata da sessão pública no sistema eletrônico.</w:t>
      </w:r>
    </w:p>
    <w:p w14:paraId="0000011E">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000011F">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Todas as referências de tempo no Edital, no aviso e durante a sessão pública observarão o horário de Brasília - DF.</w:t>
      </w:r>
    </w:p>
    <w:p w14:paraId="00000120">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 homologação do resultado desta licitação não implicará direito à contratação.</w:t>
      </w:r>
    </w:p>
    <w:p w14:paraId="00000121">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0000122">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Os licitantes assumem todos os custos de preparação e apresentação de suas propostas e a Administração não será, em nenhum caso, responsável por esses custos, independentemente da condução ou do resultado do processo licitatório.</w:t>
      </w:r>
    </w:p>
    <w:p w14:paraId="00000123">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Na contagem dos prazos estabelecidos neste Edital e seus Anexos, excluir-se-á o dia do início e incluir-se-á o do vencimento. Só se iniciam e vencem os prazos em dias de expediente na Administração.</w:t>
      </w:r>
    </w:p>
    <w:p w14:paraId="00000124">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desatendimento de exigências formais não essenciais não importará o afastamento do licitante, desde que seja possível o aproveitamento do ato, observados os princípios da isonomia e do interesse público.</w:t>
      </w:r>
    </w:p>
    <w:p w14:paraId="00000125">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Em caso de divergência entre disposições deste Edital e de seus anexos ou demais peças que compõem o processo, prevalecerá as deste Edital.</w:t>
      </w:r>
    </w:p>
    <w:p w14:paraId="00000126">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O Edital e seus anexos estão disponíveis, na íntegra, no Portal Nacional de Contratações Públicas (PNCP) e endereço eletrônico do Portal de Compras Públicas (www.portaldecompraspublicas.com.br).</w:t>
      </w:r>
    </w:p>
    <w:p w14:paraId="00000127">
      <w:pPr>
        <w:keepNext w:val="0"/>
        <w:keepLines w:val="0"/>
        <w:pageBreakBefore w:val="0"/>
        <w:widowControl/>
        <w:numPr>
          <w:ilvl w:val="1"/>
          <w:numId w:val="2"/>
        </w:numPr>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999" w:right="0" w:hanging="432"/>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Integram este Edital, para todos os fins e efeitos, os seguintes anexos:</w:t>
      </w:r>
    </w:p>
    <w:p w14:paraId="0000012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84"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ANEXO I – TERMO DE REFERÊNCIA.</w:t>
      </w:r>
    </w:p>
    <w:p w14:paraId="0000012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84"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ANEXO II – MODELO DE PROPOSTA DE PREÇOS;</w:t>
      </w:r>
    </w:p>
    <w:p w14:paraId="0000012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84"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ANEXO III –MODELO DE DECLARAÇÃO DE SUJEIÇÃO ÀS CONDIÇÕES ESTABELECIDAS NO EDITAL E DE INEXISTÊNCIA DE FATOS SUPERVENIENTES IMPEDITIVOS DA HABILITAÇÃO;</w:t>
      </w:r>
    </w:p>
    <w:p w14:paraId="0000012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84"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ANEXO IV – MODELO DE DECLARAÇÃO NOS TERMOS DO INCISO XXXIII, ART. 7º DA CONSTITUIÇÃO FEDERAL;</w:t>
      </w:r>
    </w:p>
    <w:p w14:paraId="0000012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84"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ANEXO V – MODELO DE DECLARAÇÃO DE ELABORAÇÃO INDEPENDENTE DE PROPOSTA;</w:t>
      </w:r>
    </w:p>
    <w:p w14:paraId="0000012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84"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ANEXO VI – MODELO DE DECLARAÇÃO DO PORTE DA EMPRESA;</w:t>
      </w:r>
    </w:p>
    <w:p w14:paraId="0000012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84"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ANEXO VII – MODELO DE DECLARAÇÃO DE IDONEIDADE;</w:t>
      </w:r>
    </w:p>
    <w:p w14:paraId="0000012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84"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ANEXO VIII –DECLARAÇÃO DE CUMPRIMENTO DOS REQUISITOS DE HABILITAÇÃO;</w:t>
      </w:r>
    </w:p>
    <w:p w14:paraId="0000013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284"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ANEXO IX– MINUTA DO CONTRATO.</w:t>
      </w:r>
    </w:p>
    <w:p w14:paraId="0000013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20" w:after="120" w:line="276" w:lineRule="auto"/>
        <w:ind w:left="4969" w:right="0" w:firstLine="0"/>
        <w:jc w:val="both"/>
        <w:rPr>
          <w:rFonts w:ascii="Arial" w:hAnsi="Arial" w:eastAsia="Arial" w:cs="Arial"/>
          <w:b w:val="0"/>
          <w:i w:val="0"/>
          <w:smallCaps w:val="0"/>
          <w:strike w:val="0"/>
          <w:color w:val="000000"/>
          <w:sz w:val="24"/>
          <w:szCs w:val="24"/>
          <w:u w:val="none"/>
          <w:shd w:val="clear" w:fill="auto"/>
          <w:vertAlign w:val="baseline"/>
        </w:rPr>
      </w:pPr>
    </w:p>
    <w:p w14:paraId="00000132">
      <w:pPr>
        <w:spacing w:before="288" w:after="288" w:line="312" w:lineRule="auto"/>
        <w:jc w:val="center"/>
        <w:rPr>
          <w:rFonts w:ascii="Arial" w:hAnsi="Arial" w:eastAsia="Arial" w:cs="Arial"/>
        </w:rPr>
      </w:pPr>
      <w:r>
        <w:rPr>
          <w:rFonts w:ascii="Arial" w:hAnsi="Arial" w:eastAsia="Arial" w:cs="Arial"/>
          <w:rtl w:val="0"/>
        </w:rPr>
        <w:t>Macururé, 19 de março de 2025.</w:t>
      </w:r>
    </w:p>
    <w:p w14:paraId="00000133">
      <w:pPr>
        <w:spacing w:before="288" w:after="288" w:line="312" w:lineRule="auto"/>
        <w:jc w:val="center"/>
        <w:rPr>
          <w:rFonts w:ascii="Arial" w:hAnsi="Arial" w:eastAsia="Arial" w:cs="Arial"/>
        </w:rPr>
      </w:pPr>
    </w:p>
    <w:p w14:paraId="00000134">
      <w:pPr>
        <w:keepLines/>
        <w:ind w:right="51" w:hanging="2"/>
        <w:jc w:val="center"/>
        <w:rPr>
          <w:rFonts w:ascii="Arial" w:hAnsi="Arial" w:eastAsia="Arial" w:cs="Arial"/>
          <w:vertAlign w:val="baseline"/>
        </w:rPr>
      </w:pPr>
      <w:r>
        <w:rPr>
          <w:rFonts w:ascii="Arial" w:hAnsi="Arial" w:eastAsia="Arial" w:cs="Arial"/>
          <w:b/>
          <w:i/>
          <w:vertAlign w:val="baseline"/>
          <w:rtl w:val="0"/>
        </w:rPr>
        <w:t>Leandro Bergue Gomes da Cruz.</w:t>
      </w:r>
    </w:p>
    <w:p w14:paraId="00000135">
      <w:pPr>
        <w:keepLines/>
        <w:spacing w:line="360" w:lineRule="auto"/>
        <w:ind w:right="-81" w:hanging="2"/>
        <w:jc w:val="center"/>
        <w:rPr>
          <w:rFonts w:ascii="Arial" w:hAnsi="Arial" w:eastAsia="Arial" w:cs="Arial"/>
          <w:vertAlign w:val="baseline"/>
        </w:rPr>
      </w:pPr>
      <w:r>
        <w:rPr>
          <w:rFonts w:ascii="Arial" w:hAnsi="Arial" w:eastAsia="Arial" w:cs="Arial"/>
          <w:i/>
          <w:vertAlign w:val="baseline"/>
          <w:rtl w:val="0"/>
        </w:rPr>
        <w:t>Prefeito.</w:t>
      </w:r>
    </w:p>
    <w:p w14:paraId="00000136">
      <w:pPr>
        <w:spacing w:before="288" w:after="288" w:line="312" w:lineRule="auto"/>
        <w:ind w:firstLine="567"/>
        <w:rPr>
          <w:rFonts w:ascii="Arial" w:hAnsi="Arial" w:eastAsia="Arial" w:cs="Arial"/>
        </w:rPr>
      </w:pPr>
    </w:p>
    <w:p w14:paraId="00000137">
      <w:pPr>
        <w:spacing w:before="288" w:after="288" w:line="312" w:lineRule="auto"/>
        <w:ind w:firstLine="567"/>
        <w:rPr>
          <w:rFonts w:ascii="Arial" w:hAnsi="Arial" w:eastAsia="Arial" w:cs="Arial"/>
        </w:rPr>
      </w:pPr>
    </w:p>
    <w:p w14:paraId="00000138">
      <w:pPr>
        <w:spacing w:before="288" w:after="288" w:line="312" w:lineRule="auto"/>
        <w:ind w:firstLine="567"/>
        <w:rPr>
          <w:rFonts w:ascii="Arial" w:hAnsi="Arial" w:eastAsia="Arial" w:cs="Arial"/>
        </w:rPr>
      </w:pPr>
    </w:p>
    <w:p w14:paraId="00000139">
      <w:pPr>
        <w:spacing w:before="288" w:after="288" w:line="312" w:lineRule="auto"/>
        <w:ind w:firstLine="567"/>
        <w:rPr>
          <w:rFonts w:ascii="Arial" w:hAnsi="Arial" w:eastAsia="Arial" w:cs="Arial"/>
        </w:rPr>
      </w:pPr>
    </w:p>
    <w:p w14:paraId="0000013A">
      <w:pPr>
        <w:spacing w:before="288" w:after="288" w:line="312" w:lineRule="auto"/>
        <w:ind w:firstLine="567"/>
        <w:rPr>
          <w:rFonts w:ascii="Arial" w:hAnsi="Arial" w:eastAsia="Arial" w:cs="Arial"/>
        </w:rPr>
      </w:pPr>
    </w:p>
    <w:p w14:paraId="0000013B">
      <w:pPr>
        <w:spacing w:before="288" w:after="288" w:line="312" w:lineRule="auto"/>
        <w:ind w:firstLine="567"/>
        <w:rPr>
          <w:rFonts w:ascii="Arial" w:hAnsi="Arial" w:eastAsia="Arial" w:cs="Arial"/>
        </w:rPr>
      </w:pPr>
    </w:p>
    <w:p w14:paraId="0000013C">
      <w:pPr>
        <w:spacing w:before="288" w:after="288" w:line="312" w:lineRule="auto"/>
        <w:ind w:firstLine="567"/>
        <w:rPr>
          <w:rFonts w:ascii="Arial" w:hAnsi="Arial" w:eastAsia="Arial" w:cs="Arial"/>
        </w:rPr>
      </w:pPr>
    </w:p>
    <w:p w14:paraId="0000013D">
      <w:pPr>
        <w:spacing w:before="288" w:after="288" w:line="312" w:lineRule="auto"/>
        <w:ind w:firstLine="567"/>
        <w:rPr>
          <w:rFonts w:ascii="Arial" w:hAnsi="Arial" w:eastAsia="Arial" w:cs="Arial"/>
        </w:rPr>
      </w:pPr>
    </w:p>
    <w:p w14:paraId="0000013E">
      <w:pPr>
        <w:spacing w:before="288" w:after="288" w:line="312" w:lineRule="auto"/>
        <w:ind w:firstLine="567"/>
        <w:rPr>
          <w:rFonts w:ascii="Arial" w:hAnsi="Arial" w:eastAsia="Arial" w:cs="Arial"/>
        </w:rPr>
      </w:pPr>
    </w:p>
    <w:p w14:paraId="0000013F">
      <w:pPr>
        <w:shd w:val="clear" w:fill="FFFFFF"/>
        <w:tabs>
          <w:tab w:val="left" w:pos="567"/>
        </w:tabs>
        <w:jc w:val="both"/>
        <w:rPr>
          <w:rFonts w:ascii="Arial" w:hAnsi="Arial" w:eastAsia="Arial" w:cs="Arial"/>
          <w:b/>
        </w:rPr>
      </w:pPr>
    </w:p>
    <w:p w14:paraId="00000140">
      <w:pPr>
        <w:pBdr>
          <w:top w:val="single" w:color="000000" w:sz="4" w:space="1"/>
          <w:bottom w:val="single" w:color="000000" w:sz="4" w:space="1"/>
        </w:pBdr>
        <w:shd w:val="clear" w:fill="D9D9D9"/>
        <w:jc w:val="center"/>
        <w:rPr>
          <w:rFonts w:ascii="Arial" w:hAnsi="Arial" w:eastAsia="Arial" w:cs="Arial"/>
          <w:b/>
        </w:rPr>
      </w:pPr>
      <w:r>
        <w:rPr>
          <w:rFonts w:ascii="Arial" w:hAnsi="Arial" w:eastAsia="Arial" w:cs="Arial"/>
          <w:b/>
          <w:rtl w:val="0"/>
        </w:rPr>
        <w:t>ANEXO I – TERMO DE REFERÊNCIA.</w:t>
      </w:r>
    </w:p>
    <w:p w14:paraId="00000141">
      <w:pPr>
        <w:shd w:val="clear" w:fill="FFFFFF"/>
        <w:tabs>
          <w:tab w:val="left" w:pos="567"/>
        </w:tabs>
        <w:jc w:val="both"/>
        <w:rPr>
          <w:rFonts w:ascii="Arial" w:hAnsi="Arial" w:eastAsia="Arial" w:cs="Arial"/>
          <w:b/>
        </w:rPr>
      </w:pPr>
    </w:p>
    <w:p w14:paraId="00000142">
      <w:pPr>
        <w:shd w:val="clear" w:fill="FFFFFF"/>
        <w:tabs>
          <w:tab w:val="left" w:pos="567"/>
        </w:tabs>
        <w:jc w:val="both"/>
        <w:rPr>
          <w:rFonts w:ascii="Arial" w:hAnsi="Arial" w:eastAsia="Arial" w:cs="Arial"/>
          <w:b/>
        </w:rPr>
      </w:pPr>
    </w:p>
    <w:p w14:paraId="00000143">
      <w:pPr>
        <w:shd w:val="clear" w:fill="FFFFFF"/>
        <w:tabs>
          <w:tab w:val="left" w:pos="567"/>
        </w:tabs>
        <w:jc w:val="center"/>
        <w:rPr>
          <w:rFonts w:ascii="Arial" w:hAnsi="Arial" w:eastAsia="Arial" w:cs="Arial"/>
          <w:b/>
        </w:rPr>
      </w:pPr>
      <w:r>
        <w:rPr>
          <w:rFonts w:ascii="Arial" w:hAnsi="Arial" w:eastAsia="Arial" w:cs="Arial"/>
          <w:b/>
          <w:rtl w:val="0"/>
        </w:rPr>
        <w:t>ANEXO AO EDITAL.</w:t>
      </w:r>
    </w:p>
    <w:p w14:paraId="00000144">
      <w:pPr>
        <w:shd w:val="clear" w:fill="FFFFFF"/>
        <w:tabs>
          <w:tab w:val="left" w:pos="567"/>
        </w:tabs>
        <w:jc w:val="both"/>
        <w:rPr>
          <w:rFonts w:ascii="Arial" w:hAnsi="Arial" w:eastAsia="Arial" w:cs="Arial"/>
          <w:b/>
        </w:rPr>
      </w:pPr>
    </w:p>
    <w:p w14:paraId="00000145">
      <w:pPr>
        <w:shd w:val="clear" w:fill="FFFFFF"/>
        <w:tabs>
          <w:tab w:val="left" w:pos="567"/>
        </w:tabs>
        <w:jc w:val="both"/>
        <w:rPr>
          <w:rFonts w:ascii="Arial" w:hAnsi="Arial" w:eastAsia="Arial" w:cs="Arial"/>
          <w:b/>
        </w:rPr>
      </w:pPr>
    </w:p>
    <w:p w14:paraId="00000146">
      <w:pPr>
        <w:shd w:val="clear" w:fill="FFFFFF"/>
        <w:tabs>
          <w:tab w:val="left" w:pos="567"/>
        </w:tabs>
        <w:jc w:val="both"/>
        <w:rPr>
          <w:rFonts w:ascii="Arial" w:hAnsi="Arial" w:eastAsia="Arial" w:cs="Arial"/>
          <w:b/>
        </w:rPr>
      </w:pPr>
    </w:p>
    <w:p w14:paraId="00000147">
      <w:pPr>
        <w:pBdr>
          <w:top w:val="single" w:color="000000" w:sz="4" w:space="1"/>
          <w:bottom w:val="single" w:color="000000" w:sz="4" w:space="1"/>
        </w:pBdr>
        <w:shd w:val="clear" w:fill="D9D9D9"/>
        <w:jc w:val="center"/>
        <w:rPr>
          <w:rFonts w:ascii="Arial" w:hAnsi="Arial" w:eastAsia="Arial" w:cs="Arial"/>
          <w:b/>
        </w:rPr>
      </w:pPr>
      <w:r>
        <w:rPr>
          <w:rFonts w:ascii="Arial" w:hAnsi="Arial" w:eastAsia="Arial" w:cs="Arial"/>
          <w:b/>
          <w:rtl w:val="0"/>
        </w:rPr>
        <w:t>ANEXO II – PROPOSTA DE PREÇOS (MODELO)</w:t>
      </w:r>
    </w:p>
    <w:p w14:paraId="00000148">
      <w:pPr>
        <w:jc w:val="both"/>
        <w:rPr>
          <w:rFonts w:ascii="Arial" w:hAnsi="Arial" w:eastAsia="Arial" w:cs="Arial"/>
          <w:b/>
        </w:rPr>
      </w:pPr>
    </w:p>
    <w:p w14:paraId="00000149">
      <w:pPr>
        <w:jc w:val="both"/>
        <w:rPr>
          <w:rFonts w:ascii="Arial" w:hAnsi="Arial" w:eastAsia="Arial" w:cs="Arial"/>
          <w:b/>
        </w:rPr>
      </w:pPr>
      <w:r>
        <w:rPr>
          <w:rFonts w:ascii="Arial" w:hAnsi="Arial" w:eastAsia="Arial" w:cs="Arial"/>
          <w:b/>
          <w:rtl w:val="0"/>
        </w:rPr>
        <w:t>PROCESSO LICITATÓRIO Nº 0XX/202X.</w:t>
      </w:r>
    </w:p>
    <w:p w14:paraId="0000014A">
      <w:pPr>
        <w:jc w:val="both"/>
        <w:rPr>
          <w:rFonts w:ascii="Arial" w:hAnsi="Arial" w:eastAsia="Arial" w:cs="Arial"/>
          <w:b/>
        </w:rPr>
      </w:pPr>
      <w:r>
        <w:rPr>
          <w:rFonts w:ascii="Arial" w:hAnsi="Arial" w:eastAsia="Arial" w:cs="Arial"/>
          <w:b/>
          <w:rtl w:val="0"/>
        </w:rPr>
        <w:t>PREGÃO ELETRÔNICO Nº 00X/202X.</w:t>
      </w:r>
    </w:p>
    <w:p w14:paraId="0000014B">
      <w:pPr>
        <w:jc w:val="both"/>
        <w:rPr>
          <w:rFonts w:ascii="Arial" w:hAnsi="Arial" w:eastAsia="Arial" w:cs="Arial"/>
          <w:b/>
        </w:rPr>
      </w:pPr>
    </w:p>
    <w:p w14:paraId="0000014C">
      <w:pPr>
        <w:jc w:val="both"/>
        <w:rPr>
          <w:rFonts w:ascii="Arial" w:hAnsi="Arial" w:eastAsia="Arial" w:cs="Arial"/>
        </w:rPr>
      </w:pPr>
      <w:r>
        <w:rPr>
          <w:rFonts w:ascii="Arial" w:hAnsi="Arial" w:eastAsia="Arial" w:cs="Arial"/>
          <w:rtl w:val="0"/>
        </w:rPr>
        <w:t>SESSÃO PÚBLICA: ___/___/2025, ÀS ___H___MIN (___) HORAS.</w:t>
      </w:r>
    </w:p>
    <w:p w14:paraId="0000014D">
      <w:pPr>
        <w:jc w:val="both"/>
        <w:rPr>
          <w:rFonts w:ascii="Arial" w:hAnsi="Arial" w:eastAsia="Arial" w:cs="Arial"/>
        </w:rPr>
      </w:pPr>
      <w:r>
        <w:rPr>
          <w:rFonts w:ascii="Arial" w:hAnsi="Arial" w:eastAsia="Arial" w:cs="Arial"/>
          <w:rtl w:val="0"/>
        </w:rPr>
        <w:t xml:space="preserve">LOCAL:  </w:t>
      </w:r>
      <w:r>
        <w:rPr>
          <w:rFonts w:ascii="Arial" w:hAnsi="Arial" w:eastAsia="Arial" w:cs="Arial"/>
          <w:b/>
          <w:rtl w:val="0"/>
        </w:rPr>
        <w:t>PREFEITURA MUNCIPAL DE MACURURÉ/BA</w:t>
      </w:r>
    </w:p>
    <w:p w14:paraId="0000014E">
      <w:pPr>
        <w:jc w:val="both"/>
        <w:rPr>
          <w:rFonts w:ascii="Arial" w:hAnsi="Arial" w:eastAsia="Arial" w:cs="Arial"/>
        </w:rPr>
      </w:pPr>
    </w:p>
    <w:p w14:paraId="0000014F">
      <w:pPr>
        <w:jc w:val="both"/>
        <w:rPr>
          <w:rFonts w:ascii="Arial" w:hAnsi="Arial" w:eastAsia="Arial" w:cs="Arial"/>
        </w:rPr>
      </w:pPr>
      <w:r>
        <w:rPr>
          <w:rFonts w:ascii="Arial" w:hAnsi="Arial" w:eastAsia="Arial" w:cs="Arial"/>
          <w:rtl w:val="0"/>
        </w:rPr>
        <w:t>IDENTIFICAÇÃO DA PROPONENTE:</w:t>
      </w:r>
    </w:p>
    <w:p w14:paraId="00000150">
      <w:pPr>
        <w:jc w:val="both"/>
        <w:rPr>
          <w:rFonts w:ascii="Arial" w:hAnsi="Arial" w:eastAsia="Arial" w:cs="Arial"/>
        </w:rPr>
      </w:pPr>
    </w:p>
    <w:tbl>
      <w:tblPr>
        <w:tblStyle w:val="132"/>
        <w:tblW w:w="100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676"/>
        <w:gridCol w:w="3309"/>
        <w:gridCol w:w="216"/>
        <w:gridCol w:w="871"/>
        <w:gridCol w:w="971"/>
        <w:gridCol w:w="1045"/>
        <w:gridCol w:w="1559"/>
        <w:gridCol w:w="1418"/>
      </w:tblGrid>
      <w:tr w14:paraId="662A8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97" w:hRule="atLeast"/>
        </w:trPr>
        <w:tc>
          <w:tcPr>
            <w:gridSpan w:val="8"/>
            <w:tcBorders>
              <w:top w:val="single" w:color="000000" w:sz="4" w:space="0"/>
              <w:left w:val="single" w:color="000000" w:sz="4" w:space="0"/>
              <w:bottom w:val="single" w:color="000000" w:sz="4" w:space="0"/>
              <w:right w:val="single" w:color="000000" w:sz="4" w:space="0"/>
            </w:tcBorders>
          </w:tcPr>
          <w:p w14:paraId="00000151">
            <w:pPr>
              <w:jc w:val="both"/>
              <w:rPr>
                <w:rFonts w:ascii="Arial" w:hAnsi="Arial" w:eastAsia="Arial" w:cs="Arial"/>
                <w:b/>
              </w:rPr>
            </w:pPr>
            <w:r>
              <w:rPr>
                <w:rFonts w:ascii="Arial" w:hAnsi="Arial" w:eastAsia="Arial" w:cs="Arial"/>
                <w:b/>
                <w:rtl w:val="0"/>
              </w:rPr>
              <w:t>NOME DE FANTASIA:</w:t>
            </w:r>
          </w:p>
        </w:tc>
      </w:tr>
      <w:tr w14:paraId="5B251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16" w:hRule="atLeast"/>
        </w:trPr>
        <w:tc>
          <w:tcPr>
            <w:gridSpan w:val="8"/>
            <w:tcBorders>
              <w:top w:val="single" w:color="000000" w:sz="4" w:space="0"/>
              <w:left w:val="single" w:color="000000" w:sz="4" w:space="0"/>
              <w:bottom w:val="single" w:color="000000" w:sz="4" w:space="0"/>
              <w:right w:val="single" w:color="000000" w:sz="4" w:space="0"/>
            </w:tcBorders>
          </w:tcPr>
          <w:p w14:paraId="00000159">
            <w:pPr>
              <w:jc w:val="both"/>
              <w:rPr>
                <w:rFonts w:ascii="Arial" w:hAnsi="Arial" w:eastAsia="Arial" w:cs="Arial"/>
                <w:b/>
              </w:rPr>
            </w:pPr>
            <w:r>
              <w:rPr>
                <w:rFonts w:ascii="Arial" w:hAnsi="Arial" w:eastAsia="Arial" w:cs="Arial"/>
                <w:b/>
                <w:rtl w:val="0"/>
              </w:rPr>
              <w:t>RAZÃO SOCIAL:</w:t>
            </w:r>
          </w:p>
        </w:tc>
      </w:tr>
      <w:tr w14:paraId="11E48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216" w:hRule="atLeast"/>
        </w:trPr>
        <w:tc>
          <w:tcPr>
            <w:gridSpan w:val="8"/>
            <w:tcBorders>
              <w:top w:val="single" w:color="000000" w:sz="4" w:space="0"/>
              <w:left w:val="single" w:color="000000" w:sz="4" w:space="0"/>
              <w:bottom w:val="single" w:color="000000" w:sz="4" w:space="0"/>
              <w:right w:val="single" w:color="000000" w:sz="4" w:space="0"/>
            </w:tcBorders>
          </w:tcPr>
          <w:p w14:paraId="00000161">
            <w:pPr>
              <w:jc w:val="both"/>
              <w:rPr>
                <w:rFonts w:ascii="Arial" w:hAnsi="Arial" w:eastAsia="Arial" w:cs="Arial"/>
                <w:b/>
              </w:rPr>
            </w:pPr>
            <w:r>
              <w:rPr>
                <w:rFonts w:ascii="Arial" w:hAnsi="Arial" w:eastAsia="Arial" w:cs="Arial"/>
                <w:b/>
                <w:rtl w:val="0"/>
              </w:rPr>
              <w:t>CNPJ:</w:t>
            </w:r>
          </w:p>
        </w:tc>
      </w:tr>
      <w:tr w14:paraId="6F6FD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132" w:hRule="atLeast"/>
        </w:trPr>
        <w:tc>
          <w:tcPr>
            <w:gridSpan w:val="8"/>
            <w:tcBorders>
              <w:top w:val="single" w:color="000000" w:sz="4" w:space="0"/>
              <w:left w:val="single" w:color="000000" w:sz="4" w:space="0"/>
              <w:bottom w:val="single" w:color="000000" w:sz="4" w:space="0"/>
              <w:right w:val="single" w:color="000000" w:sz="4" w:space="0"/>
            </w:tcBorders>
          </w:tcPr>
          <w:p w14:paraId="00000169">
            <w:pPr>
              <w:jc w:val="both"/>
              <w:rPr>
                <w:rFonts w:ascii="Arial" w:hAnsi="Arial" w:eastAsia="Arial" w:cs="Arial"/>
                <w:b/>
              </w:rPr>
            </w:pPr>
            <w:r>
              <w:rPr>
                <w:rFonts w:ascii="Arial" w:hAnsi="Arial" w:eastAsia="Arial" w:cs="Arial"/>
                <w:b/>
                <w:rtl w:val="0"/>
              </w:rPr>
              <w:t>INSC. EST.:</w:t>
            </w:r>
          </w:p>
        </w:tc>
      </w:tr>
      <w:tr w14:paraId="07C56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132" w:hRule="atLeast"/>
        </w:trPr>
        <w:tc>
          <w:tcPr>
            <w:gridSpan w:val="8"/>
            <w:tcBorders>
              <w:top w:val="single" w:color="000000" w:sz="4" w:space="0"/>
              <w:left w:val="single" w:color="000000" w:sz="4" w:space="0"/>
              <w:bottom w:val="single" w:color="000000" w:sz="4" w:space="0"/>
              <w:right w:val="single" w:color="000000" w:sz="4" w:space="0"/>
            </w:tcBorders>
          </w:tcPr>
          <w:p w14:paraId="00000171">
            <w:pPr>
              <w:jc w:val="both"/>
              <w:rPr>
                <w:rFonts w:ascii="Arial" w:hAnsi="Arial" w:eastAsia="Arial" w:cs="Arial"/>
                <w:b/>
              </w:rPr>
            </w:pPr>
            <w:r>
              <w:rPr>
                <w:rFonts w:ascii="Arial" w:hAnsi="Arial" w:eastAsia="Arial" w:cs="Arial"/>
                <w:b/>
                <w:rtl w:val="0"/>
              </w:rPr>
              <w:t>OPTANTE PELO SIMPLES? SIM (    ) NÃO(    )</w:t>
            </w:r>
          </w:p>
        </w:tc>
      </w:tr>
      <w:tr w14:paraId="168B6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109" w:hRule="atLeast"/>
        </w:trPr>
        <w:tc>
          <w:tcPr>
            <w:gridSpan w:val="8"/>
            <w:tcBorders>
              <w:top w:val="single" w:color="000000" w:sz="4" w:space="0"/>
              <w:left w:val="single" w:color="000000" w:sz="4" w:space="0"/>
              <w:bottom w:val="single" w:color="000000" w:sz="4" w:space="0"/>
              <w:right w:val="single" w:color="000000" w:sz="4" w:space="0"/>
            </w:tcBorders>
          </w:tcPr>
          <w:p w14:paraId="00000179">
            <w:pPr>
              <w:jc w:val="both"/>
              <w:rPr>
                <w:rFonts w:ascii="Arial" w:hAnsi="Arial" w:eastAsia="Arial" w:cs="Arial"/>
                <w:b/>
              </w:rPr>
            </w:pPr>
            <w:r>
              <w:rPr>
                <w:rFonts w:ascii="Arial" w:hAnsi="Arial" w:eastAsia="Arial" w:cs="Arial"/>
                <w:b/>
                <w:rtl w:val="0"/>
              </w:rPr>
              <w:t>ENDEREÇO:</w:t>
            </w:r>
          </w:p>
        </w:tc>
      </w:tr>
      <w:tr w14:paraId="2C468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96" w:hRule="atLeast"/>
        </w:trPr>
        <w:tc>
          <w:tcPr>
            <w:gridSpan w:val="2"/>
            <w:tcBorders>
              <w:top w:val="single" w:color="000000" w:sz="4" w:space="0"/>
              <w:left w:val="single" w:color="000000" w:sz="4" w:space="0"/>
              <w:bottom w:val="single" w:color="000000" w:sz="4" w:space="0"/>
              <w:right w:val="single" w:color="000000" w:sz="4" w:space="0"/>
            </w:tcBorders>
          </w:tcPr>
          <w:p w14:paraId="00000181">
            <w:pPr>
              <w:jc w:val="both"/>
              <w:rPr>
                <w:rFonts w:ascii="Arial" w:hAnsi="Arial" w:eastAsia="Arial" w:cs="Arial"/>
                <w:b/>
              </w:rPr>
            </w:pPr>
            <w:r>
              <w:rPr>
                <w:rFonts w:ascii="Arial" w:hAnsi="Arial" w:eastAsia="Arial" w:cs="Arial"/>
                <w:b/>
                <w:rtl w:val="0"/>
              </w:rPr>
              <w:t>BAIRRO:</w:t>
            </w:r>
          </w:p>
        </w:tc>
        <w:tc>
          <w:tcPr>
            <w:gridSpan w:val="6"/>
            <w:tcBorders>
              <w:top w:val="single" w:color="000000" w:sz="4" w:space="0"/>
              <w:left w:val="single" w:color="000000" w:sz="4" w:space="0"/>
              <w:bottom w:val="single" w:color="000000" w:sz="4" w:space="0"/>
              <w:right w:val="single" w:color="000000" w:sz="4" w:space="0"/>
            </w:tcBorders>
          </w:tcPr>
          <w:p w14:paraId="00000183">
            <w:pPr>
              <w:jc w:val="both"/>
              <w:rPr>
                <w:rFonts w:ascii="Arial" w:hAnsi="Arial" w:eastAsia="Arial" w:cs="Arial"/>
                <w:b/>
              </w:rPr>
            </w:pPr>
            <w:r>
              <w:rPr>
                <w:rFonts w:ascii="Arial" w:hAnsi="Arial" w:eastAsia="Arial" w:cs="Arial"/>
                <w:b/>
                <w:rtl w:val="0"/>
              </w:rPr>
              <w:t>CIDADE:</w:t>
            </w:r>
          </w:p>
        </w:tc>
      </w:tr>
      <w:tr w14:paraId="1A8E2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99" w:hRule="atLeast"/>
        </w:trPr>
        <w:tc>
          <w:tcPr>
            <w:gridSpan w:val="2"/>
            <w:tcBorders>
              <w:top w:val="single" w:color="000000" w:sz="4" w:space="0"/>
              <w:left w:val="single" w:color="000000" w:sz="4" w:space="0"/>
              <w:bottom w:val="single" w:color="000000" w:sz="4" w:space="0"/>
              <w:right w:val="single" w:color="000000" w:sz="4" w:space="0"/>
            </w:tcBorders>
          </w:tcPr>
          <w:p w14:paraId="00000189">
            <w:pPr>
              <w:jc w:val="both"/>
              <w:rPr>
                <w:rFonts w:ascii="Arial" w:hAnsi="Arial" w:eastAsia="Arial" w:cs="Arial"/>
                <w:b/>
              </w:rPr>
            </w:pPr>
            <w:r>
              <w:rPr>
                <w:rFonts w:ascii="Arial" w:hAnsi="Arial" w:eastAsia="Arial" w:cs="Arial"/>
                <w:b/>
                <w:rtl w:val="0"/>
              </w:rPr>
              <w:t>CEP:</w:t>
            </w:r>
          </w:p>
        </w:tc>
        <w:tc>
          <w:tcPr>
            <w:gridSpan w:val="6"/>
            <w:tcBorders>
              <w:top w:val="single" w:color="000000" w:sz="4" w:space="0"/>
              <w:left w:val="single" w:color="000000" w:sz="4" w:space="0"/>
              <w:bottom w:val="single" w:color="000000" w:sz="4" w:space="0"/>
              <w:right w:val="single" w:color="000000" w:sz="4" w:space="0"/>
            </w:tcBorders>
          </w:tcPr>
          <w:p w14:paraId="0000018B">
            <w:pPr>
              <w:jc w:val="both"/>
              <w:rPr>
                <w:rFonts w:ascii="Arial" w:hAnsi="Arial" w:eastAsia="Arial" w:cs="Arial"/>
                <w:b/>
              </w:rPr>
            </w:pPr>
            <w:r>
              <w:rPr>
                <w:rFonts w:ascii="Arial" w:hAnsi="Arial" w:eastAsia="Arial" w:cs="Arial"/>
                <w:b/>
                <w:rtl w:val="0"/>
              </w:rPr>
              <w:t>E-MAIL:</w:t>
            </w:r>
          </w:p>
        </w:tc>
      </w:tr>
      <w:tr w14:paraId="2F5FC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73" w:hRule="atLeast"/>
        </w:trPr>
        <w:tc>
          <w:tcPr>
            <w:gridSpan w:val="2"/>
            <w:tcBorders>
              <w:top w:val="single" w:color="000000" w:sz="4" w:space="0"/>
              <w:left w:val="single" w:color="000000" w:sz="4" w:space="0"/>
              <w:bottom w:val="single" w:color="000000" w:sz="4" w:space="0"/>
              <w:right w:val="single" w:color="000000" w:sz="4" w:space="0"/>
            </w:tcBorders>
          </w:tcPr>
          <w:p w14:paraId="00000191">
            <w:pPr>
              <w:jc w:val="both"/>
              <w:rPr>
                <w:rFonts w:ascii="Arial" w:hAnsi="Arial" w:eastAsia="Arial" w:cs="Arial"/>
                <w:b/>
              </w:rPr>
            </w:pPr>
            <w:r>
              <w:rPr>
                <w:rFonts w:ascii="Arial" w:hAnsi="Arial" w:eastAsia="Arial" w:cs="Arial"/>
                <w:b/>
                <w:rtl w:val="0"/>
              </w:rPr>
              <w:t>TELEFONE:</w:t>
            </w:r>
          </w:p>
        </w:tc>
        <w:tc>
          <w:tcPr>
            <w:gridSpan w:val="6"/>
            <w:tcBorders>
              <w:top w:val="single" w:color="000000" w:sz="4" w:space="0"/>
              <w:left w:val="single" w:color="000000" w:sz="4" w:space="0"/>
              <w:bottom w:val="single" w:color="000000" w:sz="4" w:space="0"/>
              <w:right w:val="single" w:color="000000" w:sz="4" w:space="0"/>
            </w:tcBorders>
          </w:tcPr>
          <w:p w14:paraId="00000193">
            <w:pPr>
              <w:jc w:val="both"/>
              <w:rPr>
                <w:rFonts w:ascii="Arial" w:hAnsi="Arial" w:eastAsia="Arial" w:cs="Arial"/>
                <w:b/>
              </w:rPr>
            </w:pPr>
            <w:r>
              <w:rPr>
                <w:rFonts w:ascii="Arial" w:hAnsi="Arial" w:eastAsia="Arial" w:cs="Arial"/>
                <w:b/>
                <w:rtl w:val="0"/>
              </w:rPr>
              <w:t>FAX:</w:t>
            </w:r>
          </w:p>
        </w:tc>
      </w:tr>
      <w:tr w14:paraId="03B02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69" w:hRule="atLeast"/>
        </w:trPr>
        <w:tc>
          <w:tcPr>
            <w:gridSpan w:val="2"/>
            <w:tcBorders>
              <w:top w:val="single" w:color="000000" w:sz="4" w:space="0"/>
              <w:left w:val="single" w:color="000000" w:sz="4" w:space="0"/>
              <w:bottom w:val="single" w:color="000000" w:sz="4" w:space="0"/>
              <w:right w:val="single" w:color="000000" w:sz="4" w:space="0"/>
            </w:tcBorders>
          </w:tcPr>
          <w:p w14:paraId="00000199">
            <w:pPr>
              <w:jc w:val="both"/>
              <w:rPr>
                <w:rFonts w:ascii="Arial" w:hAnsi="Arial" w:eastAsia="Arial" w:cs="Arial"/>
                <w:b/>
              </w:rPr>
            </w:pPr>
            <w:r>
              <w:rPr>
                <w:rFonts w:ascii="Arial" w:hAnsi="Arial" w:eastAsia="Arial" w:cs="Arial"/>
                <w:b/>
                <w:rtl w:val="0"/>
              </w:rPr>
              <w:t>CONTATO DA LICITANTE:</w:t>
            </w:r>
          </w:p>
        </w:tc>
        <w:tc>
          <w:tcPr>
            <w:gridSpan w:val="6"/>
            <w:tcBorders>
              <w:top w:val="single" w:color="000000" w:sz="4" w:space="0"/>
              <w:left w:val="single" w:color="000000" w:sz="4" w:space="0"/>
              <w:bottom w:val="single" w:color="000000" w:sz="4" w:space="0"/>
              <w:right w:val="single" w:color="000000" w:sz="4" w:space="0"/>
            </w:tcBorders>
          </w:tcPr>
          <w:p w14:paraId="0000019B">
            <w:pPr>
              <w:jc w:val="both"/>
              <w:rPr>
                <w:rFonts w:ascii="Arial" w:hAnsi="Arial" w:eastAsia="Arial" w:cs="Arial"/>
                <w:b/>
              </w:rPr>
            </w:pPr>
            <w:r>
              <w:rPr>
                <w:rFonts w:ascii="Arial" w:hAnsi="Arial" w:eastAsia="Arial" w:cs="Arial"/>
                <w:b/>
                <w:rtl w:val="0"/>
              </w:rPr>
              <w:t>TELEFONE:</w:t>
            </w:r>
          </w:p>
        </w:tc>
      </w:tr>
      <w:tr w14:paraId="6DEA6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69" w:hRule="atLeast"/>
        </w:trPr>
        <w:tc>
          <w:tcPr>
            <w:gridSpan w:val="2"/>
            <w:tcBorders>
              <w:top w:val="single" w:color="000000" w:sz="4" w:space="0"/>
              <w:left w:val="single" w:color="000000" w:sz="4" w:space="0"/>
              <w:bottom w:val="single" w:color="000000" w:sz="4" w:space="0"/>
              <w:right w:val="single" w:color="000000" w:sz="4" w:space="0"/>
            </w:tcBorders>
          </w:tcPr>
          <w:p w14:paraId="000001A1">
            <w:pPr>
              <w:jc w:val="both"/>
              <w:rPr>
                <w:rFonts w:ascii="Arial" w:hAnsi="Arial" w:eastAsia="Arial" w:cs="Arial"/>
                <w:b/>
              </w:rPr>
            </w:pPr>
            <w:r>
              <w:rPr>
                <w:rFonts w:ascii="Arial" w:hAnsi="Arial" w:eastAsia="Arial" w:cs="Arial"/>
                <w:b/>
                <w:rtl w:val="0"/>
              </w:rPr>
              <w:t xml:space="preserve">BANCO DA LICITANTE: </w:t>
            </w:r>
          </w:p>
        </w:tc>
        <w:tc>
          <w:tcPr>
            <w:gridSpan w:val="6"/>
            <w:tcBorders>
              <w:top w:val="single" w:color="000000" w:sz="4" w:space="0"/>
              <w:left w:val="single" w:color="000000" w:sz="4" w:space="0"/>
              <w:bottom w:val="single" w:color="000000" w:sz="4" w:space="0"/>
              <w:right w:val="single" w:color="000000" w:sz="4" w:space="0"/>
            </w:tcBorders>
          </w:tcPr>
          <w:p w14:paraId="000001A3">
            <w:pPr>
              <w:jc w:val="both"/>
              <w:rPr>
                <w:rFonts w:ascii="Arial" w:hAnsi="Arial" w:eastAsia="Arial" w:cs="Arial"/>
                <w:b/>
              </w:rPr>
            </w:pPr>
            <w:r>
              <w:rPr>
                <w:rFonts w:ascii="Arial" w:hAnsi="Arial" w:eastAsia="Arial" w:cs="Arial"/>
                <w:b/>
                <w:rtl w:val="0"/>
              </w:rPr>
              <w:t>CONTA BANCÁRIA DA LICITANTE:</w:t>
            </w:r>
          </w:p>
        </w:tc>
      </w:tr>
      <w:tr w14:paraId="48647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133" w:hRule="atLeast"/>
        </w:trPr>
        <w:tc>
          <w:tcPr>
            <w:gridSpan w:val="8"/>
            <w:tcBorders>
              <w:top w:val="single" w:color="000000" w:sz="4" w:space="0"/>
              <w:left w:val="single" w:color="000000" w:sz="4" w:space="0"/>
              <w:bottom w:val="single" w:color="000000" w:sz="4" w:space="0"/>
              <w:right w:val="single" w:color="000000" w:sz="4" w:space="0"/>
            </w:tcBorders>
          </w:tcPr>
          <w:p w14:paraId="000001A9">
            <w:pPr>
              <w:jc w:val="both"/>
              <w:rPr>
                <w:rFonts w:ascii="Arial" w:hAnsi="Arial" w:eastAsia="Arial" w:cs="Arial"/>
                <w:b/>
              </w:rPr>
            </w:pPr>
            <w:r>
              <w:rPr>
                <w:rFonts w:ascii="Arial" w:hAnsi="Arial" w:eastAsia="Arial" w:cs="Arial"/>
                <w:b/>
                <w:rtl w:val="0"/>
              </w:rPr>
              <w:t>Nº DA AGÊNCIA:</w:t>
            </w:r>
          </w:p>
        </w:tc>
      </w:tr>
      <w:tr w14:paraId="136D9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20" w:hRule="atLeast"/>
        </w:trPr>
        <w:tc>
          <w:tcPr>
            <w:tcBorders>
              <w:top w:val="single" w:color="000000" w:sz="4" w:space="0"/>
              <w:left w:val="single" w:color="000000" w:sz="4" w:space="0"/>
              <w:bottom w:val="single" w:color="000000" w:sz="4" w:space="0"/>
              <w:right w:val="single" w:color="000000" w:sz="4" w:space="0"/>
            </w:tcBorders>
            <w:shd w:val="clear" w:color="auto" w:fill="D9D9D9"/>
            <w:vAlign w:val="center"/>
          </w:tcPr>
          <w:p w14:paraId="000001B1">
            <w:pPr>
              <w:jc w:val="both"/>
              <w:rPr>
                <w:rFonts w:ascii="Arial" w:hAnsi="Arial" w:eastAsia="Arial" w:cs="Arial"/>
                <w:b/>
              </w:rPr>
            </w:pPr>
            <w:r>
              <w:rPr>
                <w:rFonts w:ascii="Arial" w:hAnsi="Arial" w:eastAsia="Arial" w:cs="Arial"/>
                <w:b/>
                <w:rtl w:val="0"/>
              </w:rPr>
              <w:t>ITENS</w:t>
            </w:r>
          </w:p>
        </w:tc>
        <w:tc>
          <w:tcPr>
            <w:gridSpan w:val="2"/>
            <w:tcBorders>
              <w:top w:val="single" w:color="000000" w:sz="4" w:space="0"/>
              <w:left w:val="nil"/>
              <w:bottom w:val="single" w:color="000000" w:sz="4" w:space="0"/>
              <w:right w:val="single" w:color="000000" w:sz="4" w:space="0"/>
            </w:tcBorders>
            <w:shd w:val="clear" w:color="auto" w:fill="D9D9D9"/>
            <w:vAlign w:val="center"/>
          </w:tcPr>
          <w:p w14:paraId="000001B2">
            <w:pPr>
              <w:jc w:val="both"/>
              <w:rPr>
                <w:rFonts w:ascii="Arial" w:hAnsi="Arial" w:eastAsia="Arial" w:cs="Arial"/>
                <w:b/>
              </w:rPr>
            </w:pPr>
            <w:r>
              <w:rPr>
                <w:rFonts w:ascii="Arial" w:hAnsi="Arial" w:eastAsia="Arial" w:cs="Arial"/>
                <w:b/>
                <w:rtl w:val="0"/>
              </w:rPr>
              <w:t>DESCRIÇÃO</w:t>
            </w:r>
          </w:p>
        </w:tc>
        <w:tc>
          <w:tcPr>
            <w:tcBorders>
              <w:top w:val="single" w:color="000000" w:sz="4" w:space="0"/>
              <w:left w:val="nil"/>
              <w:bottom w:val="single" w:color="000000" w:sz="4" w:space="0"/>
              <w:right w:val="single" w:color="000000" w:sz="4" w:space="0"/>
            </w:tcBorders>
            <w:shd w:val="clear" w:color="auto" w:fill="D9D9D9"/>
            <w:vAlign w:val="center"/>
          </w:tcPr>
          <w:p w14:paraId="000001B4">
            <w:pPr>
              <w:jc w:val="both"/>
              <w:rPr>
                <w:rFonts w:ascii="Arial" w:hAnsi="Arial" w:eastAsia="Arial" w:cs="Arial"/>
                <w:b/>
              </w:rPr>
            </w:pPr>
            <w:r>
              <w:rPr>
                <w:rFonts w:ascii="Arial" w:hAnsi="Arial" w:eastAsia="Arial" w:cs="Arial"/>
                <w:b/>
                <w:rtl w:val="0"/>
              </w:rPr>
              <w:t>MARCA</w:t>
            </w:r>
          </w:p>
        </w:tc>
        <w:tc>
          <w:tcPr>
            <w:tcBorders>
              <w:top w:val="single" w:color="000000" w:sz="4" w:space="0"/>
              <w:left w:val="nil"/>
              <w:bottom w:val="single" w:color="000000" w:sz="4" w:space="0"/>
              <w:right w:val="single" w:color="000000" w:sz="4" w:space="0"/>
            </w:tcBorders>
            <w:shd w:val="clear" w:color="auto" w:fill="D9D9D9"/>
            <w:vAlign w:val="center"/>
          </w:tcPr>
          <w:p w14:paraId="000001B5">
            <w:pPr>
              <w:jc w:val="both"/>
              <w:rPr>
                <w:rFonts w:ascii="Arial" w:hAnsi="Arial" w:eastAsia="Arial" w:cs="Arial"/>
                <w:b/>
              </w:rPr>
            </w:pPr>
            <w:r>
              <w:rPr>
                <w:rFonts w:ascii="Arial" w:hAnsi="Arial" w:eastAsia="Arial" w:cs="Arial"/>
                <w:b/>
                <w:rtl w:val="0"/>
              </w:rPr>
              <w:t>QUANT.</w:t>
            </w:r>
          </w:p>
        </w:tc>
        <w:tc>
          <w:tcPr>
            <w:tcBorders>
              <w:top w:val="single" w:color="000000" w:sz="4" w:space="0"/>
              <w:left w:val="nil"/>
              <w:bottom w:val="single" w:color="000000" w:sz="4" w:space="0"/>
              <w:right w:val="single" w:color="000000" w:sz="4" w:space="0"/>
            </w:tcBorders>
            <w:shd w:val="clear" w:color="auto" w:fill="D9D9D9"/>
            <w:vAlign w:val="center"/>
          </w:tcPr>
          <w:p w14:paraId="000001B6">
            <w:pPr>
              <w:jc w:val="both"/>
              <w:rPr>
                <w:rFonts w:ascii="Arial" w:hAnsi="Arial" w:eastAsia="Arial" w:cs="Arial"/>
                <w:b/>
              </w:rPr>
            </w:pPr>
            <w:r>
              <w:rPr>
                <w:rFonts w:ascii="Arial" w:hAnsi="Arial" w:eastAsia="Arial" w:cs="Arial"/>
                <w:b/>
                <w:rtl w:val="0"/>
              </w:rPr>
              <w:t>UNIDADE</w:t>
            </w:r>
          </w:p>
        </w:tc>
        <w:tc>
          <w:tcPr>
            <w:tcBorders>
              <w:top w:val="single" w:color="000000" w:sz="4" w:space="0"/>
              <w:left w:val="nil"/>
              <w:bottom w:val="single" w:color="000000" w:sz="4" w:space="0"/>
              <w:right w:val="single" w:color="000000" w:sz="4" w:space="0"/>
            </w:tcBorders>
            <w:shd w:val="clear" w:color="auto" w:fill="D9D9D9"/>
            <w:vAlign w:val="center"/>
          </w:tcPr>
          <w:p w14:paraId="000001B7">
            <w:pPr>
              <w:jc w:val="both"/>
              <w:rPr>
                <w:rFonts w:ascii="Arial" w:hAnsi="Arial" w:eastAsia="Arial" w:cs="Arial"/>
                <w:b/>
              </w:rPr>
            </w:pPr>
            <w:r>
              <w:rPr>
                <w:rFonts w:ascii="Arial" w:hAnsi="Arial" w:eastAsia="Arial" w:cs="Arial"/>
                <w:b/>
                <w:rtl w:val="0"/>
              </w:rPr>
              <w:t>VALOR</w:t>
            </w:r>
          </w:p>
          <w:p w14:paraId="000001B8">
            <w:pPr>
              <w:jc w:val="both"/>
              <w:rPr>
                <w:rFonts w:ascii="Arial" w:hAnsi="Arial" w:eastAsia="Arial" w:cs="Arial"/>
                <w:b/>
              </w:rPr>
            </w:pPr>
            <w:r>
              <w:rPr>
                <w:rFonts w:ascii="Arial" w:hAnsi="Arial" w:eastAsia="Arial" w:cs="Arial"/>
                <w:b/>
                <w:rtl w:val="0"/>
              </w:rPr>
              <w:t>UNITÁRIO R$</w:t>
            </w:r>
          </w:p>
        </w:tc>
        <w:tc>
          <w:tcPr>
            <w:tcBorders>
              <w:top w:val="single" w:color="000000" w:sz="4" w:space="0"/>
              <w:left w:val="nil"/>
              <w:bottom w:val="single" w:color="000000" w:sz="4" w:space="0"/>
              <w:right w:val="single" w:color="000000" w:sz="4" w:space="0"/>
            </w:tcBorders>
            <w:shd w:val="clear" w:color="auto" w:fill="D9D9D9"/>
            <w:vAlign w:val="center"/>
          </w:tcPr>
          <w:p w14:paraId="000001B9">
            <w:pPr>
              <w:jc w:val="both"/>
              <w:rPr>
                <w:rFonts w:ascii="Arial" w:hAnsi="Arial" w:eastAsia="Arial" w:cs="Arial"/>
                <w:b/>
              </w:rPr>
            </w:pPr>
            <w:r>
              <w:rPr>
                <w:rFonts w:ascii="Arial" w:hAnsi="Arial" w:eastAsia="Arial" w:cs="Arial"/>
                <w:b/>
                <w:rtl w:val="0"/>
              </w:rPr>
              <w:t>VALOR</w:t>
            </w:r>
          </w:p>
          <w:p w14:paraId="000001BA">
            <w:pPr>
              <w:jc w:val="both"/>
              <w:rPr>
                <w:rFonts w:ascii="Arial" w:hAnsi="Arial" w:eastAsia="Arial" w:cs="Arial"/>
                <w:b/>
              </w:rPr>
            </w:pPr>
            <w:r>
              <w:rPr>
                <w:rFonts w:ascii="Arial" w:hAnsi="Arial" w:eastAsia="Arial" w:cs="Arial"/>
                <w:b/>
                <w:rtl w:val="0"/>
              </w:rPr>
              <w:t>TOTAL R$</w:t>
            </w:r>
          </w:p>
        </w:tc>
      </w:tr>
      <w:tr w14:paraId="448DF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20" w:hRule="atLeast"/>
        </w:trPr>
        <w:tc>
          <w:tcPr>
            <w:tcBorders>
              <w:top w:val="single" w:color="000000" w:sz="4" w:space="0"/>
              <w:left w:val="single" w:color="000000" w:sz="4" w:space="0"/>
              <w:bottom w:val="single" w:color="000000" w:sz="4" w:space="0"/>
              <w:right w:val="single" w:color="000000" w:sz="4" w:space="0"/>
            </w:tcBorders>
            <w:shd w:val="clear" w:color="auto" w:fill="D9D9D9"/>
            <w:vAlign w:val="center"/>
          </w:tcPr>
          <w:p w14:paraId="000001BB">
            <w:pPr>
              <w:numPr>
                <w:ilvl w:val="0"/>
                <w:numId w:val="3"/>
              </w:numPr>
              <w:pBdr>
                <w:top w:val="none" w:color="auto" w:sz="0" w:space="0"/>
                <w:left w:val="none" w:color="auto" w:sz="0" w:space="0"/>
                <w:bottom w:val="none" w:color="auto" w:sz="0" w:space="0"/>
                <w:right w:val="none" w:color="auto" w:sz="0" w:space="0"/>
                <w:between w:val="none" w:color="auto" w:sz="0" w:space="0"/>
              </w:pBdr>
              <w:ind w:left="809" w:hanging="359"/>
              <w:jc w:val="both"/>
              <w:rPr>
                <w:rFonts w:ascii="Arial" w:hAnsi="Arial" w:eastAsia="Arial" w:cs="Arial"/>
                <w:b/>
              </w:rPr>
            </w:pPr>
          </w:p>
        </w:tc>
        <w:tc>
          <w:tcPr>
            <w:gridSpan w:val="2"/>
            <w:tcBorders>
              <w:top w:val="single" w:color="000000" w:sz="4" w:space="0"/>
              <w:left w:val="nil"/>
              <w:bottom w:val="single" w:color="000000" w:sz="4" w:space="0"/>
              <w:right w:val="single" w:color="000000" w:sz="4" w:space="0"/>
            </w:tcBorders>
            <w:shd w:val="clear" w:color="auto" w:fill="auto"/>
            <w:vAlign w:val="bottom"/>
          </w:tcPr>
          <w:p w14:paraId="000001BC">
            <w:pPr>
              <w:jc w:val="both"/>
              <w:rPr>
                <w:rFonts w:ascii="Arial" w:hAnsi="Arial" w:eastAsia="Arial" w:cs="Arial"/>
              </w:rPr>
            </w:pPr>
          </w:p>
        </w:tc>
        <w:tc>
          <w:tcPr>
            <w:tcBorders>
              <w:top w:val="single" w:color="000000" w:sz="4" w:space="0"/>
              <w:left w:val="nil"/>
              <w:bottom w:val="single" w:color="000000" w:sz="4" w:space="0"/>
              <w:right w:val="single" w:color="000000" w:sz="4" w:space="0"/>
            </w:tcBorders>
            <w:shd w:val="clear" w:color="auto" w:fill="FFFFFF"/>
            <w:vAlign w:val="center"/>
          </w:tcPr>
          <w:p w14:paraId="000001BE">
            <w:pPr>
              <w:jc w:val="both"/>
              <w:rPr>
                <w:rFonts w:ascii="Arial" w:hAnsi="Arial" w:eastAsia="Arial" w:cs="Arial"/>
              </w:rPr>
            </w:pPr>
          </w:p>
        </w:tc>
        <w:tc>
          <w:tcPr>
            <w:tcBorders>
              <w:top w:val="single" w:color="000000" w:sz="4" w:space="0"/>
              <w:left w:val="nil"/>
              <w:bottom w:val="single" w:color="000000" w:sz="4" w:space="0"/>
              <w:right w:val="single" w:color="000000" w:sz="4" w:space="0"/>
            </w:tcBorders>
            <w:shd w:val="clear" w:color="auto" w:fill="auto"/>
            <w:vAlign w:val="center"/>
          </w:tcPr>
          <w:p w14:paraId="000001BF">
            <w:pPr>
              <w:jc w:val="both"/>
              <w:rPr>
                <w:rFonts w:ascii="Arial" w:hAnsi="Arial" w:eastAsia="Arial" w:cs="Arial"/>
              </w:rPr>
            </w:pPr>
          </w:p>
        </w:tc>
        <w:tc>
          <w:tcPr>
            <w:tcBorders>
              <w:top w:val="single" w:color="000000" w:sz="4" w:space="0"/>
              <w:left w:val="nil"/>
              <w:bottom w:val="single" w:color="000000" w:sz="4" w:space="0"/>
              <w:right w:val="single" w:color="000000" w:sz="4" w:space="0"/>
            </w:tcBorders>
            <w:shd w:val="clear" w:color="auto" w:fill="auto"/>
            <w:vAlign w:val="center"/>
          </w:tcPr>
          <w:p w14:paraId="000001C0">
            <w:pPr>
              <w:jc w:val="both"/>
              <w:rPr>
                <w:rFonts w:ascii="Arial" w:hAnsi="Arial" w:eastAsia="Arial" w:cs="Arial"/>
              </w:rPr>
            </w:pPr>
          </w:p>
        </w:tc>
        <w:tc>
          <w:tcPr>
            <w:tcBorders>
              <w:top w:val="single" w:color="000000" w:sz="4" w:space="0"/>
              <w:left w:val="nil"/>
              <w:bottom w:val="single" w:color="000000" w:sz="4" w:space="0"/>
              <w:right w:val="single" w:color="000000" w:sz="4" w:space="0"/>
            </w:tcBorders>
            <w:shd w:val="clear" w:color="auto" w:fill="FFFFFF"/>
            <w:vAlign w:val="center"/>
          </w:tcPr>
          <w:p w14:paraId="000001C1">
            <w:pPr>
              <w:jc w:val="both"/>
              <w:rPr>
                <w:rFonts w:ascii="Arial" w:hAnsi="Arial" w:eastAsia="Arial" w:cs="Arial"/>
              </w:rPr>
            </w:pPr>
          </w:p>
        </w:tc>
        <w:tc>
          <w:tcPr>
            <w:tcBorders>
              <w:top w:val="single" w:color="000000" w:sz="4" w:space="0"/>
              <w:left w:val="nil"/>
              <w:bottom w:val="single" w:color="000000" w:sz="4" w:space="0"/>
              <w:right w:val="single" w:color="000000" w:sz="4" w:space="0"/>
            </w:tcBorders>
            <w:shd w:val="clear" w:color="auto" w:fill="auto"/>
            <w:vAlign w:val="center"/>
          </w:tcPr>
          <w:p w14:paraId="000001C2">
            <w:pPr>
              <w:jc w:val="both"/>
              <w:rPr>
                <w:rFonts w:ascii="Arial" w:hAnsi="Arial" w:eastAsia="Arial" w:cs="Arial"/>
              </w:rPr>
            </w:pPr>
          </w:p>
        </w:tc>
      </w:tr>
      <w:tr w14:paraId="7347F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64" w:hRule="atLeast"/>
        </w:trPr>
        <w:tc>
          <w:tcPr>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000001C3">
            <w:pPr>
              <w:jc w:val="both"/>
              <w:rPr>
                <w:rFonts w:ascii="Arial" w:hAnsi="Arial" w:eastAsia="Arial" w:cs="Arial"/>
                <w:b/>
              </w:rPr>
            </w:pPr>
            <w:r>
              <w:rPr>
                <w:rFonts w:ascii="Arial" w:hAnsi="Arial" w:eastAsia="Arial" w:cs="Arial"/>
                <w:b/>
                <w:rtl w:val="0"/>
              </w:rPr>
              <w:t xml:space="preserve">TOTAL POR EXTENSO: </w:t>
            </w:r>
          </w:p>
        </w:tc>
        <w:tc>
          <w:tcPr>
            <w:tcBorders>
              <w:top w:val="single" w:color="000000" w:sz="4" w:space="0"/>
              <w:left w:val="nil"/>
              <w:bottom w:val="single" w:color="000000" w:sz="4" w:space="0"/>
              <w:right w:val="single" w:color="000000" w:sz="4" w:space="0"/>
            </w:tcBorders>
            <w:shd w:val="clear" w:color="auto" w:fill="D9D9D9"/>
            <w:vAlign w:val="center"/>
          </w:tcPr>
          <w:p w14:paraId="000001CA">
            <w:pPr>
              <w:jc w:val="both"/>
              <w:rPr>
                <w:rFonts w:ascii="Arial" w:hAnsi="Arial" w:eastAsia="Arial" w:cs="Arial"/>
                <w:b/>
              </w:rPr>
            </w:pPr>
          </w:p>
        </w:tc>
      </w:tr>
    </w:tbl>
    <w:p w14:paraId="000001CB">
      <w:pPr>
        <w:pBdr>
          <w:top w:val="none" w:color="auto" w:sz="0" w:space="0"/>
          <w:left w:val="none" w:color="auto" w:sz="0" w:space="0"/>
          <w:bottom w:val="none" w:color="auto" w:sz="0" w:space="0"/>
          <w:right w:val="none" w:color="auto" w:sz="0" w:space="0"/>
          <w:between w:val="none" w:color="auto" w:sz="0" w:space="0"/>
        </w:pBdr>
        <w:jc w:val="both"/>
        <w:rPr>
          <w:rFonts w:ascii="Arial" w:hAnsi="Arial" w:eastAsia="Arial" w:cs="Arial"/>
        </w:rPr>
      </w:pPr>
    </w:p>
    <w:p w14:paraId="000001CC">
      <w:pPr>
        <w:pBdr>
          <w:top w:val="none" w:color="auto" w:sz="0" w:space="0"/>
          <w:left w:val="none" w:color="auto" w:sz="0" w:space="0"/>
          <w:bottom w:val="none" w:color="auto" w:sz="0" w:space="0"/>
          <w:right w:val="none" w:color="auto" w:sz="0" w:space="0"/>
          <w:between w:val="none" w:color="auto" w:sz="0" w:space="0"/>
        </w:pBdr>
        <w:jc w:val="both"/>
        <w:rPr>
          <w:rFonts w:ascii="Arial" w:hAnsi="Arial" w:eastAsia="Arial" w:cs="Arial"/>
        </w:rPr>
      </w:pPr>
      <w:r>
        <w:rPr>
          <w:rFonts w:ascii="Arial" w:hAnsi="Arial" w:eastAsia="Arial" w:cs="Arial"/>
          <w:rtl w:val="0"/>
        </w:rPr>
        <w:t>A EMPRESA: ............................................ DECLARA QUE:</w:t>
      </w:r>
    </w:p>
    <w:p w14:paraId="000001CD">
      <w:pPr>
        <w:pBdr>
          <w:top w:val="none" w:color="auto" w:sz="0" w:space="0"/>
          <w:left w:val="none" w:color="auto" w:sz="0" w:space="0"/>
          <w:bottom w:val="none" w:color="auto" w:sz="0" w:space="0"/>
          <w:right w:val="none" w:color="auto" w:sz="0" w:space="0"/>
          <w:between w:val="none" w:color="auto" w:sz="0" w:space="0"/>
        </w:pBdr>
        <w:jc w:val="both"/>
        <w:rPr>
          <w:rFonts w:ascii="Arial" w:hAnsi="Arial" w:eastAsia="Arial" w:cs="Arial"/>
        </w:rPr>
      </w:pPr>
    </w:p>
    <w:p w14:paraId="000001CE">
      <w:pPr>
        <w:numPr>
          <w:ilvl w:val="0"/>
          <w:numId w:val="4"/>
        </w:numPr>
        <w:pBdr>
          <w:top w:val="none" w:color="auto" w:sz="0" w:space="0"/>
          <w:left w:val="none" w:color="auto" w:sz="0" w:space="0"/>
          <w:bottom w:val="none" w:color="auto" w:sz="0" w:space="0"/>
          <w:right w:val="none" w:color="auto" w:sz="0" w:space="0"/>
          <w:between w:val="none" w:color="auto" w:sz="0" w:space="0"/>
        </w:pBdr>
        <w:tabs>
          <w:tab w:val="left" w:pos="284"/>
        </w:tabs>
        <w:ind w:left="0" w:firstLine="0"/>
        <w:jc w:val="both"/>
        <w:rPr>
          <w:rFonts w:ascii="Arial" w:hAnsi="Arial" w:eastAsia="Arial" w:cs="Arial"/>
        </w:rPr>
      </w:pPr>
      <w:r>
        <w:rPr>
          <w:rFonts w:ascii="Arial" w:hAnsi="Arial" w:eastAsia="Arial" w:cs="Arial"/>
          <w:rtl w:val="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00001CF">
      <w:pPr>
        <w:numPr>
          <w:ilvl w:val="0"/>
          <w:numId w:val="4"/>
        </w:numPr>
        <w:pBdr>
          <w:top w:val="none" w:color="auto" w:sz="0" w:space="0"/>
          <w:left w:val="none" w:color="auto" w:sz="0" w:space="0"/>
          <w:bottom w:val="none" w:color="auto" w:sz="0" w:space="0"/>
          <w:right w:val="none" w:color="auto" w:sz="0" w:space="0"/>
          <w:between w:val="none" w:color="auto" w:sz="0" w:space="0"/>
        </w:pBdr>
        <w:tabs>
          <w:tab w:val="left" w:pos="284"/>
        </w:tabs>
        <w:ind w:left="0" w:firstLine="0"/>
        <w:jc w:val="both"/>
        <w:rPr>
          <w:rFonts w:ascii="Arial" w:hAnsi="Arial" w:eastAsia="Arial" w:cs="Arial"/>
        </w:rPr>
      </w:pPr>
      <w:r>
        <w:rPr>
          <w:rFonts w:ascii="Arial" w:hAnsi="Arial" w:eastAsia="Arial" w:cs="Arial"/>
          <w:rtl w:val="0"/>
        </w:rPr>
        <w:t>VALIDADE DA PROPOSTA: 60 (SESSENTA) DIAS.</w:t>
      </w:r>
    </w:p>
    <w:p w14:paraId="000001D0">
      <w:pPr>
        <w:numPr>
          <w:ilvl w:val="0"/>
          <w:numId w:val="4"/>
        </w:numPr>
        <w:pBdr>
          <w:top w:val="none" w:color="auto" w:sz="0" w:space="0"/>
          <w:left w:val="none" w:color="auto" w:sz="0" w:space="0"/>
          <w:bottom w:val="none" w:color="auto" w:sz="0" w:space="0"/>
          <w:right w:val="none" w:color="auto" w:sz="0" w:space="0"/>
          <w:between w:val="none" w:color="auto" w:sz="0" w:space="0"/>
        </w:pBdr>
        <w:tabs>
          <w:tab w:val="left" w:pos="284"/>
        </w:tabs>
        <w:ind w:left="0" w:firstLine="0"/>
        <w:jc w:val="both"/>
        <w:rPr>
          <w:rFonts w:ascii="Arial" w:hAnsi="Arial" w:eastAsia="Arial" w:cs="Arial"/>
        </w:rPr>
      </w:pPr>
      <w:r>
        <w:rPr>
          <w:rFonts w:ascii="Arial" w:hAnsi="Arial" w:eastAsia="Arial" w:cs="Arial"/>
          <w:rtl w:val="0"/>
        </w:rPr>
        <w:t>PRAZO DE INÍCIO DE FORNECIMENTO/EXECUÇÃO DOS SERVIÇOS DE ACORDO COM O ESTABELECIDO NO TERMO DE REFERÊNCIA (ANEXO I) DO EDITAL DESSE PROCESSO.</w:t>
      </w:r>
    </w:p>
    <w:p w14:paraId="000001D1">
      <w:pPr>
        <w:numPr>
          <w:ilvl w:val="0"/>
          <w:numId w:val="4"/>
        </w:numPr>
        <w:pBdr>
          <w:top w:val="none" w:color="auto" w:sz="0" w:space="0"/>
          <w:left w:val="none" w:color="auto" w:sz="0" w:space="0"/>
          <w:bottom w:val="none" w:color="auto" w:sz="0" w:space="0"/>
          <w:right w:val="none" w:color="auto" w:sz="0" w:space="0"/>
          <w:between w:val="none" w:color="auto" w:sz="0" w:space="0"/>
        </w:pBdr>
        <w:tabs>
          <w:tab w:val="left" w:pos="284"/>
        </w:tabs>
        <w:ind w:left="0" w:firstLine="0"/>
        <w:jc w:val="both"/>
        <w:rPr>
          <w:rFonts w:ascii="Arial" w:hAnsi="Arial" w:eastAsia="Arial" w:cs="Arial"/>
        </w:rPr>
      </w:pPr>
      <w:r>
        <w:rPr>
          <w:rFonts w:ascii="Arial" w:hAnsi="Arial" w:eastAsia="Arial" w:cs="Arial"/>
          <w:rtl w:val="0"/>
        </w:rPr>
        <w:t xml:space="preserve">QUE </w:t>
      </w:r>
      <w:r>
        <w:rPr>
          <w:rFonts w:ascii="Arial" w:hAnsi="Arial" w:eastAsia="Arial" w:cs="Arial"/>
          <w:b/>
          <w:rtl w:val="0"/>
        </w:rPr>
        <w:t xml:space="preserve">NÃO POSSUI </w:t>
      </w:r>
      <w:r>
        <w:rPr>
          <w:rFonts w:ascii="Arial" w:hAnsi="Arial" w:eastAsia="Arial" w:cs="Arial"/>
          <w:rtl w:val="0"/>
        </w:rPr>
        <w:t xml:space="preserve">COMO SÓCIO, GERENTE E DIRETORES, SERVIDORES DA </w:t>
      </w:r>
      <w:r>
        <w:rPr>
          <w:rFonts w:ascii="Arial" w:hAnsi="Arial" w:eastAsia="Arial" w:cs="Arial"/>
          <w:b/>
          <w:rtl w:val="0"/>
        </w:rPr>
        <w:t>PREFEITURA MUNICIPAL DE MACURURÉ/BA</w:t>
      </w:r>
      <w:r>
        <w:rPr>
          <w:rFonts w:ascii="Arial" w:hAnsi="Arial" w:eastAsia="Arial" w:cs="Arial"/>
          <w:rtl w:val="0"/>
        </w:rPr>
        <w:t>, E AINDA CÔNJUGE, COMPANHEIRO OU PARENTE ATÉ TERCEIRO GRAU.</w:t>
      </w:r>
    </w:p>
    <w:p w14:paraId="000001D2">
      <w:pPr>
        <w:pBdr>
          <w:top w:val="none" w:color="auto" w:sz="0" w:space="0"/>
          <w:left w:val="none" w:color="auto" w:sz="0" w:space="0"/>
          <w:bottom w:val="none" w:color="auto" w:sz="0" w:space="0"/>
          <w:right w:val="none" w:color="auto" w:sz="0" w:space="0"/>
          <w:between w:val="none" w:color="auto" w:sz="0" w:space="0"/>
        </w:pBdr>
        <w:tabs>
          <w:tab w:val="left" w:pos="284"/>
        </w:tabs>
        <w:jc w:val="both"/>
        <w:rPr>
          <w:rFonts w:ascii="Arial" w:hAnsi="Arial" w:eastAsia="Arial" w:cs="Arial"/>
        </w:rPr>
      </w:pPr>
    </w:p>
    <w:p w14:paraId="000001D3">
      <w:pPr>
        <w:numPr>
          <w:ilvl w:val="0"/>
          <w:numId w:val="4"/>
        </w:numPr>
        <w:pBdr>
          <w:top w:val="none" w:color="auto" w:sz="0" w:space="0"/>
          <w:left w:val="none" w:color="auto" w:sz="0" w:space="0"/>
          <w:bottom w:val="none" w:color="auto" w:sz="0" w:space="0"/>
          <w:right w:val="none" w:color="auto" w:sz="0" w:space="0"/>
          <w:between w:val="none" w:color="auto" w:sz="0" w:space="0"/>
        </w:pBdr>
        <w:tabs>
          <w:tab w:val="left" w:pos="284"/>
        </w:tabs>
        <w:ind w:left="0" w:firstLine="0"/>
        <w:jc w:val="both"/>
        <w:rPr>
          <w:rFonts w:ascii="Arial" w:hAnsi="Arial" w:eastAsia="Arial" w:cs="Arial"/>
        </w:rPr>
      </w:pPr>
      <w:r>
        <w:rPr>
          <w:rFonts w:ascii="Arial" w:hAnsi="Arial" w:eastAsia="Arial" w:cs="Arial"/>
          <w:rtl w:val="0"/>
        </w:rPr>
        <w:t>QUE O PRAZO DE INÍCIO DA ENTREGA DOS XXXXXXXXXX SERÁ DE ACORDO COM OS TERMOS ESTABELECIDOS NO ANEXO I, DESTE EDITAL A CONTAR DO RECEBIMENTO, POR PARTE DA CONTRATADA, DA ORDEM DE COMPRA OU DOCUMENTO SIMILAR. TODOS OS PRODUTOS SERÃO AVALIADOS, SOB PENA DE DEVOLUÇÃO DE NÃO ACEITE, CASO NÃO ATENDA A DESCRIMINAÇÃO DO TERMO DE REFERÊNCIA DO REFERIDO EDITAL OU DE MÁ QUALIDADE.</w:t>
      </w:r>
    </w:p>
    <w:p w14:paraId="000001D4">
      <w:pPr>
        <w:jc w:val="both"/>
        <w:rPr>
          <w:rFonts w:ascii="Arial" w:hAnsi="Arial" w:eastAsia="Arial" w:cs="Arial"/>
        </w:rPr>
      </w:pPr>
    </w:p>
    <w:p w14:paraId="000001D5">
      <w:pPr>
        <w:jc w:val="both"/>
        <w:rPr>
          <w:rFonts w:ascii="Arial" w:hAnsi="Arial" w:eastAsia="Arial" w:cs="Arial"/>
        </w:rPr>
      </w:pPr>
    </w:p>
    <w:p w14:paraId="000001D6">
      <w:pPr>
        <w:jc w:val="both"/>
        <w:rPr>
          <w:rFonts w:ascii="Arial" w:hAnsi="Arial" w:eastAsia="Arial" w:cs="Arial"/>
        </w:rPr>
      </w:pPr>
    </w:p>
    <w:p w14:paraId="000001D7">
      <w:pPr>
        <w:jc w:val="both"/>
        <w:rPr>
          <w:rFonts w:ascii="Arial" w:hAnsi="Arial" w:eastAsia="Arial" w:cs="Arial"/>
        </w:rPr>
      </w:pPr>
    </w:p>
    <w:p w14:paraId="000001D8">
      <w:pPr>
        <w:jc w:val="both"/>
        <w:rPr>
          <w:rFonts w:ascii="Arial" w:hAnsi="Arial" w:eastAsia="Arial" w:cs="Arial"/>
        </w:rPr>
      </w:pPr>
    </w:p>
    <w:p w14:paraId="000001D9">
      <w:pPr>
        <w:jc w:val="both"/>
        <w:rPr>
          <w:rFonts w:ascii="Arial" w:hAnsi="Arial" w:eastAsia="Arial" w:cs="Arial"/>
        </w:rPr>
      </w:pPr>
    </w:p>
    <w:p w14:paraId="000001DA">
      <w:pPr>
        <w:jc w:val="both"/>
        <w:rPr>
          <w:rFonts w:ascii="Arial" w:hAnsi="Arial" w:eastAsia="Arial" w:cs="Arial"/>
        </w:rPr>
      </w:pPr>
    </w:p>
    <w:p w14:paraId="000001DB">
      <w:pPr>
        <w:jc w:val="center"/>
        <w:rPr>
          <w:rFonts w:ascii="Arial" w:hAnsi="Arial" w:eastAsia="Arial" w:cs="Arial"/>
        </w:rPr>
      </w:pPr>
      <w:r>
        <w:rPr>
          <w:rFonts w:ascii="Arial" w:hAnsi="Arial" w:eastAsia="Arial" w:cs="Arial"/>
          <w:rtl w:val="0"/>
        </w:rPr>
        <w:t>LOCAL E DATA</w:t>
      </w:r>
    </w:p>
    <w:p w14:paraId="000001DC">
      <w:pPr>
        <w:jc w:val="center"/>
        <w:rPr>
          <w:rFonts w:ascii="Arial" w:hAnsi="Arial" w:eastAsia="Arial" w:cs="Arial"/>
        </w:rPr>
      </w:pPr>
    </w:p>
    <w:p w14:paraId="000001DD">
      <w:pPr>
        <w:jc w:val="center"/>
        <w:rPr>
          <w:rFonts w:ascii="Arial" w:hAnsi="Arial" w:eastAsia="Arial" w:cs="Arial"/>
        </w:rPr>
      </w:pPr>
    </w:p>
    <w:p w14:paraId="000001DE">
      <w:pPr>
        <w:jc w:val="center"/>
        <w:rPr>
          <w:rFonts w:ascii="Arial" w:hAnsi="Arial" w:eastAsia="Arial" w:cs="Arial"/>
        </w:rPr>
      </w:pPr>
    </w:p>
    <w:p w14:paraId="000001DF">
      <w:pPr>
        <w:jc w:val="center"/>
        <w:rPr>
          <w:rFonts w:ascii="Arial" w:hAnsi="Arial" w:eastAsia="Arial" w:cs="Arial"/>
        </w:rPr>
      </w:pPr>
      <w:r>
        <w:rPr>
          <w:rFonts w:ascii="Arial" w:hAnsi="Arial" w:eastAsia="Arial" w:cs="Arial"/>
          <w:rtl w:val="0"/>
        </w:rPr>
        <w:t>_____________________________________</w:t>
      </w:r>
    </w:p>
    <w:p w14:paraId="000001E0">
      <w:pPr>
        <w:jc w:val="center"/>
        <w:rPr>
          <w:rFonts w:ascii="Arial" w:hAnsi="Arial" w:eastAsia="Arial" w:cs="Arial"/>
        </w:rPr>
      </w:pPr>
      <w:r>
        <w:rPr>
          <w:rFonts w:ascii="Arial" w:hAnsi="Arial" w:eastAsia="Arial" w:cs="Arial"/>
          <w:rtl w:val="0"/>
        </w:rPr>
        <w:t>CARIMBO DA EMPRESA/ASSINATURA DO RESPONSÁVEL.</w:t>
      </w:r>
    </w:p>
    <w:p w14:paraId="000001E1">
      <w:pPr>
        <w:jc w:val="center"/>
        <w:rPr>
          <w:rFonts w:ascii="Arial" w:hAnsi="Arial" w:eastAsia="Arial" w:cs="Arial"/>
        </w:rPr>
      </w:pPr>
    </w:p>
    <w:p w14:paraId="000001E2">
      <w:pPr>
        <w:jc w:val="center"/>
        <w:rPr>
          <w:rFonts w:ascii="Arial" w:hAnsi="Arial" w:eastAsia="Arial" w:cs="Arial"/>
        </w:rPr>
      </w:pPr>
    </w:p>
    <w:p w14:paraId="000001E3">
      <w:pPr>
        <w:jc w:val="both"/>
        <w:rPr>
          <w:rFonts w:ascii="Arial" w:hAnsi="Arial" w:eastAsia="Arial" w:cs="Arial"/>
        </w:rPr>
      </w:pPr>
      <w:r>
        <w:rPr>
          <w:rFonts w:ascii="Arial" w:hAnsi="Arial" w:eastAsia="Arial" w:cs="Arial"/>
          <w:b/>
          <w:rtl w:val="0"/>
        </w:rPr>
        <w:t xml:space="preserve">OBS. </w:t>
      </w:r>
      <w:r>
        <w:rPr>
          <w:rFonts w:ascii="Arial" w:hAnsi="Arial" w:eastAsia="Arial" w:cs="Arial"/>
          <w:rtl w:val="0"/>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000001E4">
      <w:pPr>
        <w:jc w:val="both"/>
        <w:rPr>
          <w:rFonts w:ascii="Arial" w:hAnsi="Arial" w:eastAsia="Arial" w:cs="Arial"/>
        </w:rPr>
      </w:pPr>
    </w:p>
    <w:p w14:paraId="000001E5">
      <w:pPr>
        <w:jc w:val="both"/>
        <w:rPr>
          <w:rFonts w:ascii="Arial" w:hAnsi="Arial" w:eastAsia="Arial" w:cs="Arial"/>
        </w:rPr>
      </w:pPr>
    </w:p>
    <w:p w14:paraId="000001E6">
      <w:pPr>
        <w:jc w:val="both"/>
        <w:rPr>
          <w:rFonts w:ascii="Arial" w:hAnsi="Arial" w:eastAsia="Arial" w:cs="Arial"/>
        </w:rPr>
      </w:pPr>
    </w:p>
    <w:p w14:paraId="000001E7">
      <w:pPr>
        <w:jc w:val="both"/>
        <w:rPr>
          <w:rFonts w:ascii="Arial" w:hAnsi="Arial" w:eastAsia="Arial" w:cs="Arial"/>
        </w:rPr>
      </w:pPr>
    </w:p>
    <w:p w14:paraId="000001E8">
      <w:pPr>
        <w:jc w:val="both"/>
        <w:rPr>
          <w:rFonts w:ascii="Arial" w:hAnsi="Arial" w:eastAsia="Arial" w:cs="Arial"/>
        </w:rPr>
      </w:pPr>
    </w:p>
    <w:p w14:paraId="000001E9">
      <w:pPr>
        <w:jc w:val="both"/>
        <w:rPr>
          <w:rFonts w:ascii="Arial" w:hAnsi="Arial" w:eastAsia="Arial" w:cs="Arial"/>
        </w:rPr>
      </w:pPr>
    </w:p>
    <w:p w14:paraId="000001EA">
      <w:pPr>
        <w:jc w:val="both"/>
        <w:rPr>
          <w:rFonts w:ascii="Arial" w:hAnsi="Arial" w:eastAsia="Arial" w:cs="Arial"/>
        </w:rPr>
      </w:pPr>
    </w:p>
    <w:p w14:paraId="000001EB">
      <w:pPr>
        <w:jc w:val="both"/>
        <w:rPr>
          <w:rFonts w:ascii="Arial" w:hAnsi="Arial" w:eastAsia="Arial" w:cs="Arial"/>
        </w:rPr>
      </w:pPr>
    </w:p>
    <w:p w14:paraId="000001EC">
      <w:pPr>
        <w:jc w:val="both"/>
        <w:rPr>
          <w:rFonts w:ascii="Arial" w:hAnsi="Arial" w:eastAsia="Arial" w:cs="Arial"/>
        </w:rPr>
      </w:pPr>
    </w:p>
    <w:p w14:paraId="000001ED">
      <w:pPr>
        <w:jc w:val="both"/>
        <w:rPr>
          <w:rFonts w:ascii="Arial" w:hAnsi="Arial" w:eastAsia="Arial" w:cs="Arial"/>
        </w:rPr>
      </w:pPr>
    </w:p>
    <w:p w14:paraId="000001EE">
      <w:pPr>
        <w:jc w:val="both"/>
        <w:rPr>
          <w:rFonts w:ascii="Arial" w:hAnsi="Arial" w:eastAsia="Arial" w:cs="Arial"/>
        </w:rPr>
      </w:pPr>
    </w:p>
    <w:p w14:paraId="000001EF">
      <w:pPr>
        <w:jc w:val="both"/>
        <w:rPr>
          <w:rFonts w:ascii="Arial" w:hAnsi="Arial" w:eastAsia="Arial" w:cs="Arial"/>
        </w:rPr>
      </w:pPr>
    </w:p>
    <w:p w14:paraId="000001F0">
      <w:pPr>
        <w:jc w:val="both"/>
        <w:rPr>
          <w:rFonts w:ascii="Arial" w:hAnsi="Arial" w:eastAsia="Arial" w:cs="Arial"/>
        </w:rPr>
      </w:pPr>
    </w:p>
    <w:p w14:paraId="000001F1">
      <w:pPr>
        <w:jc w:val="both"/>
        <w:rPr>
          <w:rFonts w:ascii="Arial" w:hAnsi="Arial" w:eastAsia="Arial" w:cs="Arial"/>
        </w:rPr>
      </w:pPr>
    </w:p>
    <w:p w14:paraId="000001F2">
      <w:pPr>
        <w:jc w:val="both"/>
        <w:rPr>
          <w:rFonts w:ascii="Arial" w:hAnsi="Arial" w:eastAsia="Arial" w:cs="Arial"/>
        </w:rPr>
      </w:pPr>
    </w:p>
    <w:p w14:paraId="000001F3">
      <w:pPr>
        <w:jc w:val="both"/>
        <w:rPr>
          <w:rFonts w:ascii="Arial" w:hAnsi="Arial" w:eastAsia="Arial" w:cs="Arial"/>
        </w:rPr>
      </w:pPr>
    </w:p>
    <w:p w14:paraId="000001F4">
      <w:pPr>
        <w:jc w:val="both"/>
        <w:rPr>
          <w:rFonts w:ascii="Arial" w:hAnsi="Arial" w:eastAsia="Arial" w:cs="Arial"/>
        </w:rPr>
      </w:pPr>
    </w:p>
    <w:p w14:paraId="000001F5">
      <w:pPr>
        <w:jc w:val="both"/>
        <w:rPr>
          <w:rFonts w:ascii="Arial" w:hAnsi="Arial" w:eastAsia="Arial" w:cs="Arial"/>
        </w:rPr>
      </w:pPr>
    </w:p>
    <w:p w14:paraId="000001F6">
      <w:pPr>
        <w:pBdr>
          <w:top w:val="single" w:color="000000" w:sz="4" w:space="1"/>
          <w:bottom w:val="single" w:color="000000" w:sz="4" w:space="1"/>
        </w:pBdr>
        <w:shd w:val="clear" w:fill="D9D9D9"/>
        <w:jc w:val="both"/>
        <w:rPr>
          <w:rFonts w:ascii="Arial" w:hAnsi="Arial" w:eastAsia="Arial" w:cs="Arial"/>
          <w:b/>
        </w:rPr>
      </w:pPr>
      <w:r>
        <w:rPr>
          <w:rFonts w:ascii="Arial" w:hAnsi="Arial" w:eastAsia="Arial" w:cs="Arial"/>
          <w:b/>
          <w:rtl w:val="0"/>
        </w:rPr>
        <w:t>ANEXO III – DECLARAÇÃO DE SUJEIÇÃO ÀS CONDIÇÕES ESTABELECIDAS NO EDITAL E DE INEXISTÊNCIA DE FATOS SUPERVENIENTES IMPEDITIVOS DA HABILITAÇÃO</w:t>
      </w:r>
    </w:p>
    <w:p w14:paraId="000001F7">
      <w:pPr>
        <w:jc w:val="both"/>
        <w:rPr>
          <w:rFonts w:ascii="Arial" w:hAnsi="Arial" w:eastAsia="Arial" w:cs="Arial"/>
          <w:b/>
        </w:rPr>
      </w:pPr>
    </w:p>
    <w:p w14:paraId="000001F8">
      <w:pPr>
        <w:jc w:val="both"/>
        <w:rPr>
          <w:rFonts w:ascii="Arial" w:hAnsi="Arial" w:eastAsia="Arial" w:cs="Arial"/>
          <w:b/>
        </w:rPr>
      </w:pPr>
      <w:r>
        <w:rPr>
          <w:rFonts w:ascii="Arial" w:hAnsi="Arial" w:eastAsia="Arial" w:cs="Arial"/>
          <w:b/>
          <w:rtl w:val="0"/>
        </w:rPr>
        <w:t>PROCESSO LICITATÓRIO Nº 0XX/202X.</w:t>
      </w:r>
    </w:p>
    <w:p w14:paraId="000001F9">
      <w:pPr>
        <w:jc w:val="both"/>
        <w:rPr>
          <w:rFonts w:ascii="Arial" w:hAnsi="Arial" w:eastAsia="Arial" w:cs="Arial"/>
          <w:b/>
        </w:rPr>
      </w:pPr>
      <w:r>
        <w:rPr>
          <w:rFonts w:ascii="Arial" w:hAnsi="Arial" w:eastAsia="Arial" w:cs="Arial"/>
          <w:b/>
          <w:rtl w:val="0"/>
        </w:rPr>
        <w:t>PREGÃO ELETRÔNICO Nº 00X/202X.</w:t>
      </w:r>
    </w:p>
    <w:p w14:paraId="000001FA">
      <w:pPr>
        <w:jc w:val="both"/>
        <w:rPr>
          <w:rFonts w:ascii="Arial" w:hAnsi="Arial" w:eastAsia="Arial" w:cs="Arial"/>
        </w:rPr>
      </w:pPr>
    </w:p>
    <w:p w14:paraId="000001FB">
      <w:pPr>
        <w:jc w:val="both"/>
        <w:rPr>
          <w:rFonts w:ascii="Arial" w:hAnsi="Arial" w:eastAsia="Arial" w:cs="Arial"/>
        </w:rPr>
      </w:pPr>
      <w:r>
        <w:rPr>
          <w:rFonts w:ascii="Arial" w:hAnsi="Arial" w:eastAsia="Arial" w:cs="Arial"/>
          <w:rtl w:val="0"/>
        </w:rPr>
        <w:t>À</w:t>
      </w:r>
    </w:p>
    <w:p w14:paraId="000001FC">
      <w:pPr>
        <w:jc w:val="both"/>
        <w:rPr>
          <w:rFonts w:ascii="Arial" w:hAnsi="Arial" w:eastAsia="Arial" w:cs="Arial"/>
        </w:rPr>
      </w:pPr>
      <w:r>
        <w:rPr>
          <w:rFonts w:ascii="Arial" w:hAnsi="Arial" w:eastAsia="Arial" w:cs="Arial"/>
          <w:b/>
          <w:rtl w:val="0"/>
        </w:rPr>
        <w:t>PREFEITURA MUNICIPAL DE MACURURÉ/BA.</w:t>
      </w:r>
    </w:p>
    <w:p w14:paraId="000001FD">
      <w:pPr>
        <w:pBdr>
          <w:top w:val="none" w:color="auto" w:sz="0" w:space="0"/>
          <w:left w:val="none" w:color="auto" w:sz="0" w:space="0"/>
          <w:bottom w:val="none" w:color="auto" w:sz="0" w:space="0"/>
          <w:right w:val="none" w:color="auto" w:sz="0" w:space="0"/>
          <w:between w:val="none" w:color="auto" w:sz="0" w:space="0"/>
        </w:pBdr>
        <w:tabs>
          <w:tab w:val="center" w:pos="4252"/>
          <w:tab w:val="right" w:pos="8504"/>
        </w:tabs>
        <w:jc w:val="both"/>
        <w:rPr>
          <w:rFonts w:ascii="Arial" w:hAnsi="Arial" w:eastAsia="Arial" w:cs="Arial"/>
        </w:rPr>
      </w:pPr>
      <w:r>
        <w:rPr>
          <w:rFonts w:ascii="Arial" w:hAnsi="Arial" w:eastAsia="Arial" w:cs="Arial"/>
          <w:rtl w:val="0"/>
        </w:rPr>
        <w:t>O PREGOEIRO E EQUIPE DE APOIO.</w:t>
      </w:r>
    </w:p>
    <w:p w14:paraId="000001FE">
      <w:pPr>
        <w:jc w:val="both"/>
        <w:rPr>
          <w:rFonts w:ascii="Arial" w:hAnsi="Arial" w:eastAsia="Arial" w:cs="Arial"/>
        </w:rPr>
      </w:pPr>
    </w:p>
    <w:p w14:paraId="000001FF">
      <w:pPr>
        <w:jc w:val="both"/>
        <w:rPr>
          <w:rFonts w:ascii="Arial" w:hAnsi="Arial" w:eastAsia="Arial" w:cs="Arial"/>
        </w:rPr>
      </w:pPr>
      <w:r>
        <w:rPr>
          <w:rFonts w:ascii="Arial" w:hAnsi="Arial" w:eastAsia="Arial" w:cs="Arial"/>
          <w:rtl w:val="0"/>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LICITADOR QUANTO À QUALIFICAÇÃO APENAS DAS PROPONENTES QUE TENHAM ATENDIDO ÀS CONDIÇÕES ESTABELECIDAS NO EDITAL E QUE DEMONSTREM INTEGRAL CAPACIDADE DE EXECUTAR O FORNECIMENTO DO BEM PREVISTO.</w:t>
      </w:r>
    </w:p>
    <w:p w14:paraId="00000200">
      <w:pPr>
        <w:jc w:val="both"/>
        <w:rPr>
          <w:rFonts w:ascii="Arial" w:hAnsi="Arial" w:eastAsia="Arial" w:cs="Arial"/>
        </w:rPr>
      </w:pPr>
    </w:p>
    <w:p w14:paraId="00000201">
      <w:pPr>
        <w:jc w:val="both"/>
        <w:rPr>
          <w:rFonts w:ascii="Arial" w:hAnsi="Arial" w:eastAsia="Arial" w:cs="Arial"/>
        </w:rPr>
      </w:pPr>
      <w:r>
        <w:rPr>
          <w:rFonts w:ascii="Arial" w:hAnsi="Arial" w:eastAsia="Arial" w:cs="Arial"/>
          <w:rtl w:val="0"/>
        </w:rPr>
        <w:t>DECLARA, AINDA, PARA TODOS OS FINS DE DIREITO, A INEXISTÊNCIA DE FATOS SUPERVENIENTES IMPEDITIVOS DA HABILITAÇÃO OU QUE COMPROMETA A IDONEIDADE DA PROPONENTE NOS TERMOS DO ARTIGO 32, PARÁGRAFO 2º, E ARTIGO 97 DA LEI Nº 8.666, DE 21 DE JUNHO DE 1993, E ALTERAÇÕES SUBSEQUENTES.</w:t>
      </w:r>
    </w:p>
    <w:p w14:paraId="00000202">
      <w:pPr>
        <w:jc w:val="both"/>
        <w:rPr>
          <w:rFonts w:ascii="Arial" w:hAnsi="Arial" w:eastAsia="Arial" w:cs="Arial"/>
        </w:rPr>
      </w:pPr>
    </w:p>
    <w:p w14:paraId="00000203">
      <w:pPr>
        <w:jc w:val="both"/>
        <w:rPr>
          <w:rFonts w:ascii="Arial" w:hAnsi="Arial" w:eastAsia="Arial" w:cs="Arial"/>
        </w:rPr>
      </w:pPr>
    </w:p>
    <w:p w14:paraId="00000204">
      <w:pPr>
        <w:jc w:val="both"/>
        <w:rPr>
          <w:rFonts w:ascii="Arial" w:hAnsi="Arial" w:eastAsia="Arial" w:cs="Arial"/>
        </w:rPr>
      </w:pPr>
    </w:p>
    <w:p w14:paraId="00000205">
      <w:pPr>
        <w:jc w:val="both"/>
        <w:rPr>
          <w:rFonts w:ascii="Arial" w:hAnsi="Arial" w:eastAsia="Arial" w:cs="Arial"/>
        </w:rPr>
      </w:pPr>
    </w:p>
    <w:p w14:paraId="00000206">
      <w:pPr>
        <w:jc w:val="both"/>
        <w:rPr>
          <w:rFonts w:ascii="Arial" w:hAnsi="Arial" w:eastAsia="Arial" w:cs="Arial"/>
        </w:rPr>
      </w:pPr>
    </w:p>
    <w:p w14:paraId="00000207">
      <w:pPr>
        <w:widowControl w:val="0"/>
        <w:pBdr>
          <w:top w:val="none" w:color="auto" w:sz="0" w:space="0"/>
          <w:left w:val="none" w:color="auto" w:sz="0" w:space="0"/>
          <w:bottom w:val="none" w:color="auto" w:sz="0" w:space="0"/>
          <w:right w:val="none" w:color="auto" w:sz="0" w:space="0"/>
          <w:between w:val="none" w:color="auto" w:sz="0" w:space="0"/>
        </w:pBdr>
        <w:jc w:val="center"/>
        <w:rPr>
          <w:rFonts w:ascii="Arial" w:hAnsi="Arial" w:eastAsia="Arial" w:cs="Arial"/>
        </w:rPr>
      </w:pPr>
      <w:r>
        <w:rPr>
          <w:rFonts w:ascii="Arial" w:hAnsi="Arial" w:eastAsia="Arial" w:cs="Arial"/>
          <w:rtl w:val="0"/>
        </w:rPr>
        <w:t>________________ EM, ___ DE _________ DE 2025.</w:t>
      </w:r>
    </w:p>
    <w:p w14:paraId="00000208">
      <w:pPr>
        <w:jc w:val="center"/>
        <w:rPr>
          <w:rFonts w:ascii="Arial" w:hAnsi="Arial" w:eastAsia="Arial" w:cs="Arial"/>
        </w:rPr>
      </w:pPr>
    </w:p>
    <w:p w14:paraId="00000209">
      <w:pPr>
        <w:jc w:val="center"/>
        <w:rPr>
          <w:rFonts w:ascii="Arial" w:hAnsi="Arial" w:eastAsia="Arial" w:cs="Arial"/>
        </w:rPr>
      </w:pPr>
    </w:p>
    <w:p w14:paraId="0000020A">
      <w:pPr>
        <w:jc w:val="center"/>
        <w:rPr>
          <w:rFonts w:ascii="Arial" w:hAnsi="Arial" w:eastAsia="Arial" w:cs="Arial"/>
        </w:rPr>
      </w:pPr>
    </w:p>
    <w:p w14:paraId="0000020B">
      <w:pPr>
        <w:jc w:val="center"/>
        <w:rPr>
          <w:rFonts w:ascii="Arial" w:hAnsi="Arial" w:eastAsia="Arial" w:cs="Arial"/>
        </w:rPr>
      </w:pPr>
    </w:p>
    <w:p w14:paraId="0000020C">
      <w:pPr>
        <w:jc w:val="center"/>
        <w:rPr>
          <w:rFonts w:ascii="Arial" w:hAnsi="Arial" w:eastAsia="Arial" w:cs="Arial"/>
        </w:rPr>
      </w:pPr>
    </w:p>
    <w:p w14:paraId="0000020D">
      <w:pPr>
        <w:jc w:val="center"/>
        <w:rPr>
          <w:rFonts w:ascii="Arial" w:hAnsi="Arial" w:eastAsia="Arial" w:cs="Arial"/>
        </w:rPr>
      </w:pPr>
      <w:r>
        <w:rPr>
          <w:rFonts w:ascii="Arial" w:hAnsi="Arial" w:eastAsia="Arial" w:cs="Arial"/>
          <w:rtl w:val="0"/>
        </w:rPr>
        <w:t>(ASSINATURA DO RESPONSÁVEL E CPF)</w:t>
      </w:r>
    </w:p>
    <w:p w14:paraId="0000020E">
      <w:pPr>
        <w:jc w:val="both"/>
        <w:rPr>
          <w:rFonts w:ascii="Arial" w:hAnsi="Arial" w:eastAsia="Arial" w:cs="Arial"/>
        </w:rPr>
      </w:pPr>
    </w:p>
    <w:p w14:paraId="0000020F">
      <w:pPr>
        <w:jc w:val="both"/>
        <w:rPr>
          <w:rFonts w:ascii="Arial" w:hAnsi="Arial" w:eastAsia="Arial" w:cs="Arial"/>
        </w:rPr>
      </w:pPr>
    </w:p>
    <w:p w14:paraId="00000210">
      <w:pPr>
        <w:jc w:val="both"/>
        <w:rPr>
          <w:rFonts w:ascii="Arial" w:hAnsi="Arial" w:eastAsia="Arial" w:cs="Arial"/>
        </w:rPr>
      </w:pPr>
    </w:p>
    <w:p w14:paraId="00000211">
      <w:pPr>
        <w:jc w:val="both"/>
        <w:rPr>
          <w:rFonts w:ascii="Arial" w:hAnsi="Arial" w:eastAsia="Arial" w:cs="Arial"/>
        </w:rPr>
      </w:pPr>
    </w:p>
    <w:p w14:paraId="00000212">
      <w:pPr>
        <w:jc w:val="both"/>
        <w:rPr>
          <w:rFonts w:ascii="Arial" w:hAnsi="Arial" w:eastAsia="Arial" w:cs="Arial"/>
        </w:rPr>
      </w:pPr>
    </w:p>
    <w:p w14:paraId="00000213">
      <w:pPr>
        <w:jc w:val="both"/>
        <w:rPr>
          <w:rFonts w:ascii="Arial" w:hAnsi="Arial" w:eastAsia="Arial" w:cs="Arial"/>
        </w:rPr>
      </w:pPr>
    </w:p>
    <w:p w14:paraId="00000214">
      <w:pPr>
        <w:jc w:val="both"/>
        <w:rPr>
          <w:rFonts w:ascii="Arial" w:hAnsi="Arial" w:eastAsia="Arial" w:cs="Arial"/>
        </w:rPr>
      </w:pPr>
    </w:p>
    <w:p w14:paraId="00000215">
      <w:pPr>
        <w:jc w:val="both"/>
        <w:rPr>
          <w:rFonts w:ascii="Arial" w:hAnsi="Arial" w:eastAsia="Arial" w:cs="Arial"/>
        </w:rPr>
      </w:pPr>
    </w:p>
    <w:p w14:paraId="00000216">
      <w:pPr>
        <w:jc w:val="both"/>
        <w:rPr>
          <w:rFonts w:ascii="Arial" w:hAnsi="Arial" w:eastAsia="Arial" w:cs="Arial"/>
        </w:rPr>
      </w:pPr>
    </w:p>
    <w:p w14:paraId="00000217">
      <w:pPr>
        <w:jc w:val="both"/>
        <w:rPr>
          <w:rFonts w:ascii="Arial" w:hAnsi="Arial" w:eastAsia="Arial" w:cs="Arial"/>
        </w:rPr>
      </w:pPr>
    </w:p>
    <w:p w14:paraId="00000218">
      <w:pPr>
        <w:pBdr>
          <w:top w:val="single" w:color="000000" w:sz="4" w:space="1"/>
          <w:bottom w:val="single" w:color="000000" w:sz="4" w:space="1"/>
        </w:pBdr>
        <w:shd w:val="clear" w:fill="D9D9D9"/>
        <w:jc w:val="both"/>
        <w:rPr>
          <w:rFonts w:ascii="Arial" w:hAnsi="Arial" w:eastAsia="Arial" w:cs="Arial"/>
          <w:b/>
        </w:rPr>
      </w:pPr>
      <w:r>
        <w:rPr>
          <w:rFonts w:ascii="Arial" w:hAnsi="Arial" w:eastAsia="Arial" w:cs="Arial"/>
          <w:b/>
          <w:rtl w:val="0"/>
        </w:rPr>
        <w:t>ANEXO IV – MODELO DE DECLARAÇÃO NOS TERMOS DO INCISO XXXIII DO ARTIGO 7º DA CONSTITUIÇÃO FEDERAL</w:t>
      </w:r>
    </w:p>
    <w:p w14:paraId="00000219">
      <w:pPr>
        <w:jc w:val="both"/>
        <w:rPr>
          <w:rFonts w:ascii="Arial" w:hAnsi="Arial" w:eastAsia="Arial" w:cs="Arial"/>
        </w:rPr>
      </w:pPr>
    </w:p>
    <w:p w14:paraId="0000021A">
      <w:pPr>
        <w:jc w:val="both"/>
        <w:rPr>
          <w:rFonts w:ascii="Arial" w:hAnsi="Arial" w:eastAsia="Arial" w:cs="Arial"/>
          <w:b/>
        </w:rPr>
      </w:pPr>
      <w:r>
        <w:rPr>
          <w:rFonts w:ascii="Arial" w:hAnsi="Arial" w:eastAsia="Arial" w:cs="Arial"/>
          <w:b/>
          <w:rtl w:val="0"/>
        </w:rPr>
        <w:t>PROCESSO LICITATÓRIO Nº 0XX/202X.</w:t>
      </w:r>
    </w:p>
    <w:p w14:paraId="0000021B">
      <w:pPr>
        <w:jc w:val="both"/>
        <w:rPr>
          <w:rFonts w:ascii="Arial" w:hAnsi="Arial" w:eastAsia="Arial" w:cs="Arial"/>
          <w:b/>
        </w:rPr>
      </w:pPr>
      <w:r>
        <w:rPr>
          <w:rFonts w:ascii="Arial" w:hAnsi="Arial" w:eastAsia="Arial" w:cs="Arial"/>
          <w:b/>
          <w:rtl w:val="0"/>
        </w:rPr>
        <w:t>PREGÃO ELETRÔNICO Nº 00X/202X.</w:t>
      </w:r>
    </w:p>
    <w:p w14:paraId="0000021C">
      <w:pPr>
        <w:jc w:val="both"/>
        <w:rPr>
          <w:rFonts w:ascii="Arial" w:hAnsi="Arial" w:eastAsia="Arial" w:cs="Arial"/>
          <w:b/>
        </w:rPr>
      </w:pPr>
    </w:p>
    <w:p w14:paraId="0000021D">
      <w:pPr>
        <w:jc w:val="both"/>
        <w:rPr>
          <w:rFonts w:ascii="Arial" w:hAnsi="Arial" w:eastAsia="Arial" w:cs="Arial"/>
          <w:b/>
        </w:rPr>
      </w:pPr>
      <w:r>
        <w:rPr>
          <w:rFonts w:ascii="Arial" w:hAnsi="Arial" w:eastAsia="Arial" w:cs="Arial"/>
          <w:b/>
          <w:rtl w:val="0"/>
        </w:rPr>
        <w:t>(PAPEL TIMBRADO DA EMPRESA)</w:t>
      </w:r>
    </w:p>
    <w:p w14:paraId="0000021E">
      <w:pPr>
        <w:jc w:val="both"/>
        <w:rPr>
          <w:rFonts w:ascii="Arial" w:hAnsi="Arial" w:eastAsia="Arial" w:cs="Arial"/>
        </w:rPr>
      </w:pPr>
    </w:p>
    <w:p w14:paraId="0000021F">
      <w:pPr>
        <w:jc w:val="both"/>
        <w:rPr>
          <w:rFonts w:ascii="Arial" w:hAnsi="Arial" w:eastAsia="Arial" w:cs="Arial"/>
        </w:rPr>
      </w:pPr>
      <w:r>
        <w:rPr>
          <w:rFonts w:ascii="Arial" w:hAnsi="Arial" w:eastAsia="Arial" w:cs="Arial"/>
          <w:rtl w:val="0"/>
        </w:rPr>
        <w:t>..............................................., INSCRITO NO CNPJ Nº ..........................., POR INTERMÉDIO DE SEU REPRESENTANTE LEGAL O(A) SR(A) ................................., PORTADOR(A) DA CARTEIRA DE IDENTIDADE Nº ................ E CPF Nº............................, DECLARA, PARA FINS DO DISPOSTO NO INC. V DO ART. Nº 27 DA LEI Nº 8.666, DE 21 DE JUNHO DE 1993, ACRESCIDO PELA LEI Nº 9.854, DE 27 DE OUTUBRO DE 1999, QUE NÃO EMPREGA MENOR DE DEZOITO ANOS EM TRABALHO NOTURNO, PERIGOSO OU INSALUBRE E NÃO EMPREGA MENOR DE DEZESSEIS ANOS.</w:t>
      </w:r>
    </w:p>
    <w:p w14:paraId="00000220">
      <w:pPr>
        <w:jc w:val="both"/>
        <w:rPr>
          <w:rFonts w:ascii="Arial" w:hAnsi="Arial" w:eastAsia="Arial" w:cs="Arial"/>
        </w:rPr>
      </w:pPr>
    </w:p>
    <w:p w14:paraId="00000221">
      <w:pPr>
        <w:jc w:val="both"/>
        <w:rPr>
          <w:rFonts w:ascii="Arial" w:hAnsi="Arial" w:eastAsia="Arial" w:cs="Arial"/>
        </w:rPr>
      </w:pPr>
      <w:r>
        <w:rPr>
          <w:rFonts w:ascii="Arial" w:hAnsi="Arial" w:eastAsia="Arial" w:cs="Arial"/>
          <w:rtl w:val="0"/>
        </w:rPr>
        <w:t>RESSALVA: EMPREGA MENOR, A PARTIR DE QUATORZE ANOS, NA CONDIÇÃO DE APRENDIZ ( )</w:t>
      </w:r>
      <w:r>
        <w:rPr>
          <w:rFonts w:ascii="Arial" w:hAnsi="Arial" w:eastAsia="Arial" w:cs="Arial"/>
          <w:vertAlign w:val="superscript"/>
        </w:rPr>
        <w:footnoteReference w:id="0"/>
      </w:r>
      <w:r>
        <w:rPr>
          <w:rFonts w:ascii="Arial" w:hAnsi="Arial" w:eastAsia="Arial" w:cs="Arial"/>
          <w:rtl w:val="0"/>
        </w:rPr>
        <w:t>.</w:t>
      </w:r>
    </w:p>
    <w:p w14:paraId="00000222">
      <w:pPr>
        <w:jc w:val="both"/>
        <w:rPr>
          <w:rFonts w:ascii="Arial" w:hAnsi="Arial" w:eastAsia="Arial" w:cs="Arial"/>
        </w:rPr>
      </w:pPr>
    </w:p>
    <w:p w14:paraId="00000223">
      <w:pPr>
        <w:jc w:val="both"/>
        <w:rPr>
          <w:rFonts w:ascii="Arial" w:hAnsi="Arial" w:eastAsia="Arial" w:cs="Arial"/>
        </w:rPr>
      </w:pPr>
    </w:p>
    <w:p w14:paraId="00000224">
      <w:pPr>
        <w:jc w:val="both"/>
        <w:rPr>
          <w:rFonts w:ascii="Arial" w:hAnsi="Arial" w:eastAsia="Arial" w:cs="Arial"/>
        </w:rPr>
      </w:pPr>
    </w:p>
    <w:p w14:paraId="00000225">
      <w:pPr>
        <w:jc w:val="center"/>
        <w:rPr>
          <w:rFonts w:ascii="Arial" w:hAnsi="Arial" w:eastAsia="Arial" w:cs="Arial"/>
        </w:rPr>
      </w:pPr>
      <w:r>
        <w:rPr>
          <w:rFonts w:ascii="Arial" w:hAnsi="Arial" w:eastAsia="Arial" w:cs="Arial"/>
          <w:rtl w:val="0"/>
        </w:rPr>
        <w:t>...............................</w:t>
      </w:r>
    </w:p>
    <w:p w14:paraId="00000226">
      <w:pPr>
        <w:jc w:val="center"/>
        <w:rPr>
          <w:rFonts w:ascii="Arial" w:hAnsi="Arial" w:eastAsia="Arial" w:cs="Arial"/>
        </w:rPr>
      </w:pPr>
      <w:r>
        <w:rPr>
          <w:rFonts w:ascii="Arial" w:hAnsi="Arial" w:eastAsia="Arial" w:cs="Arial"/>
          <w:rtl w:val="0"/>
        </w:rPr>
        <w:t>(DATA)</w:t>
      </w:r>
    </w:p>
    <w:p w14:paraId="00000227">
      <w:pPr>
        <w:jc w:val="center"/>
        <w:rPr>
          <w:rFonts w:ascii="Arial" w:hAnsi="Arial" w:eastAsia="Arial" w:cs="Arial"/>
        </w:rPr>
      </w:pPr>
    </w:p>
    <w:p w14:paraId="00000228">
      <w:pPr>
        <w:jc w:val="center"/>
        <w:rPr>
          <w:rFonts w:ascii="Arial" w:hAnsi="Arial" w:eastAsia="Arial" w:cs="Arial"/>
        </w:rPr>
      </w:pPr>
    </w:p>
    <w:p w14:paraId="00000229">
      <w:pPr>
        <w:jc w:val="center"/>
        <w:rPr>
          <w:rFonts w:ascii="Arial" w:hAnsi="Arial" w:eastAsia="Arial" w:cs="Arial"/>
        </w:rPr>
      </w:pPr>
    </w:p>
    <w:p w14:paraId="0000022A">
      <w:pPr>
        <w:jc w:val="center"/>
        <w:rPr>
          <w:rFonts w:ascii="Arial" w:hAnsi="Arial" w:eastAsia="Arial" w:cs="Arial"/>
        </w:rPr>
      </w:pPr>
    </w:p>
    <w:p w14:paraId="0000022B">
      <w:pPr>
        <w:jc w:val="center"/>
        <w:rPr>
          <w:rFonts w:ascii="Arial" w:hAnsi="Arial" w:eastAsia="Arial" w:cs="Arial"/>
        </w:rPr>
      </w:pPr>
      <w:r>
        <w:rPr>
          <w:rFonts w:ascii="Arial" w:hAnsi="Arial" w:eastAsia="Arial" w:cs="Arial"/>
          <w:rtl w:val="0"/>
        </w:rPr>
        <w:t>.................................</w:t>
      </w:r>
    </w:p>
    <w:p w14:paraId="0000022C">
      <w:pPr>
        <w:jc w:val="center"/>
        <w:rPr>
          <w:rFonts w:ascii="Arial" w:hAnsi="Arial" w:eastAsia="Arial" w:cs="Arial"/>
        </w:rPr>
      </w:pPr>
      <w:r>
        <w:rPr>
          <w:rFonts w:ascii="Arial" w:hAnsi="Arial" w:eastAsia="Arial" w:cs="Arial"/>
          <w:rtl w:val="0"/>
        </w:rPr>
        <w:t>(REPRESENTANTE LEGAL)</w:t>
      </w:r>
    </w:p>
    <w:p w14:paraId="0000022D">
      <w:pPr>
        <w:jc w:val="both"/>
        <w:rPr>
          <w:rFonts w:ascii="Arial" w:hAnsi="Arial" w:eastAsia="Arial" w:cs="Arial"/>
        </w:rPr>
      </w:pPr>
    </w:p>
    <w:p w14:paraId="0000022E">
      <w:pPr>
        <w:keepNext/>
        <w:jc w:val="both"/>
        <w:rPr>
          <w:rFonts w:ascii="Arial" w:hAnsi="Arial" w:eastAsia="Arial" w:cs="Arial"/>
        </w:rPr>
      </w:pPr>
    </w:p>
    <w:p w14:paraId="0000022F">
      <w:pPr>
        <w:jc w:val="both"/>
        <w:rPr>
          <w:rFonts w:ascii="Arial" w:hAnsi="Arial" w:eastAsia="Arial" w:cs="Arial"/>
        </w:rPr>
      </w:pPr>
    </w:p>
    <w:p w14:paraId="00000230">
      <w:pPr>
        <w:jc w:val="both"/>
        <w:rPr>
          <w:rFonts w:ascii="Arial" w:hAnsi="Arial" w:eastAsia="Arial" w:cs="Arial"/>
        </w:rPr>
      </w:pPr>
    </w:p>
    <w:p w14:paraId="00000231">
      <w:pPr>
        <w:jc w:val="both"/>
        <w:rPr>
          <w:rFonts w:ascii="Arial" w:hAnsi="Arial" w:eastAsia="Arial" w:cs="Arial"/>
        </w:rPr>
      </w:pPr>
    </w:p>
    <w:p w14:paraId="00000232">
      <w:pPr>
        <w:jc w:val="both"/>
        <w:rPr>
          <w:rFonts w:ascii="Arial" w:hAnsi="Arial" w:eastAsia="Arial" w:cs="Arial"/>
        </w:rPr>
      </w:pPr>
    </w:p>
    <w:p w14:paraId="00000233">
      <w:pPr>
        <w:jc w:val="both"/>
        <w:rPr>
          <w:rFonts w:ascii="Arial" w:hAnsi="Arial" w:eastAsia="Arial" w:cs="Arial"/>
        </w:rPr>
      </w:pPr>
    </w:p>
    <w:p w14:paraId="00000234">
      <w:pPr>
        <w:jc w:val="both"/>
        <w:rPr>
          <w:rFonts w:ascii="Arial" w:hAnsi="Arial" w:eastAsia="Arial" w:cs="Arial"/>
        </w:rPr>
      </w:pPr>
    </w:p>
    <w:p w14:paraId="00000235">
      <w:pPr>
        <w:jc w:val="both"/>
        <w:rPr>
          <w:rFonts w:ascii="Arial" w:hAnsi="Arial" w:eastAsia="Arial" w:cs="Arial"/>
        </w:rPr>
      </w:pPr>
    </w:p>
    <w:p w14:paraId="00000236">
      <w:pPr>
        <w:jc w:val="both"/>
        <w:rPr>
          <w:rFonts w:ascii="Arial" w:hAnsi="Arial" w:eastAsia="Arial" w:cs="Arial"/>
        </w:rPr>
      </w:pPr>
    </w:p>
    <w:p w14:paraId="00000237">
      <w:pPr>
        <w:jc w:val="both"/>
        <w:rPr>
          <w:rFonts w:ascii="Arial" w:hAnsi="Arial" w:eastAsia="Arial" w:cs="Arial"/>
        </w:rPr>
      </w:pPr>
    </w:p>
    <w:p w14:paraId="00000238">
      <w:pPr>
        <w:jc w:val="both"/>
        <w:rPr>
          <w:rFonts w:ascii="Arial" w:hAnsi="Arial" w:eastAsia="Arial" w:cs="Arial"/>
        </w:rPr>
      </w:pPr>
    </w:p>
    <w:p w14:paraId="00000239">
      <w:pPr>
        <w:jc w:val="both"/>
        <w:rPr>
          <w:rFonts w:ascii="Arial" w:hAnsi="Arial" w:eastAsia="Arial" w:cs="Arial"/>
        </w:rPr>
      </w:pPr>
    </w:p>
    <w:p w14:paraId="0000023A">
      <w:pPr>
        <w:jc w:val="both"/>
        <w:rPr>
          <w:rFonts w:ascii="Arial" w:hAnsi="Arial" w:eastAsia="Arial" w:cs="Arial"/>
        </w:rPr>
      </w:pPr>
    </w:p>
    <w:p w14:paraId="0000023B">
      <w:pPr>
        <w:jc w:val="both"/>
        <w:rPr>
          <w:rFonts w:ascii="Arial" w:hAnsi="Arial" w:eastAsia="Arial" w:cs="Arial"/>
        </w:rPr>
      </w:pPr>
    </w:p>
    <w:p w14:paraId="0000023C">
      <w:pPr>
        <w:jc w:val="both"/>
        <w:rPr>
          <w:rFonts w:ascii="Arial" w:hAnsi="Arial" w:eastAsia="Arial" w:cs="Arial"/>
        </w:rPr>
      </w:pPr>
    </w:p>
    <w:p w14:paraId="0000023D">
      <w:pPr>
        <w:pBdr>
          <w:top w:val="single" w:color="000000" w:sz="4" w:space="1"/>
          <w:left w:val="none" w:color="auto" w:sz="0" w:space="0"/>
          <w:bottom w:val="single" w:color="000000" w:sz="4" w:space="1"/>
          <w:right w:val="none" w:color="auto" w:sz="0" w:space="0"/>
          <w:between w:val="none" w:color="auto" w:sz="0" w:space="0"/>
        </w:pBdr>
        <w:shd w:val="clear" w:fill="D9D9D9"/>
        <w:jc w:val="both"/>
        <w:rPr>
          <w:rFonts w:ascii="Arial" w:hAnsi="Arial" w:eastAsia="Arial" w:cs="Arial"/>
        </w:rPr>
      </w:pPr>
      <w:r>
        <w:rPr>
          <w:rFonts w:ascii="Arial" w:hAnsi="Arial" w:eastAsia="Arial" w:cs="Arial"/>
          <w:b/>
          <w:rtl w:val="0"/>
        </w:rPr>
        <w:t>ANEXO V –</w:t>
      </w:r>
      <w:r>
        <w:rPr>
          <w:rFonts w:ascii="Arial" w:hAnsi="Arial" w:eastAsia="Arial" w:cs="Arial"/>
          <w:rtl w:val="0"/>
        </w:rPr>
        <w:t xml:space="preserve"> </w:t>
      </w:r>
      <w:r>
        <w:rPr>
          <w:rFonts w:ascii="Arial" w:hAnsi="Arial" w:eastAsia="Arial" w:cs="Arial"/>
          <w:b/>
          <w:rtl w:val="0"/>
        </w:rPr>
        <w:t>DECLARAÇÃO DE ELABORAÇÃO INDEPENDENTE DE PROPOSTA. (MODELO)</w:t>
      </w:r>
    </w:p>
    <w:p w14:paraId="0000023E">
      <w:pPr>
        <w:jc w:val="both"/>
        <w:rPr>
          <w:rFonts w:ascii="Arial" w:hAnsi="Arial" w:eastAsia="Arial" w:cs="Arial"/>
          <w:b/>
        </w:rPr>
      </w:pPr>
    </w:p>
    <w:p w14:paraId="0000023F">
      <w:pPr>
        <w:jc w:val="both"/>
        <w:rPr>
          <w:rFonts w:ascii="Arial" w:hAnsi="Arial" w:eastAsia="Arial" w:cs="Arial"/>
          <w:b/>
        </w:rPr>
      </w:pPr>
      <w:r>
        <w:rPr>
          <w:rFonts w:ascii="Arial" w:hAnsi="Arial" w:eastAsia="Arial" w:cs="Arial"/>
          <w:b/>
          <w:rtl w:val="0"/>
        </w:rPr>
        <w:t>PROCESSO LICITATÓRIO Nº 0XX/202X.</w:t>
      </w:r>
    </w:p>
    <w:p w14:paraId="00000240">
      <w:pPr>
        <w:jc w:val="both"/>
        <w:rPr>
          <w:rFonts w:ascii="Arial" w:hAnsi="Arial" w:eastAsia="Arial" w:cs="Arial"/>
          <w:b/>
        </w:rPr>
      </w:pPr>
      <w:r>
        <w:rPr>
          <w:rFonts w:ascii="Arial" w:hAnsi="Arial" w:eastAsia="Arial" w:cs="Arial"/>
          <w:b/>
          <w:rtl w:val="0"/>
        </w:rPr>
        <w:t>PREGÃO ELETRÔNICO Nº 00X/202X.</w:t>
      </w:r>
    </w:p>
    <w:p w14:paraId="00000241">
      <w:pPr>
        <w:jc w:val="both"/>
        <w:rPr>
          <w:rFonts w:ascii="Arial" w:hAnsi="Arial" w:eastAsia="Arial" w:cs="Arial"/>
          <w:b/>
        </w:rPr>
      </w:pPr>
    </w:p>
    <w:p w14:paraId="00000242">
      <w:pPr>
        <w:jc w:val="both"/>
        <w:rPr>
          <w:rFonts w:ascii="Arial" w:hAnsi="Arial" w:eastAsia="Arial" w:cs="Arial"/>
        </w:rPr>
      </w:pPr>
      <w:r>
        <w:rPr>
          <w:rFonts w:ascii="Arial" w:hAnsi="Arial" w:eastAsia="Arial" w:cs="Arial"/>
          <w:rtl w:val="0"/>
        </w:rPr>
        <w:t xml:space="preserve">(IDENTIFICAÇÃO COMPLETA DO REPRESENTANTE DA LICITANTE), COMO REPRESENTANTE DEVIDAMENTE CONSTITUÍDO DE (IDENTIFICAÇÃO COMPLETA DA LICITANTE), PARA FINS DO DISPOSTO NO EDITAL DE LICITAÇÃO: </w:t>
      </w:r>
      <w:r>
        <w:rPr>
          <w:rFonts w:ascii="Arial" w:hAnsi="Arial" w:eastAsia="Arial" w:cs="Arial"/>
          <w:b/>
          <w:rtl w:val="0"/>
        </w:rPr>
        <w:t xml:space="preserve">PROCESSO LICITATÓRIO Nº 0XX/2025, PREGÃO ELETRÔNICO Nº 00X/2025- XXXX/2025, </w:t>
      </w:r>
      <w:r>
        <w:rPr>
          <w:rFonts w:ascii="Arial" w:hAnsi="Arial" w:eastAsia="Arial" w:cs="Arial"/>
          <w:rtl w:val="0"/>
        </w:rPr>
        <w:t>DECLARA, SOB AS PENAS DA LEI, EM ESPECIAL O ART. 299 DO CÓDIGO PENAL BRASILEIRO, QUE:</w:t>
      </w:r>
    </w:p>
    <w:p w14:paraId="00000243">
      <w:pPr>
        <w:pBdr>
          <w:top w:val="none" w:color="auto" w:sz="0" w:space="0"/>
          <w:left w:val="none" w:color="auto" w:sz="0" w:space="0"/>
          <w:bottom w:val="none" w:color="auto" w:sz="0" w:space="0"/>
          <w:right w:val="none" w:color="auto" w:sz="0" w:space="0"/>
          <w:between w:val="none" w:color="auto" w:sz="0" w:space="0"/>
        </w:pBdr>
        <w:jc w:val="both"/>
        <w:rPr>
          <w:rFonts w:ascii="Arial" w:hAnsi="Arial" w:eastAsia="Arial" w:cs="Arial"/>
        </w:rPr>
      </w:pPr>
    </w:p>
    <w:p w14:paraId="00000244">
      <w:pPr>
        <w:jc w:val="both"/>
        <w:rPr>
          <w:rFonts w:ascii="Arial" w:hAnsi="Arial" w:eastAsia="Arial" w:cs="Arial"/>
        </w:rPr>
      </w:pPr>
      <w:r>
        <w:rPr>
          <w:rFonts w:ascii="Arial" w:hAnsi="Arial" w:eastAsia="Arial" w:cs="Arial"/>
          <w:b/>
          <w:rtl w:val="0"/>
        </w:rPr>
        <w:t>A)</w:t>
      </w:r>
      <w:r>
        <w:rPr>
          <w:rFonts w:ascii="Arial" w:hAnsi="Arial" w:eastAsia="Arial" w:cs="Arial"/>
          <w:rtl w:val="0"/>
        </w:rPr>
        <w:t xml:space="preserve"> A PROPOSTA APRESENTADA PARA PARTICIPAR DO </w:t>
      </w:r>
      <w:r>
        <w:rPr>
          <w:rFonts w:ascii="Arial" w:hAnsi="Arial" w:eastAsia="Arial" w:cs="Arial"/>
          <w:b/>
          <w:rtl w:val="0"/>
        </w:rPr>
        <w:t xml:space="preserve">PREGÃO ELETRÔNICO Nº 0XX/2025.-XXXX, </w:t>
      </w:r>
      <w:r>
        <w:rPr>
          <w:rFonts w:ascii="Arial" w:hAnsi="Arial" w:eastAsia="Arial" w:cs="Arial"/>
          <w:rtl w:val="0"/>
        </w:rPr>
        <w:t xml:space="preserve">FOI ELABORADA DE MANEIRA INDEPENDENTE (PELO LICITANTE), E O CONTEÚDO DA PROPOSTA NÃO FOI, NO TODO OU EM PARTE, DIRETA OU INDIRETAMENTE, INFORMADO, DISCUTIDO OU RECEBIDO DE QUALQUER OUTRO PARTICIPANTE POTENCIAL OU DE FATO DO </w:t>
      </w:r>
      <w:r>
        <w:rPr>
          <w:rFonts w:ascii="Arial" w:hAnsi="Arial" w:eastAsia="Arial" w:cs="Arial"/>
          <w:b/>
          <w:rtl w:val="0"/>
        </w:rPr>
        <w:t xml:space="preserve">PREGÃO ELETRÔNICO Nº 0XX/2025.-XXXX, </w:t>
      </w:r>
      <w:r>
        <w:rPr>
          <w:rFonts w:ascii="Arial" w:hAnsi="Arial" w:eastAsia="Arial" w:cs="Arial"/>
          <w:rtl w:val="0"/>
        </w:rPr>
        <w:t>POR QUALQUER MEIO OU POR QUALQUER PESSOA;</w:t>
      </w:r>
    </w:p>
    <w:p w14:paraId="00000245">
      <w:pPr>
        <w:pBdr>
          <w:top w:val="none" w:color="auto" w:sz="0" w:space="0"/>
          <w:left w:val="none" w:color="auto" w:sz="0" w:space="0"/>
          <w:bottom w:val="none" w:color="auto" w:sz="0" w:space="0"/>
          <w:right w:val="none" w:color="auto" w:sz="0" w:space="0"/>
          <w:between w:val="none" w:color="auto" w:sz="0" w:space="0"/>
        </w:pBdr>
        <w:ind w:left="709" w:firstLine="0"/>
        <w:jc w:val="both"/>
        <w:rPr>
          <w:rFonts w:ascii="Arial" w:hAnsi="Arial" w:eastAsia="Arial" w:cs="Arial"/>
        </w:rPr>
      </w:pPr>
    </w:p>
    <w:p w14:paraId="00000246">
      <w:pPr>
        <w:pBdr>
          <w:top w:val="none" w:color="auto" w:sz="0" w:space="0"/>
          <w:left w:val="none" w:color="auto" w:sz="0" w:space="0"/>
          <w:bottom w:val="none" w:color="auto" w:sz="0" w:space="0"/>
          <w:right w:val="none" w:color="auto" w:sz="0" w:space="0"/>
          <w:between w:val="none" w:color="auto" w:sz="0" w:space="0"/>
        </w:pBdr>
        <w:jc w:val="both"/>
        <w:rPr>
          <w:rFonts w:ascii="Arial" w:hAnsi="Arial" w:eastAsia="Arial" w:cs="Arial"/>
        </w:rPr>
      </w:pPr>
      <w:r>
        <w:rPr>
          <w:rFonts w:ascii="Arial" w:hAnsi="Arial" w:eastAsia="Arial" w:cs="Arial"/>
          <w:b/>
          <w:rtl w:val="0"/>
        </w:rPr>
        <w:t>B)</w:t>
      </w:r>
      <w:r>
        <w:rPr>
          <w:rFonts w:ascii="Arial" w:hAnsi="Arial" w:eastAsia="Arial" w:cs="Arial"/>
          <w:rtl w:val="0"/>
        </w:rPr>
        <w:t xml:space="preserve"> A INTENÇÃO DE APRESENTAR A PROPOSTA ELABORADA PARA PARTICIPAR DO </w:t>
      </w:r>
      <w:r>
        <w:rPr>
          <w:rFonts w:ascii="Arial" w:hAnsi="Arial" w:eastAsia="Arial" w:cs="Arial"/>
          <w:b/>
          <w:rtl w:val="0"/>
        </w:rPr>
        <w:t xml:space="preserve">PREGÃO ELETRÔNICO Nº 0XX/2025XX </w:t>
      </w:r>
      <w:r>
        <w:rPr>
          <w:rFonts w:ascii="Arial" w:hAnsi="Arial" w:eastAsia="Arial" w:cs="Arial"/>
          <w:rtl w:val="0"/>
        </w:rPr>
        <w:t xml:space="preserve">NÃO FOI INFORMADA, DISCUTIDA OU RECEBIDA DE QUALQUER OUTRO PARTICIPANTE POTENCIAL OU DE FATO DO </w:t>
      </w:r>
      <w:r>
        <w:rPr>
          <w:rFonts w:ascii="Arial" w:hAnsi="Arial" w:eastAsia="Arial" w:cs="Arial"/>
          <w:b/>
          <w:rtl w:val="0"/>
        </w:rPr>
        <w:t>PREGÃO ELETRÔNICO Nº 0XX/2025.-XXXX</w:t>
      </w:r>
      <w:r>
        <w:rPr>
          <w:rFonts w:ascii="Arial" w:hAnsi="Arial" w:eastAsia="Arial" w:cs="Arial"/>
          <w:rtl w:val="0"/>
        </w:rPr>
        <w:t>, POR QUALQUER MEIO OU POR QUALQUER PESSOA;</w:t>
      </w:r>
    </w:p>
    <w:p w14:paraId="00000247">
      <w:pPr>
        <w:pBdr>
          <w:top w:val="none" w:color="auto" w:sz="0" w:space="0"/>
          <w:left w:val="none" w:color="auto" w:sz="0" w:space="0"/>
          <w:bottom w:val="none" w:color="auto" w:sz="0" w:space="0"/>
          <w:right w:val="none" w:color="auto" w:sz="0" w:space="0"/>
          <w:between w:val="none" w:color="auto" w:sz="0" w:space="0"/>
        </w:pBdr>
        <w:ind w:left="709" w:firstLine="0"/>
        <w:jc w:val="both"/>
        <w:rPr>
          <w:rFonts w:ascii="Arial" w:hAnsi="Arial" w:eastAsia="Arial" w:cs="Arial"/>
        </w:rPr>
      </w:pPr>
    </w:p>
    <w:p w14:paraId="00000248">
      <w:pPr>
        <w:pBdr>
          <w:top w:val="none" w:color="auto" w:sz="0" w:space="0"/>
          <w:left w:val="none" w:color="auto" w:sz="0" w:space="0"/>
          <w:bottom w:val="none" w:color="auto" w:sz="0" w:space="0"/>
          <w:right w:val="none" w:color="auto" w:sz="0" w:space="0"/>
          <w:between w:val="none" w:color="auto" w:sz="0" w:space="0"/>
        </w:pBdr>
        <w:jc w:val="both"/>
        <w:rPr>
          <w:rFonts w:ascii="Arial" w:hAnsi="Arial" w:eastAsia="Arial" w:cs="Arial"/>
        </w:rPr>
      </w:pPr>
      <w:bookmarkStart w:id="57" w:name="_heading=h.2et92p0" w:colFirst="0" w:colLast="0"/>
      <w:bookmarkEnd w:id="57"/>
      <w:r>
        <w:rPr>
          <w:rFonts w:ascii="Arial" w:hAnsi="Arial" w:eastAsia="Arial" w:cs="Arial"/>
          <w:b/>
          <w:rtl w:val="0"/>
        </w:rPr>
        <w:t>C)</w:t>
      </w:r>
      <w:r>
        <w:rPr>
          <w:rFonts w:ascii="Arial" w:hAnsi="Arial" w:eastAsia="Arial" w:cs="Arial"/>
          <w:rtl w:val="0"/>
        </w:rPr>
        <w:t xml:space="preserve"> QUE NÃO TENTOU, POR QUALQUER MEIO OU POR QUALQUER PESSOA, INFLUIR NA DECISÃO DE QUALQUER OUTRO PARTICIPANTE POTENCIAL OU DE FATO DO </w:t>
      </w:r>
      <w:r>
        <w:rPr>
          <w:rFonts w:ascii="Arial" w:hAnsi="Arial" w:eastAsia="Arial" w:cs="Arial"/>
          <w:b/>
          <w:rtl w:val="0"/>
        </w:rPr>
        <w:t xml:space="preserve">PREGÃO ELETRÔNICO Nº XXX/202X- XX </w:t>
      </w:r>
      <w:r>
        <w:rPr>
          <w:rFonts w:ascii="Arial" w:hAnsi="Arial" w:eastAsia="Arial" w:cs="Arial"/>
          <w:rtl w:val="0"/>
        </w:rPr>
        <w:t>QUANTO A PARTICIPAR OU NÃO DA REFERIDA LICITAÇÃO;</w:t>
      </w:r>
    </w:p>
    <w:p w14:paraId="00000249">
      <w:pPr>
        <w:pBdr>
          <w:top w:val="none" w:color="auto" w:sz="0" w:space="0"/>
          <w:left w:val="none" w:color="auto" w:sz="0" w:space="0"/>
          <w:bottom w:val="none" w:color="auto" w:sz="0" w:space="0"/>
          <w:right w:val="none" w:color="auto" w:sz="0" w:space="0"/>
          <w:between w:val="none" w:color="auto" w:sz="0" w:space="0"/>
        </w:pBdr>
        <w:ind w:left="709" w:firstLine="0"/>
        <w:jc w:val="both"/>
        <w:rPr>
          <w:rFonts w:ascii="Arial" w:hAnsi="Arial" w:eastAsia="Arial" w:cs="Arial"/>
        </w:rPr>
      </w:pPr>
    </w:p>
    <w:p w14:paraId="0000024A">
      <w:pPr>
        <w:pBdr>
          <w:top w:val="none" w:color="auto" w:sz="0" w:space="0"/>
          <w:left w:val="none" w:color="auto" w:sz="0" w:space="0"/>
          <w:bottom w:val="none" w:color="auto" w:sz="0" w:space="0"/>
          <w:right w:val="none" w:color="auto" w:sz="0" w:space="0"/>
          <w:between w:val="none" w:color="auto" w:sz="0" w:space="0"/>
        </w:pBdr>
        <w:jc w:val="both"/>
        <w:rPr>
          <w:rFonts w:ascii="Arial" w:hAnsi="Arial" w:eastAsia="Arial" w:cs="Arial"/>
        </w:rPr>
      </w:pPr>
      <w:r>
        <w:rPr>
          <w:rFonts w:ascii="Arial" w:hAnsi="Arial" w:eastAsia="Arial" w:cs="Arial"/>
          <w:b/>
          <w:rtl w:val="0"/>
        </w:rPr>
        <w:t>D)</w:t>
      </w:r>
      <w:r>
        <w:rPr>
          <w:rFonts w:ascii="Arial" w:hAnsi="Arial" w:eastAsia="Arial" w:cs="Arial"/>
          <w:rtl w:val="0"/>
        </w:rPr>
        <w:t xml:space="preserve"> QUE O CONTEÚDO DA PROPOSTA APRESENTADA PARA PARTICIPAR DO </w:t>
      </w:r>
      <w:r>
        <w:rPr>
          <w:rFonts w:ascii="Arial" w:hAnsi="Arial" w:eastAsia="Arial" w:cs="Arial"/>
          <w:b/>
          <w:rtl w:val="0"/>
        </w:rPr>
        <w:t xml:space="preserve">PREGÃO ELETRÔNICO Nº 0X/2025 XX </w:t>
      </w:r>
      <w:r>
        <w:rPr>
          <w:rFonts w:ascii="Arial" w:hAnsi="Arial" w:eastAsia="Arial" w:cs="Arial"/>
          <w:rtl w:val="0"/>
        </w:rPr>
        <w:t xml:space="preserve">NÃO SERÁ, NO TODO OU EM PARTE, DIRETA OU INDIRETAMENTE, COMUNICADO OU DISCUTIDO COM QUALQUER OUTRO PARTICIPANTE POTENCIAL OU DE FATO DO </w:t>
      </w:r>
      <w:r>
        <w:rPr>
          <w:rFonts w:ascii="Arial" w:hAnsi="Arial" w:eastAsia="Arial" w:cs="Arial"/>
          <w:b/>
          <w:rtl w:val="0"/>
        </w:rPr>
        <w:t xml:space="preserve">PREGÃO ELETRÔNICO Nº 0XX/2025 </w:t>
      </w:r>
      <w:r>
        <w:rPr>
          <w:rFonts w:ascii="Arial" w:hAnsi="Arial" w:eastAsia="Arial" w:cs="Arial"/>
          <w:rtl w:val="0"/>
        </w:rPr>
        <w:t>ANTES DA ADJUDICAÇÃO DO OBJETO DA REFERIDA LICITAÇÃO;</w:t>
      </w:r>
    </w:p>
    <w:p w14:paraId="0000024B">
      <w:pPr>
        <w:pBdr>
          <w:top w:val="none" w:color="auto" w:sz="0" w:space="0"/>
          <w:left w:val="none" w:color="auto" w:sz="0" w:space="0"/>
          <w:bottom w:val="none" w:color="auto" w:sz="0" w:space="0"/>
          <w:right w:val="none" w:color="auto" w:sz="0" w:space="0"/>
          <w:between w:val="none" w:color="auto" w:sz="0" w:space="0"/>
        </w:pBdr>
        <w:ind w:left="709" w:firstLine="0"/>
        <w:jc w:val="both"/>
        <w:rPr>
          <w:rFonts w:ascii="Arial" w:hAnsi="Arial" w:eastAsia="Arial" w:cs="Arial"/>
        </w:rPr>
      </w:pPr>
    </w:p>
    <w:p w14:paraId="0000024C">
      <w:pPr>
        <w:pBdr>
          <w:top w:val="none" w:color="auto" w:sz="0" w:space="0"/>
          <w:left w:val="none" w:color="auto" w:sz="0" w:space="0"/>
          <w:bottom w:val="none" w:color="auto" w:sz="0" w:space="0"/>
          <w:right w:val="none" w:color="auto" w:sz="0" w:space="0"/>
          <w:between w:val="none" w:color="auto" w:sz="0" w:space="0"/>
        </w:pBdr>
        <w:jc w:val="both"/>
        <w:rPr>
          <w:rFonts w:ascii="Arial" w:hAnsi="Arial" w:eastAsia="Arial" w:cs="Arial"/>
        </w:rPr>
      </w:pPr>
      <w:r>
        <w:rPr>
          <w:rFonts w:ascii="Arial" w:hAnsi="Arial" w:eastAsia="Arial" w:cs="Arial"/>
          <w:b/>
          <w:rtl w:val="0"/>
        </w:rPr>
        <w:t>E)</w:t>
      </w:r>
      <w:r>
        <w:rPr>
          <w:rFonts w:ascii="Arial" w:hAnsi="Arial" w:eastAsia="Arial" w:cs="Arial"/>
          <w:rtl w:val="0"/>
        </w:rPr>
        <w:t xml:space="preserve"> QUE O CONTEÚDO DA PROPOSTA APRESENTADA PARA PARTICIPAR DO </w:t>
      </w:r>
      <w:r>
        <w:rPr>
          <w:rFonts w:ascii="Arial" w:hAnsi="Arial" w:eastAsia="Arial" w:cs="Arial"/>
          <w:b/>
          <w:rtl w:val="0"/>
        </w:rPr>
        <w:t xml:space="preserve">PREGÃO ELETRÔNICO Nº XXX/202X- XX </w:t>
      </w:r>
      <w:r>
        <w:rPr>
          <w:rFonts w:ascii="Arial" w:hAnsi="Arial" w:eastAsia="Arial" w:cs="Arial"/>
          <w:rtl w:val="0"/>
        </w:rPr>
        <w:t xml:space="preserve">NÃO FOI, NO TODO OU EM PARTE, DIRETA OU INDIRETAMENTE, INFORMADO, DISCUTIDO OU RECEBIDO DE QUALQUER INTEGRANTE DO MUNICÍPIO DE MACURURÉ/BA, ANTES DA ABERTURA OFICIAL DAS PROPOSTAS; E </w:t>
      </w:r>
    </w:p>
    <w:p w14:paraId="0000024D">
      <w:pPr>
        <w:pBdr>
          <w:top w:val="none" w:color="auto" w:sz="0" w:space="0"/>
          <w:left w:val="none" w:color="auto" w:sz="0" w:space="0"/>
          <w:bottom w:val="none" w:color="auto" w:sz="0" w:space="0"/>
          <w:right w:val="none" w:color="auto" w:sz="0" w:space="0"/>
          <w:between w:val="none" w:color="auto" w:sz="0" w:space="0"/>
        </w:pBdr>
        <w:ind w:left="709" w:firstLine="0"/>
        <w:jc w:val="both"/>
        <w:rPr>
          <w:rFonts w:ascii="Arial" w:hAnsi="Arial" w:eastAsia="Arial" w:cs="Arial"/>
        </w:rPr>
      </w:pPr>
    </w:p>
    <w:p w14:paraId="0000024E">
      <w:pPr>
        <w:pBdr>
          <w:top w:val="none" w:color="auto" w:sz="0" w:space="0"/>
          <w:left w:val="none" w:color="auto" w:sz="0" w:space="0"/>
          <w:bottom w:val="none" w:color="auto" w:sz="0" w:space="0"/>
          <w:right w:val="none" w:color="auto" w:sz="0" w:space="0"/>
          <w:between w:val="none" w:color="auto" w:sz="0" w:space="0"/>
        </w:pBdr>
        <w:jc w:val="both"/>
        <w:rPr>
          <w:rFonts w:ascii="Arial" w:hAnsi="Arial" w:eastAsia="Arial" w:cs="Arial"/>
        </w:rPr>
      </w:pPr>
      <w:r>
        <w:rPr>
          <w:rFonts w:ascii="Arial" w:hAnsi="Arial" w:eastAsia="Arial" w:cs="Arial"/>
          <w:b/>
          <w:rtl w:val="0"/>
        </w:rPr>
        <w:t>F)</w:t>
      </w:r>
      <w:r>
        <w:rPr>
          <w:rFonts w:ascii="Arial" w:hAnsi="Arial" w:eastAsia="Arial" w:cs="Arial"/>
          <w:rtl w:val="0"/>
        </w:rPr>
        <w:t xml:space="preserve"> QUE ESTÁ PLENAMENTE CIENTE DO TEOR E DA EXTENSÃO DESTA DECLARAÇÃO E QUE DETÉM PLENOS PODERES E INFORMAÇÕES PARA FIRMÁ-LA.</w:t>
      </w:r>
    </w:p>
    <w:p w14:paraId="0000024F">
      <w:pPr>
        <w:pBdr>
          <w:top w:val="none" w:color="auto" w:sz="0" w:space="0"/>
          <w:left w:val="none" w:color="auto" w:sz="0" w:space="0"/>
          <w:bottom w:val="none" w:color="auto" w:sz="0" w:space="0"/>
          <w:right w:val="none" w:color="auto" w:sz="0" w:space="0"/>
          <w:between w:val="none" w:color="auto" w:sz="0" w:space="0"/>
        </w:pBdr>
        <w:rPr>
          <w:rFonts w:ascii="Arial" w:hAnsi="Arial" w:eastAsia="Arial" w:cs="Arial"/>
        </w:rPr>
      </w:pPr>
    </w:p>
    <w:p w14:paraId="00000250">
      <w:pPr>
        <w:jc w:val="center"/>
        <w:rPr>
          <w:rFonts w:ascii="Arial" w:hAnsi="Arial" w:eastAsia="Arial" w:cs="Arial"/>
        </w:rPr>
      </w:pPr>
      <w:r>
        <w:rPr>
          <w:rFonts w:ascii="Arial" w:hAnsi="Arial" w:eastAsia="Arial" w:cs="Arial"/>
          <w:rtl w:val="0"/>
        </w:rPr>
        <w:t>MACURURÉ, ..... DE ..........   DE 2025.</w:t>
      </w:r>
    </w:p>
    <w:p w14:paraId="00000251">
      <w:pPr>
        <w:jc w:val="center"/>
        <w:rPr>
          <w:rFonts w:ascii="Arial" w:hAnsi="Arial" w:eastAsia="Arial" w:cs="Arial"/>
        </w:rPr>
      </w:pPr>
      <w:r>
        <w:rPr>
          <w:rFonts w:ascii="Arial" w:hAnsi="Arial" w:eastAsia="Arial" w:cs="Arial"/>
          <w:rtl w:val="0"/>
        </w:rPr>
        <w:t>REPRESENTANTE LEGAL</w:t>
      </w:r>
    </w:p>
    <w:p w14:paraId="00000252">
      <w:pPr>
        <w:pBdr>
          <w:top w:val="single" w:color="000000" w:sz="4" w:space="1"/>
          <w:left w:val="none" w:color="auto" w:sz="0" w:space="0"/>
          <w:bottom w:val="single" w:color="000000" w:sz="4" w:space="1"/>
          <w:right w:val="none" w:color="auto" w:sz="0" w:space="0"/>
          <w:between w:val="none" w:color="auto" w:sz="0" w:space="0"/>
        </w:pBdr>
        <w:shd w:val="clear" w:fill="D9D9D9"/>
        <w:jc w:val="both"/>
        <w:rPr>
          <w:rFonts w:ascii="Arial" w:hAnsi="Arial" w:eastAsia="Arial" w:cs="Arial"/>
          <w:b/>
        </w:rPr>
      </w:pPr>
      <w:r>
        <w:rPr>
          <w:rFonts w:ascii="Arial" w:hAnsi="Arial" w:eastAsia="Arial" w:cs="Arial"/>
          <w:b/>
          <w:rtl w:val="0"/>
        </w:rPr>
        <w:t>ANEXO VI – DECLARAÇÃO DO PORTE DA EMPRESA (MICROEMPRESA OU EMPRESA DE PEQUENO PORTE)</w:t>
      </w:r>
    </w:p>
    <w:p w14:paraId="00000253">
      <w:pPr>
        <w:jc w:val="both"/>
        <w:rPr>
          <w:rFonts w:ascii="Arial" w:hAnsi="Arial" w:eastAsia="Arial" w:cs="Arial"/>
        </w:rPr>
      </w:pPr>
    </w:p>
    <w:p w14:paraId="00000254">
      <w:pPr>
        <w:jc w:val="both"/>
        <w:rPr>
          <w:rFonts w:ascii="Arial" w:hAnsi="Arial" w:eastAsia="Arial" w:cs="Arial"/>
          <w:b/>
        </w:rPr>
      </w:pPr>
      <w:r>
        <w:rPr>
          <w:rFonts w:ascii="Arial" w:hAnsi="Arial" w:eastAsia="Arial" w:cs="Arial"/>
          <w:b/>
          <w:rtl w:val="0"/>
        </w:rPr>
        <w:t>PROCESSO LICITATÓRIO Nº 0XX/202X.</w:t>
      </w:r>
    </w:p>
    <w:p w14:paraId="00000255">
      <w:pPr>
        <w:jc w:val="both"/>
        <w:rPr>
          <w:rFonts w:ascii="Arial" w:hAnsi="Arial" w:eastAsia="Arial" w:cs="Arial"/>
          <w:b/>
        </w:rPr>
      </w:pPr>
      <w:r>
        <w:rPr>
          <w:rFonts w:ascii="Arial" w:hAnsi="Arial" w:eastAsia="Arial" w:cs="Arial"/>
          <w:b/>
          <w:rtl w:val="0"/>
        </w:rPr>
        <w:t>PREGÃO ELETRÔNICO Nº 00X/202X</w:t>
      </w:r>
    </w:p>
    <w:p w14:paraId="00000256">
      <w:pPr>
        <w:widowControl w:val="0"/>
        <w:jc w:val="both"/>
        <w:rPr>
          <w:rFonts w:ascii="Arial" w:hAnsi="Arial" w:eastAsia="Arial" w:cs="Arial"/>
          <w:b/>
        </w:rPr>
      </w:pPr>
    </w:p>
    <w:p w14:paraId="00000257">
      <w:pPr>
        <w:widowControl w:val="0"/>
        <w:jc w:val="both"/>
        <w:rPr>
          <w:rFonts w:ascii="Arial" w:hAnsi="Arial" w:eastAsia="Arial" w:cs="Arial"/>
        </w:rPr>
      </w:pPr>
      <w:r>
        <w:rPr>
          <w:rFonts w:ascii="Arial" w:hAnsi="Arial" w:eastAsia="Arial" w:cs="Arial"/>
          <w:b/>
          <w:rtl w:val="0"/>
        </w:rPr>
        <w:t>[NOME DA EMPRESA</w:t>
      </w:r>
      <w:r>
        <w:rPr>
          <w:rFonts w:ascii="Arial" w:hAnsi="Arial" w:eastAsia="Arial" w:cs="Arial"/>
          <w:rtl w:val="0"/>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Arial" w:hAnsi="Arial" w:eastAsia="Arial" w:cs="Arial"/>
          <w:b/>
          <w:rtl w:val="0"/>
        </w:rPr>
        <w:t>DECLARA</w:t>
      </w:r>
      <w:r>
        <w:rPr>
          <w:rFonts w:ascii="Arial" w:hAnsi="Arial" w:eastAsia="Arial" w:cs="Arial"/>
          <w:rtl w:val="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00000258">
      <w:pPr>
        <w:widowControl w:val="0"/>
        <w:jc w:val="both"/>
        <w:rPr>
          <w:rFonts w:ascii="Arial" w:hAnsi="Arial" w:eastAsia="Arial" w:cs="Arial"/>
        </w:rPr>
      </w:pPr>
      <w:r>
        <w:rPr>
          <w:rFonts w:ascii="Arial" w:hAnsi="Arial" w:eastAsia="Arial" w:cs="Arial"/>
          <w:rtl w:val="0"/>
        </w:rPr>
        <w:t>DECLARO, PARA FINS DA LC 123/2006 E SUAS ALTERAÇÕES, SOB AS PENALIDADES DESTA, SER:</w:t>
      </w:r>
    </w:p>
    <w:p w14:paraId="00000259">
      <w:pPr>
        <w:jc w:val="both"/>
        <w:rPr>
          <w:rFonts w:ascii="Arial" w:hAnsi="Arial" w:eastAsia="Arial" w:cs="Arial"/>
          <w:b/>
        </w:rPr>
      </w:pPr>
    </w:p>
    <w:p w14:paraId="0000025A">
      <w:pPr>
        <w:jc w:val="both"/>
        <w:rPr>
          <w:rFonts w:ascii="Arial" w:hAnsi="Arial" w:eastAsia="Arial" w:cs="Arial"/>
        </w:rPr>
      </w:pPr>
      <w:r>
        <w:rPr>
          <w:rFonts w:ascii="Arial" w:hAnsi="Arial" w:eastAsia="Arial" w:cs="Arial"/>
          <w:b/>
          <w:rtl w:val="0"/>
        </w:rPr>
        <w:t>(  ) MICROEMPRESA</w:t>
      </w:r>
      <w:r>
        <w:rPr>
          <w:rFonts w:ascii="Arial" w:hAnsi="Arial" w:eastAsia="Arial" w:cs="Arial"/>
          <w:rtl w:val="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000025B">
      <w:pPr>
        <w:jc w:val="both"/>
        <w:rPr>
          <w:rFonts w:ascii="Arial" w:hAnsi="Arial" w:eastAsia="Arial" w:cs="Arial"/>
          <w:b/>
        </w:rPr>
      </w:pPr>
    </w:p>
    <w:p w14:paraId="0000025C">
      <w:pPr>
        <w:jc w:val="both"/>
        <w:rPr>
          <w:rFonts w:ascii="Arial" w:hAnsi="Arial" w:eastAsia="Arial" w:cs="Arial"/>
        </w:rPr>
      </w:pPr>
      <w:r>
        <w:rPr>
          <w:rFonts w:ascii="Arial" w:hAnsi="Arial" w:eastAsia="Arial" w:cs="Arial"/>
          <w:b/>
          <w:rtl w:val="0"/>
        </w:rPr>
        <w:t xml:space="preserve">(  ) EMPRESA DE PEQUENO PORTE </w:t>
      </w:r>
      <w:r>
        <w:rPr>
          <w:rFonts w:ascii="Arial" w:hAnsi="Arial" w:eastAsia="Arial" w:cs="Arial"/>
          <w:rtl w:val="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0000025D">
      <w:pPr>
        <w:jc w:val="both"/>
        <w:rPr>
          <w:rFonts w:ascii="Arial" w:hAnsi="Arial" w:eastAsia="Arial" w:cs="Arial"/>
          <w:b/>
        </w:rPr>
      </w:pPr>
    </w:p>
    <w:p w14:paraId="0000025E">
      <w:pPr>
        <w:jc w:val="both"/>
        <w:rPr>
          <w:rFonts w:ascii="Arial" w:hAnsi="Arial" w:eastAsia="Arial" w:cs="Arial"/>
          <w:b/>
        </w:rPr>
      </w:pPr>
      <w:r>
        <w:rPr>
          <w:rFonts w:ascii="Arial" w:hAnsi="Arial" w:eastAsia="Arial" w:cs="Arial"/>
          <w:b/>
          <w:rtl w:val="0"/>
        </w:rPr>
        <w:t>OBSERVAÇÕES:</w:t>
      </w:r>
    </w:p>
    <w:p w14:paraId="0000025F">
      <w:pPr>
        <w:jc w:val="both"/>
        <w:rPr>
          <w:rFonts w:ascii="Arial" w:hAnsi="Arial" w:eastAsia="Arial" w:cs="Arial"/>
          <w:b/>
        </w:rPr>
      </w:pPr>
    </w:p>
    <w:p w14:paraId="00000260">
      <w:pPr>
        <w:numPr>
          <w:ilvl w:val="0"/>
          <w:numId w:val="5"/>
        </w:numPr>
        <w:pBdr>
          <w:top w:val="none" w:color="auto" w:sz="0" w:space="0"/>
          <w:left w:val="none" w:color="auto" w:sz="0" w:space="0"/>
          <w:bottom w:val="none" w:color="auto" w:sz="0" w:space="0"/>
          <w:right w:val="none" w:color="auto" w:sz="0" w:space="0"/>
          <w:between w:val="none" w:color="auto" w:sz="0" w:space="0"/>
        </w:pBdr>
        <w:tabs>
          <w:tab w:val="left" w:pos="284"/>
        </w:tabs>
        <w:ind w:left="0" w:firstLine="0"/>
        <w:jc w:val="both"/>
        <w:rPr>
          <w:rFonts w:ascii="Arial" w:hAnsi="Arial" w:eastAsia="Arial" w:cs="Arial"/>
        </w:rPr>
      </w:pPr>
      <w:r>
        <w:rPr>
          <w:rFonts w:ascii="Arial" w:hAnsi="Arial" w:eastAsia="Arial" w:cs="Arial"/>
          <w:rtl w:val="0"/>
        </w:rPr>
        <w:t>ESTA DECLARAÇÃO PODERÁ SER PREENCHIDA SOMENTE PELA LICITANTE ENQUADRADA COMO ME OU EPP, NOS TERMOS DA LC 123, DE 14 DE DEZEMBRO DE 2006;</w:t>
      </w:r>
    </w:p>
    <w:p w14:paraId="00000261">
      <w:pPr>
        <w:pBdr>
          <w:top w:val="none" w:color="auto" w:sz="0" w:space="0"/>
          <w:left w:val="none" w:color="auto" w:sz="0" w:space="0"/>
          <w:bottom w:val="none" w:color="auto" w:sz="0" w:space="0"/>
          <w:right w:val="none" w:color="auto" w:sz="0" w:space="0"/>
          <w:between w:val="none" w:color="auto" w:sz="0" w:space="0"/>
        </w:pBdr>
        <w:tabs>
          <w:tab w:val="left" w:pos="284"/>
        </w:tabs>
        <w:jc w:val="both"/>
        <w:rPr>
          <w:rFonts w:ascii="Arial" w:hAnsi="Arial" w:eastAsia="Arial" w:cs="Arial"/>
        </w:rPr>
      </w:pPr>
    </w:p>
    <w:p w14:paraId="00000262">
      <w:pPr>
        <w:numPr>
          <w:ilvl w:val="0"/>
          <w:numId w:val="5"/>
        </w:numPr>
        <w:pBdr>
          <w:top w:val="none" w:color="auto" w:sz="0" w:space="0"/>
          <w:left w:val="none" w:color="auto" w:sz="0" w:space="0"/>
          <w:bottom w:val="none" w:color="auto" w:sz="0" w:space="0"/>
          <w:right w:val="none" w:color="auto" w:sz="0" w:space="0"/>
          <w:between w:val="none" w:color="auto" w:sz="0" w:space="0"/>
        </w:pBdr>
        <w:tabs>
          <w:tab w:val="left" w:pos="284"/>
        </w:tabs>
        <w:ind w:left="0" w:firstLine="0"/>
        <w:jc w:val="both"/>
        <w:rPr>
          <w:rFonts w:ascii="Arial" w:hAnsi="Arial" w:eastAsia="Arial" w:cs="Arial"/>
        </w:rPr>
      </w:pPr>
      <w:r>
        <w:rPr>
          <w:rFonts w:ascii="Arial" w:hAnsi="Arial" w:eastAsia="Arial" w:cs="Arial"/>
          <w:rtl w:val="0"/>
        </w:rPr>
        <w:t xml:space="preserve">A NÃO APRESENTAÇÃO DESTA DECLARAÇÃO SERÁ INTERPRETADA COMO NÃO ENQUADRAMENTO DA LICITANTE COMO ME OU EPP, NOS TERMOS DA LC Nº 123/2006, OU A OPÇÃO PELA NÃO UTILIZAÇÃO DO DIREITO DE TRATAMENTO DIFERENCIADO. </w:t>
      </w:r>
    </w:p>
    <w:p w14:paraId="00000263">
      <w:pPr>
        <w:widowControl w:val="0"/>
        <w:jc w:val="center"/>
        <w:rPr>
          <w:rFonts w:ascii="Arial" w:hAnsi="Arial" w:eastAsia="Arial" w:cs="Arial"/>
        </w:rPr>
      </w:pPr>
    </w:p>
    <w:p w14:paraId="00000264">
      <w:pPr>
        <w:widowControl w:val="0"/>
        <w:jc w:val="center"/>
        <w:rPr>
          <w:rFonts w:ascii="Arial" w:hAnsi="Arial" w:eastAsia="Arial" w:cs="Arial"/>
        </w:rPr>
      </w:pPr>
    </w:p>
    <w:p w14:paraId="00000265">
      <w:pPr>
        <w:widowControl w:val="0"/>
        <w:jc w:val="center"/>
        <w:rPr>
          <w:rFonts w:ascii="Arial" w:hAnsi="Arial" w:eastAsia="Arial" w:cs="Arial"/>
        </w:rPr>
      </w:pPr>
      <w:r>
        <w:rPr>
          <w:rFonts w:ascii="Arial" w:hAnsi="Arial" w:eastAsia="Arial" w:cs="Arial"/>
          <w:rtl w:val="0"/>
        </w:rPr>
        <w:t>LOCAL E DATA</w:t>
      </w:r>
    </w:p>
    <w:p w14:paraId="00000266">
      <w:pPr>
        <w:widowControl w:val="0"/>
        <w:jc w:val="center"/>
        <w:rPr>
          <w:rFonts w:ascii="Arial" w:hAnsi="Arial" w:eastAsia="Arial" w:cs="Arial"/>
        </w:rPr>
      </w:pPr>
    </w:p>
    <w:p w14:paraId="00000267">
      <w:pPr>
        <w:widowControl w:val="0"/>
        <w:jc w:val="center"/>
        <w:rPr>
          <w:rFonts w:ascii="Arial" w:hAnsi="Arial" w:eastAsia="Arial" w:cs="Arial"/>
        </w:rPr>
      </w:pPr>
      <w:r>
        <w:rPr>
          <w:rFonts w:ascii="Arial" w:hAnsi="Arial" w:eastAsia="Arial" w:cs="Arial"/>
          <w:rtl w:val="0"/>
        </w:rPr>
        <w:t>NOME E ASSINATURA DO REPRESENTANTE LEGAL</w:t>
      </w:r>
    </w:p>
    <w:p w14:paraId="00000268">
      <w:pPr>
        <w:widowControl w:val="0"/>
        <w:jc w:val="center"/>
        <w:rPr>
          <w:rFonts w:ascii="Arial" w:hAnsi="Arial" w:eastAsia="Arial" w:cs="Arial"/>
        </w:rPr>
      </w:pPr>
    </w:p>
    <w:p w14:paraId="00000269">
      <w:pPr>
        <w:widowControl w:val="0"/>
        <w:jc w:val="center"/>
        <w:rPr>
          <w:rFonts w:ascii="Arial" w:hAnsi="Arial" w:eastAsia="Arial" w:cs="Arial"/>
        </w:rPr>
      </w:pPr>
    </w:p>
    <w:p w14:paraId="0000026A">
      <w:pPr>
        <w:widowControl w:val="0"/>
        <w:jc w:val="both"/>
        <w:rPr>
          <w:rFonts w:ascii="Arial" w:hAnsi="Arial" w:eastAsia="Arial" w:cs="Arial"/>
        </w:rPr>
      </w:pPr>
    </w:p>
    <w:p w14:paraId="0000026B">
      <w:pPr>
        <w:pBdr>
          <w:top w:val="single" w:color="000000" w:sz="4" w:space="1"/>
          <w:bottom w:val="single" w:color="000000" w:sz="4" w:space="1"/>
        </w:pBdr>
        <w:shd w:val="clear" w:fill="D9D9D9"/>
        <w:jc w:val="center"/>
        <w:rPr>
          <w:rFonts w:ascii="Arial" w:hAnsi="Arial" w:eastAsia="Arial" w:cs="Arial"/>
          <w:b/>
        </w:rPr>
      </w:pPr>
      <w:r>
        <w:rPr>
          <w:rFonts w:ascii="Arial" w:hAnsi="Arial" w:eastAsia="Arial" w:cs="Arial"/>
          <w:b/>
          <w:rtl w:val="0"/>
        </w:rPr>
        <w:t>ANEXO VI – DECLARAÇÃO DE IDONEIDADE</w:t>
      </w:r>
    </w:p>
    <w:p w14:paraId="0000026C">
      <w:pPr>
        <w:jc w:val="both"/>
        <w:rPr>
          <w:rFonts w:ascii="Arial" w:hAnsi="Arial" w:eastAsia="Arial" w:cs="Arial"/>
        </w:rPr>
      </w:pPr>
    </w:p>
    <w:p w14:paraId="0000026D">
      <w:pPr>
        <w:keepNext/>
        <w:widowControl w:val="0"/>
        <w:pBdr>
          <w:top w:val="none" w:color="auto" w:sz="0" w:space="0"/>
          <w:left w:val="none" w:color="auto" w:sz="0" w:space="0"/>
          <w:bottom w:val="none" w:color="auto" w:sz="0" w:space="0"/>
          <w:right w:val="none" w:color="auto" w:sz="0" w:space="0"/>
          <w:between w:val="none" w:color="auto" w:sz="0" w:space="0"/>
        </w:pBdr>
        <w:jc w:val="both"/>
        <w:rPr>
          <w:rFonts w:ascii="Arial" w:hAnsi="Arial" w:eastAsia="Arial" w:cs="Arial"/>
          <w:b/>
          <w:u w:val="single"/>
        </w:rPr>
      </w:pPr>
      <w:r>
        <w:rPr>
          <w:rFonts w:ascii="Arial" w:hAnsi="Arial" w:eastAsia="Arial" w:cs="Arial"/>
          <w:rtl w:val="0"/>
        </w:rPr>
        <w:t>AO REDIGIR A PRESENTE DECLARAÇÃO, O PROPONENTE DEVERÁ UTILIZAR FORMULÁRIO COM TIMBRE DA PROPONENTE.</w:t>
      </w:r>
    </w:p>
    <w:p w14:paraId="0000026E">
      <w:pPr>
        <w:jc w:val="both"/>
        <w:rPr>
          <w:rFonts w:ascii="Arial" w:hAnsi="Arial" w:eastAsia="Arial" w:cs="Arial"/>
          <w:b/>
        </w:rPr>
      </w:pPr>
    </w:p>
    <w:p w14:paraId="0000026F">
      <w:pPr>
        <w:jc w:val="both"/>
        <w:rPr>
          <w:rFonts w:ascii="Arial" w:hAnsi="Arial" w:eastAsia="Arial" w:cs="Arial"/>
          <w:b/>
        </w:rPr>
      </w:pPr>
      <w:r>
        <w:rPr>
          <w:rFonts w:ascii="Arial" w:hAnsi="Arial" w:eastAsia="Arial" w:cs="Arial"/>
          <w:b/>
          <w:rtl w:val="0"/>
        </w:rPr>
        <w:t>PROCESSO LICITATÓRIO Nº 0XX/202X.</w:t>
      </w:r>
    </w:p>
    <w:p w14:paraId="00000270">
      <w:pPr>
        <w:jc w:val="both"/>
        <w:rPr>
          <w:rFonts w:ascii="Arial" w:hAnsi="Arial" w:eastAsia="Arial" w:cs="Arial"/>
          <w:b/>
        </w:rPr>
      </w:pPr>
      <w:r>
        <w:rPr>
          <w:rFonts w:ascii="Arial" w:hAnsi="Arial" w:eastAsia="Arial" w:cs="Arial"/>
          <w:b/>
          <w:rtl w:val="0"/>
        </w:rPr>
        <w:t>PREGÃO ELETRÔNICO Nº 00X/202X.</w:t>
      </w:r>
    </w:p>
    <w:p w14:paraId="00000271">
      <w:pPr>
        <w:jc w:val="both"/>
        <w:rPr>
          <w:rFonts w:ascii="Arial" w:hAnsi="Arial" w:eastAsia="Arial" w:cs="Arial"/>
        </w:rPr>
      </w:pPr>
    </w:p>
    <w:p w14:paraId="00000272">
      <w:pPr>
        <w:jc w:val="both"/>
        <w:rPr>
          <w:rFonts w:ascii="Arial" w:hAnsi="Arial" w:eastAsia="Arial" w:cs="Arial"/>
        </w:rPr>
      </w:pPr>
      <w:r>
        <w:rPr>
          <w:rFonts w:ascii="Arial" w:hAnsi="Arial" w:eastAsia="Arial" w:cs="Arial"/>
          <w:b/>
          <w:rtl w:val="0"/>
        </w:rPr>
        <w:t>PREFEITURA MUNICIPAL DE MACURURÉ/BA.</w:t>
      </w:r>
    </w:p>
    <w:p w14:paraId="00000273">
      <w:pPr>
        <w:pBdr>
          <w:top w:val="none" w:color="auto" w:sz="0" w:space="0"/>
          <w:left w:val="none" w:color="auto" w:sz="0" w:space="0"/>
          <w:bottom w:val="none" w:color="auto" w:sz="0" w:space="0"/>
          <w:right w:val="none" w:color="auto" w:sz="0" w:space="0"/>
          <w:between w:val="none" w:color="auto" w:sz="0" w:space="0"/>
        </w:pBdr>
        <w:tabs>
          <w:tab w:val="center" w:pos="4252"/>
          <w:tab w:val="right" w:pos="8504"/>
        </w:tabs>
        <w:jc w:val="both"/>
        <w:rPr>
          <w:rFonts w:ascii="Arial" w:hAnsi="Arial" w:eastAsia="Arial" w:cs="Arial"/>
        </w:rPr>
      </w:pPr>
      <w:r>
        <w:rPr>
          <w:rFonts w:ascii="Arial" w:hAnsi="Arial" w:eastAsia="Arial" w:cs="Arial"/>
          <w:rtl w:val="0"/>
        </w:rPr>
        <w:t>O PREGOEIRO / EQUIPE DE APOIO</w:t>
      </w:r>
    </w:p>
    <w:p w14:paraId="00000274">
      <w:pPr>
        <w:pBdr>
          <w:top w:val="none" w:color="auto" w:sz="0" w:space="0"/>
          <w:left w:val="none" w:color="auto" w:sz="0" w:space="0"/>
          <w:bottom w:val="none" w:color="auto" w:sz="0" w:space="0"/>
          <w:right w:val="none" w:color="auto" w:sz="0" w:space="0"/>
          <w:between w:val="none" w:color="auto" w:sz="0" w:space="0"/>
        </w:pBdr>
        <w:tabs>
          <w:tab w:val="center" w:pos="4252"/>
          <w:tab w:val="right" w:pos="8504"/>
        </w:tabs>
        <w:jc w:val="both"/>
        <w:rPr>
          <w:rFonts w:ascii="Arial" w:hAnsi="Arial" w:eastAsia="Arial" w:cs="Arial"/>
        </w:rPr>
      </w:pPr>
    </w:p>
    <w:p w14:paraId="00000275">
      <w:pPr>
        <w:jc w:val="both"/>
        <w:rPr>
          <w:rFonts w:ascii="Arial" w:hAnsi="Arial" w:eastAsia="Arial" w:cs="Arial"/>
        </w:rPr>
      </w:pPr>
      <w:r>
        <w:rPr>
          <w:rFonts w:ascii="Arial" w:hAnsi="Arial" w:eastAsia="Arial" w:cs="Arial"/>
          <w:rtl w:val="0"/>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0000276">
      <w:pPr>
        <w:jc w:val="both"/>
        <w:rPr>
          <w:rFonts w:ascii="Arial" w:hAnsi="Arial" w:eastAsia="Arial" w:cs="Arial"/>
        </w:rPr>
      </w:pPr>
    </w:p>
    <w:p w14:paraId="00000277">
      <w:pPr>
        <w:jc w:val="both"/>
        <w:rPr>
          <w:rFonts w:ascii="Arial" w:hAnsi="Arial" w:eastAsia="Arial" w:cs="Arial"/>
        </w:rPr>
      </w:pPr>
    </w:p>
    <w:p w14:paraId="00000278">
      <w:pPr>
        <w:jc w:val="both"/>
        <w:rPr>
          <w:rFonts w:ascii="Arial" w:hAnsi="Arial" w:eastAsia="Arial" w:cs="Arial"/>
        </w:rPr>
      </w:pPr>
    </w:p>
    <w:p w14:paraId="00000279">
      <w:pPr>
        <w:jc w:val="both"/>
        <w:rPr>
          <w:rFonts w:ascii="Arial" w:hAnsi="Arial" w:eastAsia="Arial" w:cs="Arial"/>
        </w:rPr>
      </w:pPr>
    </w:p>
    <w:p w14:paraId="0000027A">
      <w:pPr>
        <w:widowControl w:val="0"/>
        <w:pBdr>
          <w:top w:val="none" w:color="auto" w:sz="0" w:space="0"/>
          <w:left w:val="none" w:color="auto" w:sz="0" w:space="0"/>
          <w:bottom w:val="none" w:color="auto" w:sz="0" w:space="0"/>
          <w:right w:val="none" w:color="auto" w:sz="0" w:space="0"/>
          <w:between w:val="none" w:color="auto" w:sz="0" w:space="0"/>
        </w:pBdr>
        <w:jc w:val="center"/>
        <w:rPr>
          <w:rFonts w:ascii="Arial" w:hAnsi="Arial" w:eastAsia="Arial" w:cs="Arial"/>
        </w:rPr>
      </w:pPr>
      <w:r>
        <w:rPr>
          <w:rFonts w:ascii="Arial" w:hAnsi="Arial" w:eastAsia="Arial" w:cs="Arial"/>
          <w:rtl w:val="0"/>
        </w:rPr>
        <w:t>MACURURÉ EM, ___ DE _________ DE 2025.</w:t>
      </w:r>
    </w:p>
    <w:p w14:paraId="0000027B">
      <w:pPr>
        <w:jc w:val="center"/>
        <w:rPr>
          <w:rFonts w:ascii="Arial" w:hAnsi="Arial" w:eastAsia="Arial" w:cs="Arial"/>
        </w:rPr>
      </w:pPr>
    </w:p>
    <w:p w14:paraId="0000027C">
      <w:pPr>
        <w:jc w:val="center"/>
        <w:rPr>
          <w:rFonts w:ascii="Arial" w:hAnsi="Arial" w:eastAsia="Arial" w:cs="Arial"/>
        </w:rPr>
      </w:pPr>
    </w:p>
    <w:p w14:paraId="0000027D">
      <w:pPr>
        <w:jc w:val="center"/>
        <w:rPr>
          <w:rFonts w:ascii="Arial" w:hAnsi="Arial" w:eastAsia="Arial" w:cs="Arial"/>
        </w:rPr>
      </w:pPr>
    </w:p>
    <w:p w14:paraId="0000027E">
      <w:pPr>
        <w:jc w:val="center"/>
        <w:rPr>
          <w:rFonts w:ascii="Arial" w:hAnsi="Arial" w:eastAsia="Arial" w:cs="Arial"/>
        </w:rPr>
      </w:pPr>
    </w:p>
    <w:p w14:paraId="0000027F">
      <w:pPr>
        <w:jc w:val="center"/>
        <w:rPr>
          <w:rFonts w:ascii="Arial" w:hAnsi="Arial" w:eastAsia="Arial" w:cs="Arial"/>
        </w:rPr>
      </w:pPr>
      <w:r>
        <w:rPr>
          <w:rFonts w:ascii="Arial" w:hAnsi="Arial" w:eastAsia="Arial" w:cs="Arial"/>
          <w:rtl w:val="0"/>
        </w:rPr>
        <w:t>(ASSINATURA DO RESPONSÁVEL E CPF)</w:t>
      </w:r>
    </w:p>
    <w:p w14:paraId="00000280">
      <w:pPr>
        <w:jc w:val="both"/>
        <w:rPr>
          <w:rFonts w:ascii="Arial" w:hAnsi="Arial" w:eastAsia="Arial" w:cs="Arial"/>
        </w:rPr>
      </w:pPr>
    </w:p>
    <w:p w14:paraId="00000281">
      <w:pPr>
        <w:jc w:val="both"/>
        <w:rPr>
          <w:rFonts w:ascii="Arial" w:hAnsi="Arial" w:eastAsia="Arial" w:cs="Arial"/>
        </w:rPr>
      </w:pPr>
    </w:p>
    <w:p w14:paraId="00000282">
      <w:pPr>
        <w:jc w:val="both"/>
        <w:rPr>
          <w:rFonts w:ascii="Arial" w:hAnsi="Arial" w:eastAsia="Arial" w:cs="Arial"/>
        </w:rPr>
      </w:pPr>
    </w:p>
    <w:p w14:paraId="00000283">
      <w:pPr>
        <w:jc w:val="both"/>
        <w:rPr>
          <w:rFonts w:ascii="Arial" w:hAnsi="Arial" w:eastAsia="Arial" w:cs="Arial"/>
        </w:rPr>
      </w:pPr>
    </w:p>
    <w:p w14:paraId="00000284">
      <w:pPr>
        <w:jc w:val="both"/>
        <w:rPr>
          <w:rFonts w:ascii="Arial" w:hAnsi="Arial" w:eastAsia="Arial" w:cs="Arial"/>
        </w:rPr>
      </w:pPr>
    </w:p>
    <w:p w14:paraId="00000285">
      <w:pPr>
        <w:jc w:val="both"/>
        <w:rPr>
          <w:rFonts w:ascii="Arial" w:hAnsi="Arial" w:eastAsia="Arial" w:cs="Arial"/>
        </w:rPr>
      </w:pPr>
    </w:p>
    <w:p w14:paraId="00000286">
      <w:pPr>
        <w:jc w:val="both"/>
        <w:rPr>
          <w:rFonts w:ascii="Arial" w:hAnsi="Arial" w:eastAsia="Arial" w:cs="Arial"/>
        </w:rPr>
      </w:pPr>
    </w:p>
    <w:p w14:paraId="00000287">
      <w:pPr>
        <w:jc w:val="both"/>
        <w:rPr>
          <w:rFonts w:ascii="Arial" w:hAnsi="Arial" w:eastAsia="Arial" w:cs="Arial"/>
        </w:rPr>
      </w:pPr>
    </w:p>
    <w:p w14:paraId="00000288">
      <w:pPr>
        <w:jc w:val="both"/>
        <w:rPr>
          <w:rFonts w:ascii="Arial" w:hAnsi="Arial" w:eastAsia="Arial" w:cs="Arial"/>
        </w:rPr>
      </w:pPr>
    </w:p>
    <w:p w14:paraId="00000289">
      <w:pPr>
        <w:jc w:val="both"/>
        <w:rPr>
          <w:rFonts w:ascii="Arial" w:hAnsi="Arial" w:eastAsia="Arial" w:cs="Arial"/>
        </w:rPr>
      </w:pPr>
    </w:p>
    <w:p w14:paraId="0000028A">
      <w:pPr>
        <w:jc w:val="both"/>
        <w:rPr>
          <w:rFonts w:ascii="Arial" w:hAnsi="Arial" w:eastAsia="Arial" w:cs="Arial"/>
        </w:rPr>
      </w:pPr>
    </w:p>
    <w:p w14:paraId="0000028B">
      <w:pPr>
        <w:jc w:val="both"/>
        <w:rPr>
          <w:rFonts w:ascii="Arial" w:hAnsi="Arial" w:eastAsia="Arial" w:cs="Arial"/>
        </w:rPr>
      </w:pPr>
    </w:p>
    <w:p w14:paraId="0000028C">
      <w:pPr>
        <w:jc w:val="both"/>
        <w:rPr>
          <w:rFonts w:ascii="Arial" w:hAnsi="Arial" w:eastAsia="Arial" w:cs="Arial"/>
        </w:rPr>
      </w:pPr>
    </w:p>
    <w:p w14:paraId="0000028D">
      <w:pPr>
        <w:jc w:val="both"/>
        <w:rPr>
          <w:rFonts w:ascii="Arial" w:hAnsi="Arial" w:eastAsia="Arial" w:cs="Arial"/>
        </w:rPr>
      </w:pPr>
    </w:p>
    <w:p w14:paraId="0000028E">
      <w:pPr>
        <w:jc w:val="both"/>
        <w:rPr>
          <w:rFonts w:ascii="Arial" w:hAnsi="Arial" w:eastAsia="Arial" w:cs="Arial"/>
        </w:rPr>
      </w:pPr>
    </w:p>
    <w:p w14:paraId="0000028F">
      <w:pPr>
        <w:jc w:val="both"/>
        <w:rPr>
          <w:rFonts w:ascii="Arial" w:hAnsi="Arial" w:eastAsia="Arial" w:cs="Arial"/>
        </w:rPr>
      </w:pPr>
    </w:p>
    <w:p w14:paraId="00000290">
      <w:pPr>
        <w:pBdr>
          <w:top w:val="single" w:color="000000" w:sz="4" w:space="1"/>
          <w:left w:val="none" w:color="auto" w:sz="0" w:space="0"/>
          <w:bottom w:val="single" w:color="000000" w:sz="4" w:space="1"/>
          <w:right w:val="none" w:color="auto" w:sz="0" w:space="0"/>
          <w:between w:val="none" w:color="auto" w:sz="0" w:space="0"/>
        </w:pBdr>
        <w:shd w:val="clear" w:fill="D9D9D9"/>
        <w:jc w:val="both"/>
        <w:rPr>
          <w:rFonts w:ascii="Arial" w:hAnsi="Arial" w:eastAsia="Arial" w:cs="Arial"/>
        </w:rPr>
      </w:pPr>
      <w:r>
        <w:rPr>
          <w:rFonts w:ascii="Arial" w:hAnsi="Arial" w:eastAsia="Arial" w:cs="Arial"/>
          <w:b/>
          <w:rtl w:val="0"/>
        </w:rPr>
        <w:t>ANEXO VIII –</w:t>
      </w:r>
      <w:r>
        <w:rPr>
          <w:rFonts w:ascii="Arial" w:hAnsi="Arial" w:eastAsia="Arial" w:cs="Arial"/>
          <w:rtl w:val="0"/>
        </w:rPr>
        <w:t xml:space="preserve"> </w:t>
      </w:r>
      <w:r>
        <w:rPr>
          <w:rFonts w:ascii="Arial" w:hAnsi="Arial" w:eastAsia="Arial" w:cs="Arial"/>
          <w:b/>
          <w:rtl w:val="0"/>
        </w:rPr>
        <w:t>DECLARAÇÃO DE CUMPRIMENTO DOS REQUISITOS DE HABILITAÇÃO. (MODELO)</w:t>
      </w:r>
    </w:p>
    <w:p w14:paraId="00000291">
      <w:pPr>
        <w:jc w:val="both"/>
        <w:rPr>
          <w:rFonts w:ascii="Arial" w:hAnsi="Arial" w:eastAsia="Arial" w:cs="Arial"/>
          <w:b/>
        </w:rPr>
      </w:pPr>
    </w:p>
    <w:p w14:paraId="00000292">
      <w:pPr>
        <w:jc w:val="both"/>
        <w:rPr>
          <w:rFonts w:ascii="Arial" w:hAnsi="Arial" w:eastAsia="Arial" w:cs="Arial"/>
          <w:b/>
        </w:rPr>
      </w:pPr>
      <w:r>
        <w:rPr>
          <w:rFonts w:ascii="Arial" w:hAnsi="Arial" w:eastAsia="Arial" w:cs="Arial"/>
          <w:b/>
          <w:rtl w:val="0"/>
        </w:rPr>
        <w:t>PROCESSO LICITATÓRIO Nº 0XX/202X.</w:t>
      </w:r>
    </w:p>
    <w:p w14:paraId="00000293">
      <w:pPr>
        <w:jc w:val="both"/>
        <w:rPr>
          <w:rFonts w:ascii="Arial" w:hAnsi="Arial" w:eastAsia="Arial" w:cs="Arial"/>
          <w:b/>
        </w:rPr>
      </w:pPr>
      <w:r>
        <w:rPr>
          <w:rFonts w:ascii="Arial" w:hAnsi="Arial" w:eastAsia="Arial" w:cs="Arial"/>
          <w:b/>
          <w:rtl w:val="0"/>
        </w:rPr>
        <w:t>PREGÃO ELETRÔNICO Nº 00X/202X.</w:t>
      </w:r>
    </w:p>
    <w:p w14:paraId="00000294">
      <w:pPr>
        <w:jc w:val="both"/>
        <w:rPr>
          <w:rFonts w:ascii="Arial" w:hAnsi="Arial" w:eastAsia="Arial" w:cs="Arial"/>
        </w:rPr>
      </w:pPr>
    </w:p>
    <w:p w14:paraId="00000295">
      <w:pPr>
        <w:jc w:val="both"/>
        <w:rPr>
          <w:rFonts w:ascii="Arial" w:hAnsi="Arial" w:eastAsia="Arial" w:cs="Arial"/>
          <w:b/>
        </w:rPr>
      </w:pPr>
      <w:r>
        <w:rPr>
          <w:rFonts w:ascii="Arial" w:hAnsi="Arial" w:eastAsia="Arial" w:cs="Arial"/>
          <w:rtl w:val="0"/>
        </w:rPr>
        <w:t xml:space="preserve">A ...........................................................(RAZÃO SOCIAL DA EMPRESA), CNPJ Nº........................., LOCALIZADA À ..........................................., DECLARA, EM CONFORMIDADE COM A LEI Nº 10.520/02, QUE CUMPRE TODOS OS REQUISITOS PARA HABILITAÇÃO PARA ESTE CERTAME LICITATÓRIO NA </w:t>
      </w:r>
      <w:r>
        <w:rPr>
          <w:rFonts w:ascii="Arial" w:hAnsi="Arial" w:eastAsia="Arial" w:cs="Arial"/>
          <w:b/>
          <w:rtl w:val="0"/>
        </w:rPr>
        <w:t xml:space="preserve">PREFEITURA MUNICIPAL DE MACURURÉ/BA </w:t>
      </w:r>
      <w:r>
        <w:rPr>
          <w:rFonts w:ascii="Arial" w:hAnsi="Arial" w:eastAsia="Arial" w:cs="Arial"/>
          <w:rtl w:val="0"/>
        </w:rPr>
        <w:t xml:space="preserve">– </w:t>
      </w:r>
      <w:r>
        <w:rPr>
          <w:rFonts w:ascii="Arial" w:hAnsi="Arial" w:eastAsia="Arial" w:cs="Arial"/>
          <w:b/>
          <w:rtl w:val="0"/>
        </w:rPr>
        <w:t>PREGÃO ELETRÔNICO Nº 0XX/2025.-XXXX.</w:t>
      </w:r>
    </w:p>
    <w:p w14:paraId="00000296">
      <w:pPr>
        <w:jc w:val="both"/>
        <w:rPr>
          <w:rFonts w:ascii="Arial" w:hAnsi="Arial" w:eastAsia="Arial" w:cs="Arial"/>
        </w:rPr>
      </w:pPr>
    </w:p>
    <w:p w14:paraId="00000297">
      <w:pPr>
        <w:jc w:val="both"/>
        <w:rPr>
          <w:rFonts w:ascii="Arial" w:hAnsi="Arial" w:eastAsia="Arial" w:cs="Arial"/>
          <w:b/>
        </w:rPr>
      </w:pPr>
    </w:p>
    <w:p w14:paraId="00000298">
      <w:pPr>
        <w:jc w:val="both"/>
        <w:rPr>
          <w:rFonts w:ascii="Arial" w:hAnsi="Arial" w:eastAsia="Arial" w:cs="Arial"/>
          <w:b/>
        </w:rPr>
      </w:pPr>
    </w:p>
    <w:p w14:paraId="00000299">
      <w:pPr>
        <w:jc w:val="both"/>
        <w:rPr>
          <w:rFonts w:ascii="Arial" w:hAnsi="Arial" w:eastAsia="Arial" w:cs="Arial"/>
        </w:rPr>
      </w:pPr>
    </w:p>
    <w:p w14:paraId="0000029A">
      <w:pPr>
        <w:jc w:val="center"/>
        <w:rPr>
          <w:rFonts w:ascii="Arial" w:hAnsi="Arial" w:eastAsia="Arial" w:cs="Arial"/>
        </w:rPr>
      </w:pPr>
      <w:r>
        <w:rPr>
          <w:rFonts w:ascii="Arial" w:hAnsi="Arial" w:eastAsia="Arial" w:cs="Arial"/>
          <w:rtl w:val="0"/>
        </w:rPr>
        <w:t>MACURURÉ, ......... DE ...................   DE 2025.</w:t>
      </w:r>
    </w:p>
    <w:p w14:paraId="0000029B">
      <w:pPr>
        <w:jc w:val="center"/>
        <w:rPr>
          <w:rFonts w:ascii="Arial" w:hAnsi="Arial" w:eastAsia="Arial" w:cs="Arial"/>
        </w:rPr>
      </w:pPr>
    </w:p>
    <w:p w14:paraId="0000029C">
      <w:pPr>
        <w:jc w:val="center"/>
        <w:rPr>
          <w:rFonts w:ascii="Arial" w:hAnsi="Arial" w:eastAsia="Arial" w:cs="Arial"/>
        </w:rPr>
      </w:pPr>
    </w:p>
    <w:p w14:paraId="0000029D">
      <w:pPr>
        <w:jc w:val="center"/>
        <w:rPr>
          <w:rFonts w:ascii="Arial" w:hAnsi="Arial" w:eastAsia="Arial" w:cs="Arial"/>
        </w:rPr>
      </w:pPr>
    </w:p>
    <w:p w14:paraId="0000029E">
      <w:pPr>
        <w:jc w:val="center"/>
        <w:rPr>
          <w:rFonts w:ascii="Arial" w:hAnsi="Arial" w:eastAsia="Arial" w:cs="Arial"/>
        </w:rPr>
      </w:pPr>
      <w:r>
        <w:rPr>
          <w:rFonts w:ascii="Arial" w:hAnsi="Arial" w:eastAsia="Arial" w:cs="Arial"/>
          <w:rtl w:val="0"/>
        </w:rPr>
        <w:t>_______________________________</w:t>
      </w:r>
    </w:p>
    <w:p w14:paraId="0000029F">
      <w:pPr>
        <w:jc w:val="center"/>
        <w:rPr>
          <w:rFonts w:ascii="Arial" w:hAnsi="Arial" w:eastAsia="Arial" w:cs="Arial"/>
        </w:rPr>
      </w:pPr>
      <w:r>
        <w:rPr>
          <w:rFonts w:ascii="Arial" w:hAnsi="Arial" w:eastAsia="Arial" w:cs="Arial"/>
          <w:rtl w:val="0"/>
        </w:rPr>
        <w:t>REPRESENTANTE LEGAL</w:t>
      </w:r>
    </w:p>
    <w:p w14:paraId="000002A0">
      <w:pPr>
        <w:jc w:val="both"/>
        <w:rPr>
          <w:rFonts w:ascii="Arial" w:hAnsi="Arial" w:eastAsia="Arial" w:cs="Arial"/>
        </w:rPr>
      </w:pPr>
      <w:r>
        <w:rPr>
          <w:rFonts w:ascii="Arial" w:hAnsi="Arial" w:eastAsia="Arial" w:cs="Arial"/>
          <w:rtl w:val="0"/>
        </w:rPr>
        <w:tab/>
      </w:r>
      <w:r>
        <w:rPr>
          <w:rFonts w:ascii="Arial" w:hAnsi="Arial" w:eastAsia="Arial" w:cs="Arial"/>
          <w:rtl w:val="0"/>
        </w:rPr>
        <w:tab/>
      </w:r>
      <w:r>
        <w:rPr>
          <w:rFonts w:ascii="Arial" w:hAnsi="Arial" w:eastAsia="Arial" w:cs="Arial"/>
          <w:rtl w:val="0"/>
        </w:rPr>
        <w:tab/>
      </w:r>
      <w:r>
        <w:rPr>
          <w:rFonts w:ascii="Arial" w:hAnsi="Arial" w:eastAsia="Arial" w:cs="Arial"/>
          <w:rtl w:val="0"/>
        </w:rPr>
        <w:tab/>
      </w:r>
    </w:p>
    <w:p w14:paraId="000002A1">
      <w:pPr>
        <w:jc w:val="both"/>
        <w:rPr>
          <w:rFonts w:ascii="Arial" w:hAnsi="Arial" w:eastAsia="Arial" w:cs="Arial"/>
        </w:rPr>
      </w:pPr>
      <w:r>
        <w:rPr>
          <w:rFonts w:ascii="Arial" w:hAnsi="Arial" w:eastAsia="Arial" w:cs="Arial"/>
          <w:rtl w:val="0"/>
        </w:rPr>
        <w:t xml:space="preserve"> </w:t>
      </w:r>
    </w:p>
    <w:p w14:paraId="000002A2">
      <w:pPr>
        <w:jc w:val="both"/>
        <w:rPr>
          <w:rFonts w:ascii="Arial" w:hAnsi="Arial" w:eastAsia="Arial" w:cs="Arial"/>
        </w:rPr>
      </w:pPr>
    </w:p>
    <w:p w14:paraId="000002A3">
      <w:pPr>
        <w:jc w:val="both"/>
        <w:rPr>
          <w:rFonts w:ascii="Arial" w:hAnsi="Arial" w:eastAsia="Arial" w:cs="Arial"/>
        </w:rPr>
      </w:pPr>
    </w:p>
    <w:p w14:paraId="000002A4">
      <w:pPr>
        <w:jc w:val="both"/>
        <w:rPr>
          <w:rFonts w:ascii="Arial" w:hAnsi="Arial" w:eastAsia="Arial" w:cs="Arial"/>
        </w:rPr>
      </w:pPr>
    </w:p>
    <w:p w14:paraId="000002A5">
      <w:pPr>
        <w:jc w:val="both"/>
        <w:rPr>
          <w:rFonts w:ascii="Arial" w:hAnsi="Arial" w:eastAsia="Arial" w:cs="Arial"/>
        </w:rPr>
      </w:pPr>
    </w:p>
    <w:p w14:paraId="000002A6">
      <w:pPr>
        <w:jc w:val="both"/>
        <w:rPr>
          <w:rFonts w:ascii="Arial" w:hAnsi="Arial" w:eastAsia="Arial" w:cs="Arial"/>
        </w:rPr>
      </w:pPr>
    </w:p>
    <w:p w14:paraId="000002A7">
      <w:pPr>
        <w:jc w:val="both"/>
        <w:rPr>
          <w:rFonts w:ascii="Arial" w:hAnsi="Arial" w:eastAsia="Arial" w:cs="Arial"/>
        </w:rPr>
      </w:pPr>
    </w:p>
    <w:p w14:paraId="000002A8">
      <w:pPr>
        <w:jc w:val="both"/>
        <w:rPr>
          <w:rFonts w:ascii="Arial" w:hAnsi="Arial" w:eastAsia="Arial" w:cs="Arial"/>
        </w:rPr>
      </w:pPr>
    </w:p>
    <w:p w14:paraId="000002A9">
      <w:pPr>
        <w:jc w:val="both"/>
        <w:rPr>
          <w:rFonts w:ascii="Arial" w:hAnsi="Arial" w:eastAsia="Arial" w:cs="Arial"/>
        </w:rPr>
      </w:pPr>
    </w:p>
    <w:p w14:paraId="000002AA">
      <w:pPr>
        <w:jc w:val="both"/>
        <w:rPr>
          <w:rFonts w:ascii="Arial" w:hAnsi="Arial" w:eastAsia="Arial" w:cs="Arial"/>
        </w:rPr>
      </w:pPr>
    </w:p>
    <w:p w14:paraId="000002AB">
      <w:pPr>
        <w:jc w:val="both"/>
        <w:rPr>
          <w:rFonts w:ascii="Arial" w:hAnsi="Arial" w:eastAsia="Arial" w:cs="Arial"/>
        </w:rPr>
      </w:pPr>
    </w:p>
    <w:p w14:paraId="000002AC">
      <w:pPr>
        <w:jc w:val="both"/>
        <w:rPr>
          <w:rFonts w:ascii="Arial" w:hAnsi="Arial" w:eastAsia="Arial" w:cs="Arial"/>
        </w:rPr>
      </w:pPr>
    </w:p>
    <w:p w14:paraId="000002AD">
      <w:pPr>
        <w:jc w:val="both"/>
        <w:rPr>
          <w:rFonts w:ascii="Arial" w:hAnsi="Arial" w:eastAsia="Arial" w:cs="Arial"/>
        </w:rPr>
      </w:pPr>
    </w:p>
    <w:p w14:paraId="000002AE">
      <w:pPr>
        <w:jc w:val="both"/>
        <w:rPr>
          <w:rFonts w:ascii="Arial" w:hAnsi="Arial" w:eastAsia="Arial" w:cs="Arial"/>
        </w:rPr>
      </w:pPr>
    </w:p>
    <w:p w14:paraId="000002AF">
      <w:pPr>
        <w:jc w:val="both"/>
        <w:rPr>
          <w:rFonts w:ascii="Arial" w:hAnsi="Arial" w:eastAsia="Arial" w:cs="Arial"/>
        </w:rPr>
      </w:pPr>
    </w:p>
    <w:p w14:paraId="000002B0">
      <w:pPr>
        <w:jc w:val="both"/>
        <w:rPr>
          <w:rFonts w:ascii="Arial" w:hAnsi="Arial" w:eastAsia="Arial" w:cs="Arial"/>
        </w:rPr>
      </w:pPr>
    </w:p>
    <w:p w14:paraId="000002B1">
      <w:pPr>
        <w:jc w:val="both"/>
        <w:rPr>
          <w:rFonts w:ascii="Arial" w:hAnsi="Arial" w:eastAsia="Arial" w:cs="Arial"/>
        </w:rPr>
      </w:pPr>
    </w:p>
    <w:p w14:paraId="000002B2">
      <w:pPr>
        <w:jc w:val="both"/>
        <w:rPr>
          <w:rFonts w:ascii="Arial" w:hAnsi="Arial" w:eastAsia="Arial" w:cs="Arial"/>
        </w:rPr>
      </w:pPr>
    </w:p>
    <w:p w14:paraId="000002B3">
      <w:pPr>
        <w:jc w:val="both"/>
        <w:rPr>
          <w:rFonts w:ascii="Arial" w:hAnsi="Arial" w:eastAsia="Arial" w:cs="Arial"/>
        </w:rPr>
      </w:pPr>
    </w:p>
    <w:p w14:paraId="000002B4">
      <w:pPr>
        <w:jc w:val="both"/>
        <w:rPr>
          <w:rFonts w:ascii="Arial" w:hAnsi="Arial" w:eastAsia="Arial" w:cs="Arial"/>
        </w:rPr>
      </w:pPr>
    </w:p>
    <w:p w14:paraId="000002B5">
      <w:pPr>
        <w:jc w:val="both"/>
        <w:rPr>
          <w:rFonts w:ascii="Arial" w:hAnsi="Arial" w:eastAsia="Arial" w:cs="Arial"/>
        </w:rPr>
      </w:pPr>
    </w:p>
    <w:p w14:paraId="000002B6">
      <w:pPr>
        <w:jc w:val="both"/>
        <w:rPr>
          <w:rFonts w:ascii="Arial" w:hAnsi="Arial" w:eastAsia="Arial" w:cs="Arial"/>
        </w:rPr>
      </w:pPr>
    </w:p>
    <w:p w14:paraId="000002B7">
      <w:pPr>
        <w:jc w:val="both"/>
        <w:rPr>
          <w:rFonts w:ascii="Arial" w:hAnsi="Arial" w:eastAsia="Arial" w:cs="Arial"/>
        </w:rPr>
      </w:pPr>
    </w:p>
    <w:p w14:paraId="000002B8">
      <w:pPr>
        <w:jc w:val="both"/>
        <w:rPr>
          <w:rFonts w:ascii="Arial" w:hAnsi="Arial" w:eastAsia="Arial" w:cs="Arial"/>
        </w:rPr>
      </w:pPr>
    </w:p>
    <w:p w14:paraId="000002B9">
      <w:pPr>
        <w:jc w:val="both"/>
        <w:rPr>
          <w:rFonts w:ascii="Arial" w:hAnsi="Arial" w:eastAsia="Arial" w:cs="Arial"/>
        </w:rPr>
      </w:pPr>
    </w:p>
    <w:p w14:paraId="000002BA">
      <w:pPr>
        <w:jc w:val="both"/>
        <w:rPr>
          <w:rFonts w:ascii="Arial" w:hAnsi="Arial" w:eastAsia="Arial" w:cs="Arial"/>
        </w:rPr>
      </w:pPr>
    </w:p>
    <w:p w14:paraId="000002BB">
      <w:pPr>
        <w:widowControl w:val="0"/>
        <w:spacing w:line="360" w:lineRule="auto"/>
        <w:ind w:right="-30"/>
        <w:jc w:val="center"/>
        <w:rPr>
          <w:rFonts w:ascii="Arial" w:hAnsi="Arial" w:eastAsia="Arial" w:cs="Arial"/>
        </w:rPr>
      </w:pPr>
    </w:p>
    <w:p w14:paraId="000002BC">
      <w:pPr>
        <w:pBdr>
          <w:top w:val="single" w:color="000000" w:sz="4" w:space="1"/>
          <w:left w:val="single" w:color="000000" w:sz="4" w:space="4"/>
          <w:bottom w:val="single" w:color="000000" w:sz="4" w:space="1"/>
          <w:right w:val="single" w:color="000000" w:sz="4" w:space="4"/>
          <w:between w:val="single" w:color="000000" w:sz="4" w:space="1"/>
        </w:pBdr>
        <w:shd w:val="clear" w:fill="D9D9D9"/>
        <w:jc w:val="center"/>
        <w:rPr>
          <w:rFonts w:ascii="Arial" w:hAnsi="Arial" w:eastAsia="Arial" w:cs="Arial"/>
          <w:b/>
        </w:rPr>
      </w:pPr>
      <w:r>
        <w:rPr>
          <w:rFonts w:ascii="Arial" w:hAnsi="Arial" w:eastAsia="Arial" w:cs="Arial"/>
          <w:b/>
          <w:rtl w:val="0"/>
        </w:rPr>
        <w:t>ANEXO IX – MINUTA DO CONTRATO ADMINISTRATIVO Nº 000/2025.</w:t>
      </w:r>
    </w:p>
    <w:p w14:paraId="000002BD">
      <w:pPr>
        <w:spacing w:before="120" w:after="288" w:line="312" w:lineRule="auto"/>
        <w:ind w:left="4253" w:right="-17" w:firstLine="0"/>
        <w:jc w:val="both"/>
        <w:rPr>
          <w:rFonts w:ascii="Arial" w:hAnsi="Arial" w:eastAsia="Arial" w:cs="Arial"/>
        </w:rPr>
      </w:pPr>
    </w:p>
    <w:p w14:paraId="000002BE">
      <w:pPr>
        <w:spacing w:before="120" w:after="288" w:line="312" w:lineRule="auto"/>
        <w:ind w:left="4253" w:right="-17" w:firstLine="0"/>
        <w:jc w:val="both"/>
        <w:rPr>
          <w:rFonts w:ascii="Arial" w:hAnsi="Arial" w:eastAsia="Arial" w:cs="Arial"/>
        </w:rPr>
      </w:pPr>
      <w:r>
        <w:rPr>
          <w:rFonts w:ascii="Arial" w:hAnsi="Arial" w:eastAsia="Arial" w:cs="Arial"/>
          <w:rtl w:val="0"/>
        </w:rPr>
        <w:t xml:space="preserve">CONTRATO ADMINISTRATIVO Nº ......../...., QUE FAZEM ENTRE SI O MUNICÍPIO DE XXXXXXXXX, POR INTERMÉDIO DO (A) ......................................................... E .............................................................  </w:t>
      </w:r>
    </w:p>
    <w:p w14:paraId="000002BF">
      <w:pPr>
        <w:spacing w:before="120" w:after="120" w:line="276" w:lineRule="auto"/>
        <w:ind w:firstLine="1418"/>
        <w:jc w:val="both"/>
        <w:rPr>
          <w:rFonts w:ascii="Arial" w:hAnsi="Arial" w:eastAsia="Arial" w:cs="Arial"/>
        </w:rPr>
      </w:pPr>
      <w:r>
        <w:rPr>
          <w:rFonts w:ascii="Arial" w:hAnsi="Arial" w:eastAsia="Arial" w:cs="Arial"/>
          <w:i/>
          <w:rtl w:val="0"/>
        </w:rPr>
        <w:t>A Prefeitura Municipal de Macururé-BA,</w:t>
      </w:r>
      <w:r>
        <w:rPr>
          <w:rFonts w:ascii="Arial" w:hAnsi="Arial" w:eastAsia="Arial" w:cs="Arial"/>
          <w:rtl w:val="0"/>
        </w:rPr>
        <w:t xml:space="preserve"> por intermédio do ...................................., com sede no(a) ....................................................., na cidade de ...................................... /Estado ..., inscrito(a) no CNPJ sob o nº ................................, neste ato representado(a) pelo(a) ......................... (</w:t>
      </w:r>
      <w:r>
        <w:rPr>
          <w:rFonts w:ascii="Arial" w:hAnsi="Arial" w:eastAsia="Arial" w:cs="Arial"/>
          <w:i/>
          <w:rtl w:val="0"/>
        </w:rPr>
        <w:t>cargo e nome</w:t>
      </w:r>
      <w:r>
        <w:rPr>
          <w:rFonts w:ascii="Arial" w:hAnsi="Arial" w:eastAsia="Arial" w:cs="Arial"/>
          <w:rtl w:val="0"/>
        </w:rPr>
        <w:t>), nomeado(a) pela Portaria nº ......, de ..... de ..................... de 20..., publicada no</w:t>
      </w:r>
      <w:r>
        <w:rPr>
          <w:rFonts w:ascii="Arial" w:hAnsi="Arial" w:eastAsia="Arial" w:cs="Arial"/>
          <w:i/>
          <w:rtl w:val="0"/>
        </w:rPr>
        <w:t xml:space="preserve"> DOM </w:t>
      </w:r>
      <w:r>
        <w:rPr>
          <w:rFonts w:ascii="Arial" w:hAnsi="Arial" w:eastAsia="Arial" w:cs="Arial"/>
          <w:rtl w:val="0"/>
        </w:rPr>
        <w:t xml:space="preserve">de ..... de ............... de ..........., portador da Matrícula Funcional nº .........., doravante denominado CONTRATANTE, e o(a) .............................., </w:t>
      </w:r>
      <w:r>
        <w:rPr>
          <w:rFonts w:ascii="Arial" w:hAnsi="Arial" w:eastAsia="Arial" w:cs="Arial"/>
          <w:i/>
          <w:rtl w:val="0"/>
        </w:rPr>
        <w:t>inscrito(a) no CNPJ/MF sob o nº ............................, sediado(a) na</w:t>
      </w:r>
      <w:r>
        <w:rPr>
          <w:rFonts w:ascii="Arial" w:hAnsi="Arial" w:eastAsia="Arial" w:cs="Arial"/>
          <w:rtl w:val="0"/>
        </w:rPr>
        <w:t xml:space="preserve"> ..................................., doravante designado CONTRATADO, </w:t>
      </w:r>
      <w:r>
        <w:rPr>
          <w:rFonts w:ascii="Arial" w:hAnsi="Arial" w:eastAsia="Arial" w:cs="Arial"/>
          <w:i/>
          <w:rtl w:val="0"/>
        </w:rPr>
        <w:t>neste ato representado(a) por</w:t>
      </w:r>
      <w:r>
        <w:rPr>
          <w:rFonts w:ascii="Arial" w:hAnsi="Arial" w:eastAsia="Arial" w:cs="Arial"/>
          <w:rtl w:val="0"/>
        </w:rPr>
        <w:t xml:space="preserve"> .................................. (nome e função no contratado), </w:t>
      </w:r>
      <w:r>
        <w:rPr>
          <w:rFonts w:ascii="Arial" w:hAnsi="Arial" w:eastAsia="Arial" w:cs="Arial"/>
          <w:i/>
          <w:rtl w:val="0"/>
        </w:rPr>
        <w:t xml:space="preserve">conforme atos constitutivos da empresa </w:t>
      </w:r>
      <w:r>
        <w:rPr>
          <w:rFonts w:ascii="Arial" w:hAnsi="Arial" w:eastAsia="Arial" w:cs="Arial"/>
          <w:b/>
          <w:i/>
          <w:rtl w:val="0"/>
        </w:rPr>
        <w:t>OU</w:t>
      </w:r>
      <w:r>
        <w:rPr>
          <w:rFonts w:ascii="Arial" w:hAnsi="Arial" w:eastAsia="Arial" w:cs="Arial"/>
          <w:i/>
          <w:rtl w:val="0"/>
        </w:rPr>
        <w:t xml:space="preserve"> procuração apresentada nos autos, </w:t>
      </w:r>
      <w:r>
        <w:rPr>
          <w:rFonts w:ascii="Arial" w:hAnsi="Arial" w:eastAsia="Arial" w:cs="Arial"/>
          <w:rtl w:val="0"/>
        </w:rPr>
        <w:t xml:space="preserve">tendo em vista o que consta no Processo nº .............................. e em observância às disposições da </w:t>
      </w:r>
      <w:r>
        <w:fldChar w:fldCharType="begin"/>
      </w:r>
      <w:r>
        <w:instrText xml:space="preserve"> HYPERLINK "http://www.planalto.gov.br/ccivil_03/_ato2019-2022/2021/lei/L14133.htm" \h </w:instrText>
      </w:r>
      <w:r>
        <w:fldChar w:fldCharType="separate"/>
      </w:r>
      <w:r>
        <w:rPr>
          <w:rFonts w:ascii="Arial" w:hAnsi="Arial" w:eastAsia="Arial" w:cs="Arial"/>
          <w:u w:val="single"/>
          <w:rtl w:val="0"/>
        </w:rPr>
        <w:t>Lei nº 14.133, de 1º de abril de 2021</w:t>
      </w:r>
      <w:r>
        <w:rPr>
          <w:rFonts w:ascii="Arial" w:hAnsi="Arial" w:eastAsia="Arial" w:cs="Arial"/>
          <w:u w:val="single"/>
          <w:rtl w:val="0"/>
        </w:rPr>
        <w:fldChar w:fldCharType="end"/>
      </w:r>
      <w:r>
        <w:rPr>
          <w:rFonts w:ascii="Arial" w:hAnsi="Arial" w:eastAsia="Arial" w:cs="Arial"/>
          <w:rtl w:val="0"/>
        </w:rPr>
        <w:t xml:space="preserve">, e demais legislação aplicável, resolvem celebrar o presente Termo de Contrato, decorrente </w:t>
      </w:r>
      <w:r>
        <w:rPr>
          <w:rFonts w:ascii="Arial" w:hAnsi="Arial" w:eastAsia="Arial" w:cs="Arial"/>
          <w:i/>
          <w:rtl w:val="0"/>
        </w:rPr>
        <w:t>do Pregão Eletrônico n. .../...</w:t>
      </w:r>
      <w:r>
        <w:rPr>
          <w:rFonts w:ascii="Arial" w:hAnsi="Arial" w:eastAsia="Arial" w:cs="Arial"/>
          <w:rtl w:val="0"/>
        </w:rPr>
        <w:t>, mediante as cláusulas e condições a seguir enunciadas.</w:t>
      </w:r>
    </w:p>
    <w:p w14:paraId="000002C0">
      <w:pPr>
        <w:keepNext/>
        <w:keepLines/>
        <w:numPr>
          <w:ilvl w:val="0"/>
          <w:numId w:val="1"/>
        </w:numPr>
        <w:tabs>
          <w:tab w:val="left" w:pos="567"/>
        </w:tabs>
        <w:spacing w:before="240"/>
        <w:ind w:left="360" w:hanging="360"/>
        <w:jc w:val="both"/>
        <w:rPr>
          <w:rFonts w:ascii="Arial" w:hAnsi="Arial" w:eastAsia="Arial" w:cs="Arial"/>
          <w:b/>
        </w:rPr>
      </w:pPr>
      <w:r>
        <w:rPr>
          <w:rFonts w:ascii="Arial" w:hAnsi="Arial" w:eastAsia="Arial" w:cs="Arial"/>
          <w:b/>
          <w:rtl w:val="0"/>
        </w:rPr>
        <w:t>CLÁUSULA PRIMEIRA – OBJETO (</w:t>
      </w:r>
      <w:r>
        <w:fldChar w:fldCharType="begin"/>
      </w:r>
      <w:r>
        <w:instrText xml:space="preserve"> HYPERLINK "http://www.planalto.gov.br/ccivil_03/_ato2019-2022/2021/lei/L14133.htm#art92" \h </w:instrText>
      </w:r>
      <w:r>
        <w:fldChar w:fldCharType="separate"/>
      </w:r>
      <w:r>
        <w:rPr>
          <w:rFonts w:ascii="Arial" w:hAnsi="Arial" w:eastAsia="Arial" w:cs="Arial"/>
          <w:b/>
          <w:u w:val="single"/>
          <w:rtl w:val="0"/>
        </w:rPr>
        <w:t>art. 92, I e II</w:t>
      </w:r>
      <w:r>
        <w:rPr>
          <w:rFonts w:ascii="Arial" w:hAnsi="Arial" w:eastAsia="Arial" w:cs="Arial"/>
          <w:b/>
          <w:u w:val="single"/>
          <w:rtl w:val="0"/>
        </w:rPr>
        <w:fldChar w:fldCharType="end"/>
      </w:r>
      <w:r>
        <w:rPr>
          <w:rFonts w:ascii="Arial" w:hAnsi="Arial" w:eastAsia="Arial" w:cs="Arial"/>
          <w:b/>
          <w:rtl w:val="0"/>
        </w:rPr>
        <w:t>)</w:t>
      </w:r>
    </w:p>
    <w:p w14:paraId="000002C1">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O objeto do presente instrumento é a contratação de .........................., nas condições estabelecidas no Termo de Referência.</w:t>
      </w:r>
    </w:p>
    <w:p w14:paraId="000002C2">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Objeto da contratação:</w:t>
      </w:r>
    </w:p>
    <w:tbl>
      <w:tblPr>
        <w:tblStyle w:val="133"/>
        <w:tblW w:w="10061" w:type="dxa"/>
        <w:tblInd w:w="-5" w:type="dxa"/>
        <w:tblLayout w:type="fixed"/>
        <w:tblCellMar>
          <w:top w:w="0" w:type="dxa"/>
          <w:left w:w="115" w:type="dxa"/>
          <w:bottom w:w="0" w:type="dxa"/>
          <w:right w:w="115" w:type="dxa"/>
        </w:tblCellMar>
      </w:tblPr>
      <w:tblGrid>
        <w:gridCol w:w="993"/>
        <w:gridCol w:w="2554"/>
        <w:gridCol w:w="1277"/>
        <w:gridCol w:w="1134"/>
        <w:gridCol w:w="1558"/>
        <w:gridCol w:w="1556"/>
        <w:gridCol w:w="989"/>
      </w:tblGrid>
      <w:tr w14:paraId="50648D5F">
        <w:tblPrEx>
          <w:tblCellMar>
            <w:top w:w="0" w:type="dxa"/>
            <w:left w:w="115" w:type="dxa"/>
            <w:bottom w:w="0" w:type="dxa"/>
            <w:right w:w="115" w:type="dxa"/>
          </w:tblCellMar>
        </w:tblPrEx>
        <w:tc>
          <w:tcPr>
            <w:tcBorders>
              <w:top w:val="single" w:color="000000" w:sz="4" w:space="0"/>
              <w:left w:val="single" w:color="000000" w:sz="4" w:space="0"/>
              <w:bottom w:val="single" w:color="000000" w:sz="4" w:space="0"/>
              <w:right w:val="single" w:color="000000" w:sz="4" w:space="0"/>
            </w:tcBorders>
          </w:tcPr>
          <w:p w14:paraId="000002C3">
            <w:pPr>
              <w:widowControl w:val="0"/>
              <w:spacing w:before="120" w:after="288" w:line="312" w:lineRule="auto"/>
              <w:jc w:val="center"/>
              <w:rPr>
                <w:rFonts w:ascii="Arial" w:hAnsi="Arial" w:eastAsia="Arial" w:cs="Arial"/>
                <w:b/>
                <w:sz w:val="20"/>
                <w:szCs w:val="20"/>
              </w:rPr>
            </w:pPr>
            <w:r>
              <w:rPr>
                <w:rFonts w:ascii="Arial" w:hAnsi="Arial" w:eastAsia="Arial" w:cs="Arial"/>
                <w:b/>
                <w:sz w:val="20"/>
                <w:szCs w:val="20"/>
                <w:rtl w:val="0"/>
              </w:rPr>
              <w:t>ITEM</w:t>
            </w:r>
          </w:p>
          <w:p w14:paraId="000002C4">
            <w:pPr>
              <w:widowControl w:val="0"/>
              <w:spacing w:before="120" w:after="288" w:line="312" w:lineRule="auto"/>
              <w:jc w:val="center"/>
              <w:rPr>
                <w:rFonts w:ascii="Arial" w:hAnsi="Arial" w:eastAsia="Arial" w:cs="Arial"/>
                <w:b/>
                <w:sz w:val="20"/>
                <w:szCs w:val="20"/>
              </w:rPr>
            </w:pPr>
          </w:p>
        </w:tc>
        <w:tc>
          <w:tcPr>
            <w:tcBorders>
              <w:top w:val="single" w:color="000000" w:sz="4" w:space="0"/>
              <w:left w:val="single" w:color="000000" w:sz="4" w:space="0"/>
              <w:bottom w:val="single" w:color="000000" w:sz="4" w:space="0"/>
              <w:right w:val="single" w:color="000000" w:sz="4" w:space="0"/>
            </w:tcBorders>
          </w:tcPr>
          <w:p w14:paraId="000002C5">
            <w:pPr>
              <w:widowControl w:val="0"/>
              <w:spacing w:before="120" w:after="288" w:line="312" w:lineRule="auto"/>
              <w:jc w:val="center"/>
              <w:rPr>
                <w:rFonts w:ascii="Arial" w:hAnsi="Arial" w:eastAsia="Arial" w:cs="Arial"/>
                <w:sz w:val="20"/>
                <w:szCs w:val="20"/>
              </w:rPr>
            </w:pPr>
            <w:r>
              <w:rPr>
                <w:rFonts w:ascii="Arial" w:hAnsi="Arial" w:eastAsia="Arial" w:cs="Arial"/>
                <w:b/>
                <w:sz w:val="20"/>
                <w:szCs w:val="20"/>
                <w:rtl w:val="0"/>
              </w:rPr>
              <w:t>ESPECIFICAÇÃO</w:t>
            </w:r>
          </w:p>
        </w:tc>
        <w:tc>
          <w:tcPr>
            <w:tcBorders>
              <w:top w:val="single" w:color="000000" w:sz="4" w:space="0"/>
              <w:left w:val="single" w:color="000000" w:sz="4" w:space="0"/>
              <w:bottom w:val="single" w:color="000000" w:sz="4" w:space="0"/>
              <w:right w:val="single" w:color="000000" w:sz="4" w:space="0"/>
            </w:tcBorders>
          </w:tcPr>
          <w:p w14:paraId="000002C6">
            <w:pPr>
              <w:widowControl w:val="0"/>
              <w:spacing w:before="120" w:after="288" w:line="312" w:lineRule="auto"/>
              <w:jc w:val="center"/>
              <w:rPr>
                <w:rFonts w:ascii="Arial" w:hAnsi="Arial" w:eastAsia="Arial" w:cs="Arial"/>
                <w:sz w:val="20"/>
                <w:szCs w:val="20"/>
              </w:rPr>
            </w:pPr>
            <w:r>
              <w:rPr>
                <w:rFonts w:ascii="Arial" w:hAnsi="Arial" w:eastAsia="Arial" w:cs="Arial"/>
                <w:b/>
                <w:sz w:val="20"/>
                <w:szCs w:val="20"/>
                <w:rtl w:val="0"/>
              </w:rPr>
              <w:t>CATMAT</w:t>
            </w:r>
          </w:p>
        </w:tc>
        <w:tc>
          <w:tcPr>
            <w:tcBorders>
              <w:top w:val="single" w:color="000000" w:sz="4" w:space="0"/>
              <w:left w:val="single" w:color="000000" w:sz="4" w:space="0"/>
              <w:bottom w:val="single" w:color="000000" w:sz="4" w:space="0"/>
              <w:right w:val="single" w:color="000000" w:sz="4" w:space="0"/>
            </w:tcBorders>
          </w:tcPr>
          <w:p w14:paraId="000002C7">
            <w:pPr>
              <w:widowControl w:val="0"/>
              <w:spacing w:before="120" w:after="288" w:line="312" w:lineRule="auto"/>
              <w:jc w:val="center"/>
              <w:rPr>
                <w:rFonts w:ascii="Arial" w:hAnsi="Arial" w:eastAsia="Arial" w:cs="Arial"/>
                <w:sz w:val="20"/>
                <w:szCs w:val="20"/>
              </w:rPr>
            </w:pPr>
            <w:r>
              <w:rPr>
                <w:rFonts w:ascii="Arial" w:hAnsi="Arial" w:eastAsia="Arial" w:cs="Arial"/>
                <w:b/>
                <w:sz w:val="20"/>
                <w:szCs w:val="20"/>
                <w:rtl w:val="0"/>
              </w:rPr>
              <w:t>UNIDADE DE MEDIDA</w:t>
            </w:r>
          </w:p>
        </w:tc>
        <w:tc>
          <w:tcPr>
            <w:tcBorders>
              <w:top w:val="single" w:color="000000" w:sz="4" w:space="0"/>
              <w:left w:val="single" w:color="000000" w:sz="4" w:space="0"/>
              <w:bottom w:val="single" w:color="000000" w:sz="4" w:space="0"/>
              <w:right w:val="single" w:color="000000" w:sz="4" w:space="0"/>
            </w:tcBorders>
          </w:tcPr>
          <w:p w14:paraId="000002C8">
            <w:pPr>
              <w:widowControl w:val="0"/>
              <w:spacing w:before="120" w:after="288" w:line="312" w:lineRule="auto"/>
              <w:jc w:val="center"/>
              <w:rPr>
                <w:rFonts w:ascii="Arial" w:hAnsi="Arial" w:eastAsia="Arial" w:cs="Arial"/>
                <w:b/>
                <w:sz w:val="20"/>
                <w:szCs w:val="20"/>
              </w:rPr>
            </w:pPr>
            <w:r>
              <w:rPr>
                <w:rFonts w:ascii="Arial" w:hAnsi="Arial" w:eastAsia="Arial" w:cs="Arial"/>
                <w:b/>
                <w:sz w:val="20"/>
                <w:szCs w:val="20"/>
                <w:rtl w:val="0"/>
              </w:rPr>
              <w:t>QUANTIDADE</w:t>
            </w:r>
          </w:p>
        </w:tc>
        <w:tc>
          <w:tcPr>
            <w:tcBorders>
              <w:top w:val="single" w:color="000000" w:sz="4" w:space="0"/>
              <w:left w:val="single" w:color="000000" w:sz="4" w:space="0"/>
              <w:bottom w:val="single" w:color="000000" w:sz="4" w:space="0"/>
              <w:right w:val="single" w:color="000000" w:sz="4" w:space="0"/>
            </w:tcBorders>
          </w:tcPr>
          <w:p w14:paraId="000002C9">
            <w:pPr>
              <w:widowControl w:val="0"/>
              <w:spacing w:before="120" w:after="288" w:line="312" w:lineRule="auto"/>
              <w:jc w:val="center"/>
              <w:rPr>
                <w:rFonts w:ascii="Arial" w:hAnsi="Arial" w:eastAsia="Arial" w:cs="Arial"/>
                <w:b/>
                <w:sz w:val="20"/>
                <w:szCs w:val="20"/>
              </w:rPr>
            </w:pPr>
            <w:r>
              <w:rPr>
                <w:rFonts w:ascii="Arial" w:hAnsi="Arial" w:eastAsia="Arial" w:cs="Arial"/>
                <w:b/>
                <w:sz w:val="20"/>
                <w:szCs w:val="20"/>
                <w:rtl w:val="0"/>
              </w:rPr>
              <w:t>VALOR UNITÁRIO</w:t>
            </w:r>
          </w:p>
        </w:tc>
        <w:tc>
          <w:tcPr>
            <w:tcBorders>
              <w:top w:val="single" w:color="000000" w:sz="4" w:space="0"/>
              <w:left w:val="single" w:color="000000" w:sz="4" w:space="0"/>
              <w:bottom w:val="single" w:color="000000" w:sz="4" w:space="0"/>
              <w:right w:val="single" w:color="000000" w:sz="4" w:space="0"/>
            </w:tcBorders>
          </w:tcPr>
          <w:p w14:paraId="000002CA">
            <w:pPr>
              <w:widowControl w:val="0"/>
              <w:spacing w:before="120" w:after="288" w:line="312" w:lineRule="auto"/>
              <w:jc w:val="center"/>
              <w:rPr>
                <w:rFonts w:ascii="Arial" w:hAnsi="Arial" w:eastAsia="Arial" w:cs="Arial"/>
                <w:b/>
                <w:sz w:val="20"/>
                <w:szCs w:val="20"/>
              </w:rPr>
            </w:pPr>
            <w:r>
              <w:rPr>
                <w:rFonts w:ascii="Arial" w:hAnsi="Arial" w:eastAsia="Arial" w:cs="Arial"/>
                <w:b/>
                <w:sz w:val="20"/>
                <w:szCs w:val="20"/>
                <w:rtl w:val="0"/>
              </w:rPr>
              <w:t>VALOR TOTAL</w:t>
            </w:r>
          </w:p>
        </w:tc>
      </w:tr>
      <w:tr w14:paraId="65B9F07C">
        <w:tblPrEx>
          <w:tblCellMar>
            <w:top w:w="0" w:type="dxa"/>
            <w:left w:w="115" w:type="dxa"/>
            <w:bottom w:w="0" w:type="dxa"/>
            <w:right w:w="115" w:type="dxa"/>
          </w:tblCellMar>
        </w:tblPrEx>
        <w:tc>
          <w:tcPr>
            <w:tcBorders>
              <w:top w:val="single" w:color="000000" w:sz="4" w:space="0"/>
              <w:left w:val="single" w:color="000000" w:sz="4" w:space="0"/>
              <w:bottom w:val="single" w:color="000000" w:sz="4" w:space="0"/>
              <w:right w:val="single" w:color="000000" w:sz="4" w:space="0"/>
            </w:tcBorders>
          </w:tcPr>
          <w:p w14:paraId="000002CB">
            <w:pPr>
              <w:widowControl w:val="0"/>
              <w:spacing w:before="120" w:after="288" w:line="312" w:lineRule="auto"/>
              <w:jc w:val="center"/>
              <w:rPr>
                <w:rFonts w:ascii="Arial" w:hAnsi="Arial" w:eastAsia="Arial" w:cs="Arial"/>
                <w:b/>
                <w:sz w:val="20"/>
                <w:szCs w:val="20"/>
              </w:rPr>
            </w:pPr>
            <w:r>
              <w:rPr>
                <w:rFonts w:ascii="Arial" w:hAnsi="Arial" w:eastAsia="Arial" w:cs="Arial"/>
                <w:b/>
                <w:sz w:val="20"/>
                <w:szCs w:val="20"/>
                <w:rtl w:val="0"/>
              </w:rPr>
              <w:t>1</w:t>
            </w:r>
          </w:p>
        </w:tc>
        <w:tc>
          <w:tcPr>
            <w:tcBorders>
              <w:top w:val="single" w:color="000000" w:sz="4" w:space="0"/>
              <w:left w:val="single" w:color="000000" w:sz="4" w:space="0"/>
              <w:bottom w:val="single" w:color="000000" w:sz="4" w:space="0"/>
              <w:right w:val="single" w:color="000000" w:sz="4" w:space="0"/>
            </w:tcBorders>
          </w:tcPr>
          <w:p w14:paraId="000002CC">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CD">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CE">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CF">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D0">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D1">
            <w:pPr>
              <w:widowControl w:val="0"/>
              <w:spacing w:before="120" w:after="288" w:line="312" w:lineRule="auto"/>
              <w:rPr>
                <w:rFonts w:ascii="Arial" w:hAnsi="Arial" w:eastAsia="Arial" w:cs="Arial"/>
                <w:sz w:val="20"/>
                <w:szCs w:val="20"/>
              </w:rPr>
            </w:pPr>
          </w:p>
        </w:tc>
      </w:tr>
      <w:tr w14:paraId="4C79CEC6">
        <w:tblPrEx>
          <w:tblCellMar>
            <w:top w:w="0" w:type="dxa"/>
            <w:left w:w="115" w:type="dxa"/>
            <w:bottom w:w="0" w:type="dxa"/>
            <w:right w:w="115" w:type="dxa"/>
          </w:tblCellMar>
        </w:tblPrEx>
        <w:tc>
          <w:tcPr>
            <w:tcBorders>
              <w:top w:val="single" w:color="000000" w:sz="4" w:space="0"/>
              <w:left w:val="single" w:color="000000" w:sz="4" w:space="0"/>
              <w:bottom w:val="single" w:color="000000" w:sz="4" w:space="0"/>
              <w:right w:val="single" w:color="000000" w:sz="4" w:space="0"/>
            </w:tcBorders>
          </w:tcPr>
          <w:p w14:paraId="000002D2">
            <w:pPr>
              <w:widowControl w:val="0"/>
              <w:spacing w:before="120" w:after="288" w:line="312" w:lineRule="auto"/>
              <w:jc w:val="center"/>
              <w:rPr>
                <w:rFonts w:ascii="Arial" w:hAnsi="Arial" w:eastAsia="Arial" w:cs="Arial"/>
                <w:b/>
                <w:sz w:val="20"/>
                <w:szCs w:val="20"/>
              </w:rPr>
            </w:pPr>
            <w:r>
              <w:rPr>
                <w:rFonts w:ascii="Arial" w:hAnsi="Arial" w:eastAsia="Arial" w:cs="Arial"/>
                <w:b/>
                <w:sz w:val="20"/>
                <w:szCs w:val="20"/>
                <w:rtl w:val="0"/>
              </w:rPr>
              <w:t>2</w:t>
            </w:r>
          </w:p>
        </w:tc>
        <w:tc>
          <w:tcPr>
            <w:tcBorders>
              <w:top w:val="single" w:color="000000" w:sz="4" w:space="0"/>
              <w:left w:val="single" w:color="000000" w:sz="4" w:space="0"/>
              <w:bottom w:val="single" w:color="000000" w:sz="4" w:space="0"/>
              <w:right w:val="single" w:color="000000" w:sz="4" w:space="0"/>
            </w:tcBorders>
          </w:tcPr>
          <w:p w14:paraId="000002D3">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D4">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D5">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D6">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D7">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D8">
            <w:pPr>
              <w:widowControl w:val="0"/>
              <w:spacing w:before="120" w:after="288" w:line="312" w:lineRule="auto"/>
              <w:rPr>
                <w:rFonts w:ascii="Arial" w:hAnsi="Arial" w:eastAsia="Arial" w:cs="Arial"/>
                <w:sz w:val="20"/>
                <w:szCs w:val="20"/>
              </w:rPr>
            </w:pPr>
          </w:p>
        </w:tc>
      </w:tr>
      <w:tr w14:paraId="0F4E788A">
        <w:tblPrEx>
          <w:tblCellMar>
            <w:top w:w="0" w:type="dxa"/>
            <w:left w:w="115" w:type="dxa"/>
            <w:bottom w:w="0" w:type="dxa"/>
            <w:right w:w="115" w:type="dxa"/>
          </w:tblCellMar>
        </w:tblPrEx>
        <w:tc>
          <w:tcPr>
            <w:tcBorders>
              <w:top w:val="single" w:color="000000" w:sz="4" w:space="0"/>
              <w:left w:val="single" w:color="000000" w:sz="4" w:space="0"/>
              <w:bottom w:val="single" w:color="000000" w:sz="4" w:space="0"/>
              <w:right w:val="single" w:color="000000" w:sz="4" w:space="0"/>
            </w:tcBorders>
          </w:tcPr>
          <w:p w14:paraId="000002D9">
            <w:pPr>
              <w:widowControl w:val="0"/>
              <w:spacing w:before="120" w:after="288" w:line="312" w:lineRule="auto"/>
              <w:jc w:val="center"/>
              <w:rPr>
                <w:rFonts w:ascii="Arial" w:hAnsi="Arial" w:eastAsia="Arial" w:cs="Arial"/>
                <w:b/>
                <w:sz w:val="20"/>
                <w:szCs w:val="20"/>
              </w:rPr>
            </w:pPr>
            <w:r>
              <w:rPr>
                <w:rFonts w:ascii="Arial" w:hAnsi="Arial" w:eastAsia="Arial" w:cs="Arial"/>
                <w:b/>
                <w:sz w:val="20"/>
                <w:szCs w:val="20"/>
                <w:rtl w:val="0"/>
              </w:rPr>
              <w:t>3</w:t>
            </w:r>
          </w:p>
        </w:tc>
        <w:tc>
          <w:tcPr>
            <w:tcBorders>
              <w:top w:val="single" w:color="000000" w:sz="4" w:space="0"/>
              <w:left w:val="single" w:color="000000" w:sz="4" w:space="0"/>
              <w:bottom w:val="single" w:color="000000" w:sz="4" w:space="0"/>
              <w:right w:val="single" w:color="000000" w:sz="4" w:space="0"/>
            </w:tcBorders>
          </w:tcPr>
          <w:p w14:paraId="000002DA">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DB">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DC">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DD">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DE">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DF">
            <w:pPr>
              <w:widowControl w:val="0"/>
              <w:spacing w:before="120" w:after="288" w:line="312" w:lineRule="auto"/>
              <w:rPr>
                <w:rFonts w:ascii="Arial" w:hAnsi="Arial" w:eastAsia="Arial" w:cs="Arial"/>
                <w:sz w:val="20"/>
                <w:szCs w:val="20"/>
              </w:rPr>
            </w:pPr>
          </w:p>
        </w:tc>
      </w:tr>
      <w:tr w14:paraId="7D445494">
        <w:tblPrEx>
          <w:tblCellMar>
            <w:top w:w="0" w:type="dxa"/>
            <w:left w:w="115" w:type="dxa"/>
            <w:bottom w:w="0" w:type="dxa"/>
            <w:right w:w="115" w:type="dxa"/>
          </w:tblCellMar>
        </w:tblPrEx>
        <w:tc>
          <w:tcPr>
            <w:tcBorders>
              <w:top w:val="single" w:color="000000" w:sz="4" w:space="0"/>
              <w:left w:val="single" w:color="000000" w:sz="4" w:space="0"/>
              <w:bottom w:val="single" w:color="000000" w:sz="4" w:space="0"/>
              <w:right w:val="single" w:color="000000" w:sz="4" w:space="0"/>
            </w:tcBorders>
          </w:tcPr>
          <w:p w14:paraId="000002E0">
            <w:pPr>
              <w:widowControl w:val="0"/>
              <w:spacing w:before="120" w:after="288" w:line="312" w:lineRule="auto"/>
              <w:jc w:val="center"/>
              <w:rPr>
                <w:rFonts w:ascii="Arial" w:hAnsi="Arial" w:eastAsia="Arial" w:cs="Arial"/>
                <w:b/>
                <w:sz w:val="20"/>
                <w:szCs w:val="20"/>
              </w:rPr>
            </w:pPr>
            <w:r>
              <w:rPr>
                <w:rFonts w:ascii="Arial" w:hAnsi="Arial" w:eastAsia="Arial" w:cs="Arial"/>
                <w:b/>
                <w:sz w:val="20"/>
                <w:szCs w:val="20"/>
                <w:rtl w:val="0"/>
              </w:rPr>
              <w:t>...</w:t>
            </w:r>
          </w:p>
        </w:tc>
        <w:tc>
          <w:tcPr>
            <w:tcBorders>
              <w:top w:val="single" w:color="000000" w:sz="4" w:space="0"/>
              <w:left w:val="single" w:color="000000" w:sz="4" w:space="0"/>
              <w:bottom w:val="single" w:color="000000" w:sz="4" w:space="0"/>
              <w:right w:val="single" w:color="000000" w:sz="4" w:space="0"/>
            </w:tcBorders>
          </w:tcPr>
          <w:p w14:paraId="000002E1">
            <w:pPr>
              <w:widowControl w:val="0"/>
              <w:spacing w:before="120" w:after="288" w:line="312" w:lineRule="auto"/>
              <w:jc w:val="center"/>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E2">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E3">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E4">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E5">
            <w:pPr>
              <w:widowControl w:val="0"/>
              <w:spacing w:before="120" w:after="288" w:line="312" w:lineRule="auto"/>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Pr>
          <w:p w14:paraId="000002E6">
            <w:pPr>
              <w:widowControl w:val="0"/>
              <w:spacing w:before="120" w:after="288" w:line="312" w:lineRule="auto"/>
              <w:rPr>
                <w:rFonts w:ascii="Arial" w:hAnsi="Arial" w:eastAsia="Arial" w:cs="Arial"/>
                <w:sz w:val="20"/>
                <w:szCs w:val="20"/>
              </w:rPr>
            </w:pPr>
          </w:p>
        </w:tc>
      </w:tr>
    </w:tbl>
    <w:p w14:paraId="000002E7">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Vinculam esta contratação, independentemente de transcrição:</w:t>
      </w:r>
    </w:p>
    <w:p w14:paraId="000002E8">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O Termo de Referência;</w:t>
      </w:r>
    </w:p>
    <w:p w14:paraId="000002E9">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O Edital da Licitação;</w:t>
      </w:r>
    </w:p>
    <w:p w14:paraId="000002EA">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A Proposta do contratado;</w:t>
      </w:r>
    </w:p>
    <w:p w14:paraId="000002EB">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Eventuais anexos dos documentos supracitados.</w:t>
      </w:r>
    </w:p>
    <w:p w14:paraId="000002EC">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SEGUNDA – VIGÊNCIA E PRORROGAÇÃO</w:t>
      </w:r>
    </w:p>
    <w:p w14:paraId="000002ED">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 xml:space="preserve">O prazo de vigência da contratação é de 12 (doze) meses contados da Publicação no PNCP e no Diário Oficial dos Municípios, na forma do </w:t>
      </w:r>
      <w:r>
        <w:fldChar w:fldCharType="begin"/>
      </w:r>
      <w:r>
        <w:instrText xml:space="preserve"> HYPERLINK "http://www.planalto.gov.br/ccivil_03/_ato2019-2022/2021/lei/L14133.htm#art105" \h </w:instrText>
      </w:r>
      <w:r>
        <w:fldChar w:fldCharType="separate"/>
      </w:r>
      <w:r>
        <w:rPr>
          <w:rFonts w:ascii="Arial" w:hAnsi="Arial" w:eastAsia="Arial" w:cs="Arial"/>
          <w:i/>
          <w:u w:val="single"/>
          <w:rtl w:val="0"/>
        </w:rPr>
        <w:t>artigo 105 da Lei n° 14.133, de 2021</w:t>
      </w:r>
      <w:r>
        <w:rPr>
          <w:rFonts w:ascii="Arial" w:hAnsi="Arial" w:eastAsia="Arial" w:cs="Arial"/>
          <w:i/>
          <w:u w:val="single"/>
          <w:rtl w:val="0"/>
        </w:rPr>
        <w:fldChar w:fldCharType="end"/>
      </w:r>
      <w:r>
        <w:rPr>
          <w:rFonts w:ascii="Arial" w:hAnsi="Arial" w:eastAsia="Arial" w:cs="Arial"/>
          <w:i/>
          <w:rtl w:val="0"/>
        </w:rPr>
        <w:t>.</w:t>
      </w:r>
    </w:p>
    <w:p w14:paraId="000002EE">
      <w:pPr>
        <w:numPr>
          <w:ilvl w:val="2"/>
          <w:numId w:val="1"/>
        </w:numPr>
        <w:spacing w:before="120" w:after="120" w:line="276" w:lineRule="auto"/>
        <w:ind w:left="284" w:firstLine="0"/>
        <w:jc w:val="both"/>
        <w:rPr>
          <w:rFonts w:ascii="Arial" w:hAnsi="Arial" w:eastAsia="Arial" w:cs="Arial"/>
          <w:i/>
        </w:rPr>
      </w:pPr>
      <w:r>
        <w:rPr>
          <w:rFonts w:ascii="Arial" w:hAnsi="Arial" w:eastAsia="Arial" w:cs="Arial"/>
          <w:i/>
          <w:rtl w:val="0"/>
        </w:rPr>
        <w:t>O prazo de vigência será automaticamente prorrogado, independentemente de termo aditivo, quando o objeto não for concluído no período firmado acima, ressalvadas as providências cabíveis no caso de culpa do contratado, previstas neste instrumento.</w:t>
      </w:r>
    </w:p>
    <w:p w14:paraId="000002EF">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TERCEIRA – MODELOS DE EXECUÇÃO E GESTÃO CONTRATUAIS (</w:t>
      </w:r>
      <w:r>
        <w:fldChar w:fldCharType="begin"/>
      </w:r>
      <w:r>
        <w:instrText xml:space="preserve"> HYPERLINK "http://www.planalto.gov.br/ccivil_03/_ato2019-2022/2021/lei/L14133.htm#art92" \h </w:instrText>
      </w:r>
      <w:r>
        <w:fldChar w:fldCharType="separate"/>
      </w:r>
      <w:r>
        <w:rPr>
          <w:rFonts w:ascii="Arial" w:hAnsi="Arial" w:eastAsia="Arial" w:cs="Arial"/>
          <w:b/>
          <w:u w:val="single"/>
          <w:rtl w:val="0"/>
        </w:rPr>
        <w:t>art. 92, IV, VII e XVIII)</w:t>
      </w:r>
      <w:r>
        <w:rPr>
          <w:rFonts w:ascii="Arial" w:hAnsi="Arial" w:eastAsia="Arial" w:cs="Arial"/>
          <w:b/>
          <w:u w:val="single"/>
          <w:rtl w:val="0"/>
        </w:rPr>
        <w:fldChar w:fldCharType="end"/>
      </w:r>
    </w:p>
    <w:p w14:paraId="000002F0">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O regime de execução contratual, os modelos de gestão e de execução, assim como os prazos e condições de conclusão, entrega, observação e recebimento do objeto constam no Termo de Referência, anexo a este Contrato.</w:t>
      </w:r>
    </w:p>
    <w:p w14:paraId="000002F1">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QUARTA – SUBCONTRATAÇÃO</w:t>
      </w:r>
    </w:p>
    <w:p w14:paraId="000002F2">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Não será admitida a subcontratação do objeto contratual.</w:t>
      </w:r>
    </w:p>
    <w:p w14:paraId="000002F3">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QUINTA – PREÇO (</w:t>
      </w:r>
      <w:r>
        <w:fldChar w:fldCharType="begin"/>
      </w:r>
      <w:r>
        <w:instrText xml:space="preserve"> HYPERLINK "http://www.planalto.gov.br/ccivil_03/_ato2019-2022/2021/lei/L14133.htm#art92" \h </w:instrText>
      </w:r>
      <w:r>
        <w:fldChar w:fldCharType="separate"/>
      </w:r>
      <w:r>
        <w:rPr>
          <w:rFonts w:ascii="Arial" w:hAnsi="Arial" w:eastAsia="Arial" w:cs="Arial"/>
          <w:b/>
          <w:u w:val="single"/>
          <w:rtl w:val="0"/>
        </w:rPr>
        <w:t>art. 92, V)</w:t>
      </w:r>
      <w:r>
        <w:rPr>
          <w:rFonts w:ascii="Arial" w:hAnsi="Arial" w:eastAsia="Arial" w:cs="Arial"/>
          <w:b/>
          <w:u w:val="single"/>
          <w:rtl w:val="0"/>
        </w:rPr>
        <w:fldChar w:fldCharType="end"/>
      </w:r>
    </w:p>
    <w:p w14:paraId="000002F4">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O valor mensal da contratação é de R$ .......... (.....), perfazendo o valor total de R$ ....... (....).</w:t>
      </w:r>
    </w:p>
    <w:p w14:paraId="000002F5">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O valor total da contratação é de R$.......... (.....)</w:t>
      </w:r>
    </w:p>
    <w:p w14:paraId="000002F6">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00002F7">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SEXTA - PAGAMENTO (</w:t>
      </w:r>
      <w:r>
        <w:fldChar w:fldCharType="begin"/>
      </w:r>
      <w:r>
        <w:instrText xml:space="preserve"> HYPERLINK "http://www.planalto.gov.br/ccivil_03/_ato2019-2022/2021/lei/L14133.htm#art92" \h </w:instrText>
      </w:r>
      <w:r>
        <w:fldChar w:fldCharType="separate"/>
      </w:r>
      <w:r>
        <w:rPr>
          <w:rFonts w:ascii="Arial" w:hAnsi="Arial" w:eastAsia="Arial" w:cs="Arial"/>
          <w:b/>
          <w:u w:val="single"/>
          <w:rtl w:val="0"/>
        </w:rPr>
        <w:t>art. 92, V e VI</w:t>
      </w:r>
      <w:r>
        <w:rPr>
          <w:rFonts w:ascii="Arial" w:hAnsi="Arial" w:eastAsia="Arial" w:cs="Arial"/>
          <w:b/>
          <w:u w:val="single"/>
          <w:rtl w:val="0"/>
        </w:rPr>
        <w:fldChar w:fldCharType="end"/>
      </w:r>
      <w:r>
        <w:rPr>
          <w:rFonts w:ascii="Arial" w:hAnsi="Arial" w:eastAsia="Arial" w:cs="Arial"/>
          <w:b/>
          <w:rtl w:val="0"/>
        </w:rPr>
        <w:t>)</w:t>
      </w:r>
    </w:p>
    <w:p w14:paraId="000002F8">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O prazo para pagamento ao contratado e demais condições a ele referentes encontram-se definidos no Termo de Referência, anexo a este Contrato.</w:t>
      </w:r>
    </w:p>
    <w:p w14:paraId="000002F9">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SÉTIMA - REAJUSTE (</w:t>
      </w:r>
      <w:r>
        <w:fldChar w:fldCharType="begin"/>
      </w:r>
      <w:r>
        <w:instrText xml:space="preserve"> HYPERLINK "http://www.planalto.gov.br/ccivil_03/_ato2019-2022/2021/lei/L14133.htm#art92" \h </w:instrText>
      </w:r>
      <w:r>
        <w:fldChar w:fldCharType="separate"/>
      </w:r>
      <w:r>
        <w:rPr>
          <w:rFonts w:ascii="Arial" w:hAnsi="Arial" w:eastAsia="Arial" w:cs="Arial"/>
          <w:b/>
          <w:u w:val="single"/>
          <w:rtl w:val="0"/>
        </w:rPr>
        <w:t>art. 92, V)</w:t>
      </w:r>
      <w:r>
        <w:rPr>
          <w:rFonts w:ascii="Arial" w:hAnsi="Arial" w:eastAsia="Arial" w:cs="Arial"/>
          <w:b/>
          <w:u w:val="single"/>
          <w:rtl w:val="0"/>
        </w:rPr>
        <w:fldChar w:fldCharType="end"/>
      </w:r>
    </w:p>
    <w:p w14:paraId="000002FA">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Os preços inicialmente contratados são fixos e irreajustáveis no prazo de um ano contado da data do orçamento estimado, em </w:t>
      </w:r>
      <w:r>
        <w:rPr>
          <w:rFonts w:ascii="Arial" w:hAnsi="Arial" w:eastAsia="Arial" w:cs="Arial"/>
          <w:i/>
          <w:rtl w:val="0"/>
        </w:rPr>
        <w:t>__/__/__ (DD/MM/AAAA)</w:t>
      </w:r>
      <w:r>
        <w:rPr>
          <w:rFonts w:ascii="Arial" w:hAnsi="Arial" w:eastAsia="Arial" w:cs="Arial"/>
          <w:rtl w:val="0"/>
        </w:rPr>
        <w:t>.</w:t>
      </w:r>
    </w:p>
    <w:p w14:paraId="000002FB">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Após o interregno de um ano, e independentemente de pedido do contratado, os preços iniciais serão reajustados, mediante a aplicação, pelo contratante, do índice Nacional de Custo da Construção </w:t>
      </w:r>
      <w:r>
        <w:rPr>
          <w:rFonts w:ascii="Arial" w:hAnsi="Arial" w:eastAsia="Arial" w:cs="Arial"/>
          <w:i/>
          <w:rtl w:val="0"/>
        </w:rPr>
        <w:t>(INCC),</w:t>
      </w:r>
      <w:r>
        <w:rPr>
          <w:rFonts w:ascii="Arial" w:hAnsi="Arial" w:eastAsia="Arial" w:cs="Arial"/>
          <w:rtl w:val="0"/>
        </w:rPr>
        <w:t xml:space="preserve"> exclusivamente para as obrigações iniciadas e concluídas após a ocorrência da anualidade.</w:t>
      </w:r>
    </w:p>
    <w:p w14:paraId="000002FC">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Nos reajustes subsequentes ao primeiro, o interregno mínimo de um ano será contado a partir dos efeitos financeiros do último reajuste.</w:t>
      </w:r>
    </w:p>
    <w:p w14:paraId="000002FD">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00002FE">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Nas aferições finais, o(s) índice(s) utilizado(s) para reajuste será(ão), obrigatoriamente, o(s) definitivo(s).</w:t>
      </w:r>
    </w:p>
    <w:p w14:paraId="000002FF">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Caso o(s) índice(s) estabelecido(s) para reajustamento venha(m) a ser extinto(s) ou de qualquer forma não possa(m) mais ser utilizado(s), será(ão) adotado(s), em substituição, o(s) que vier(em) a ser determinado(s) pela legislação então em vigor.</w:t>
      </w:r>
    </w:p>
    <w:p w14:paraId="00000300">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Na ausência de previsão legal quanto ao índice substituto, as partes elegerão novo índice oficial, para reajustamento do preço do valor remanescente, por meio de termo aditivo. </w:t>
      </w:r>
    </w:p>
    <w:p w14:paraId="00000301">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O reajuste será realizado por apostilamento.</w:t>
      </w:r>
    </w:p>
    <w:p w14:paraId="00000302">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OITAVA - OBRIGAÇÕES DO CONTRATANTE (</w:t>
      </w:r>
      <w:r>
        <w:fldChar w:fldCharType="begin"/>
      </w:r>
      <w:r>
        <w:instrText xml:space="preserve"> HYPERLINK "http://www.planalto.gov.br/ccivil_03/_ato2019-2022/2021/lei/L14133.htm#art92" \h </w:instrText>
      </w:r>
      <w:r>
        <w:fldChar w:fldCharType="separate"/>
      </w:r>
      <w:r>
        <w:rPr>
          <w:rFonts w:ascii="Arial" w:hAnsi="Arial" w:eastAsia="Arial" w:cs="Arial"/>
          <w:b/>
          <w:u w:val="single"/>
          <w:rtl w:val="0"/>
        </w:rPr>
        <w:t>art. 92, X, XI e XIV</w:t>
      </w:r>
      <w:r>
        <w:rPr>
          <w:rFonts w:ascii="Arial" w:hAnsi="Arial" w:eastAsia="Arial" w:cs="Arial"/>
          <w:b/>
          <w:u w:val="single"/>
          <w:rtl w:val="0"/>
        </w:rPr>
        <w:fldChar w:fldCharType="end"/>
      </w:r>
      <w:r>
        <w:rPr>
          <w:rFonts w:ascii="Arial" w:hAnsi="Arial" w:eastAsia="Arial" w:cs="Arial"/>
          <w:b/>
          <w:rtl w:val="0"/>
        </w:rPr>
        <w:t>)</w:t>
      </w:r>
    </w:p>
    <w:p w14:paraId="00000303">
      <w:pPr>
        <w:numPr>
          <w:ilvl w:val="1"/>
          <w:numId w:val="1"/>
        </w:numPr>
        <w:spacing w:before="120" w:after="120" w:line="276" w:lineRule="auto"/>
        <w:ind w:left="0" w:firstLine="0"/>
        <w:jc w:val="both"/>
        <w:rPr>
          <w:rFonts w:ascii="Arial" w:hAnsi="Arial" w:eastAsia="Arial" w:cs="Arial"/>
          <w:b/>
        </w:rPr>
      </w:pPr>
      <w:r>
        <w:rPr>
          <w:rFonts w:ascii="Arial" w:hAnsi="Arial" w:eastAsia="Arial" w:cs="Arial"/>
          <w:rtl w:val="0"/>
        </w:rPr>
        <w:t>São obrigações do Contratante:</w:t>
      </w:r>
    </w:p>
    <w:p w14:paraId="00000304">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Exigir o cumprimento de todas as obrigações assumidas pelo Contratado, de acordo com o contrato e seus anexos;</w:t>
      </w:r>
    </w:p>
    <w:p w14:paraId="00000305">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Receber o objeto no prazo e condições estabelecidas no Termo de Referência;</w:t>
      </w:r>
    </w:p>
    <w:p w14:paraId="00000306">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Notificar o Contratado, por escrito, sobre vícios, defeitos ou incorreções verificadas no objeto fornecido, para que seja por ele substituído, reparado ou corrigido, no total ou em parte, às suas expensas;</w:t>
      </w:r>
    </w:p>
    <w:p w14:paraId="00000307">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Acompanhar e fiscalizar a execução do contrato e o cumprimento das obrigações pelo Contratado;</w:t>
      </w:r>
    </w:p>
    <w:p w14:paraId="00000308">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Efetuar o pagamento ao Contratado do valor correspondente ao fornecimento do objeto, no prazo, forma e condições estabelecidos no presente Contrato e no Termo de Referência.</w:t>
      </w:r>
    </w:p>
    <w:p w14:paraId="00000309">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Aplicar ao Contratado as sanções previstas na lei e neste Contrato; </w:t>
      </w:r>
    </w:p>
    <w:p w14:paraId="0000030A">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Cientificar a Prefeitura Municipal de Macururé para adoção das medidas cabíveis quando do descumprimento de obrigações pelo Contratado;</w:t>
      </w:r>
    </w:p>
    <w:p w14:paraId="0000030B">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000030C">
      <w:pPr>
        <w:numPr>
          <w:ilvl w:val="1"/>
          <w:numId w:val="1"/>
        </w:numPr>
        <w:spacing w:before="120" w:after="120" w:line="276" w:lineRule="auto"/>
        <w:ind w:left="0" w:firstLine="0"/>
        <w:jc w:val="both"/>
        <w:rPr>
          <w:rFonts w:ascii="Arial" w:hAnsi="Arial" w:eastAsia="Arial" w:cs="Arial"/>
          <w:b/>
        </w:rPr>
      </w:pPr>
      <w:r>
        <w:rPr>
          <w:rFonts w:ascii="Arial" w:hAnsi="Arial" w:eastAsia="Arial" w:cs="Arial"/>
          <w:rtl w:val="0"/>
        </w:rPr>
        <w:t xml:space="preserve"> A Administração terá o prazo de</w:t>
      </w:r>
      <w:r>
        <w:rPr>
          <w:rFonts w:ascii="Arial" w:hAnsi="Arial" w:eastAsia="Arial" w:cs="Arial"/>
          <w:i/>
          <w:rtl w:val="0"/>
        </w:rPr>
        <w:t xml:space="preserve"> XXXXXXX</w:t>
      </w:r>
      <w:r>
        <w:rPr>
          <w:rFonts w:ascii="Arial" w:hAnsi="Arial" w:eastAsia="Arial" w:cs="Arial"/>
          <w:rtl w:val="0"/>
        </w:rPr>
        <w:t xml:space="preserve">, a contar da data do protocolo do requerimento para decidir, admitida a prorrogação motivada, por igual período. </w:t>
      </w:r>
    </w:p>
    <w:p w14:paraId="0000030D">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Responder eventuais pedidos de reestabelecimento do equilíbrio econômico-financeiro feitos pelo contratado no prazo máximo de XXXXXX.</w:t>
      </w:r>
    </w:p>
    <w:p w14:paraId="0000030E">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Notificar os emitentes das garantias quanto ao início de processo administrativo para apuração de descumprimento de cláusulas contratuais.</w:t>
      </w:r>
    </w:p>
    <w:p w14:paraId="0000030F">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000310">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NONA - OBRIGAÇÕES DO CONTRATADO (</w:t>
      </w:r>
      <w:r>
        <w:fldChar w:fldCharType="begin"/>
      </w:r>
      <w:r>
        <w:instrText xml:space="preserve"> HYPERLINK "http://www.planalto.gov.br/ccivil_03/_ato2019-2022/2021/lei/L14133.htm#art92" \h </w:instrText>
      </w:r>
      <w:r>
        <w:fldChar w:fldCharType="separate"/>
      </w:r>
      <w:r>
        <w:rPr>
          <w:rFonts w:ascii="Arial" w:hAnsi="Arial" w:eastAsia="Arial" w:cs="Arial"/>
          <w:b/>
          <w:u w:val="single"/>
          <w:rtl w:val="0"/>
        </w:rPr>
        <w:t>art. 92, XIV, XVI e XVII)</w:t>
      </w:r>
      <w:r>
        <w:rPr>
          <w:rFonts w:ascii="Arial" w:hAnsi="Arial" w:eastAsia="Arial" w:cs="Arial"/>
          <w:b/>
          <w:u w:val="single"/>
          <w:rtl w:val="0"/>
        </w:rPr>
        <w:fldChar w:fldCharType="end"/>
      </w:r>
    </w:p>
    <w:p w14:paraId="00000311">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0000312">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Entregar o objeto conforme especificações contratadas;</w:t>
      </w:r>
    </w:p>
    <w:p w14:paraId="00000313">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Responsabilizar-se pelos vícios e danos decorrentes do objeto, de acordo com o Código de Defesa do Consumidor (</w:t>
      </w:r>
      <w:r>
        <w:fldChar w:fldCharType="begin"/>
      </w:r>
      <w:r>
        <w:instrText xml:space="preserve"> HYPERLINK "https://www.planalto.gov.br/ccivil_03/leis/l8078compilado.htm" \h </w:instrText>
      </w:r>
      <w:r>
        <w:fldChar w:fldCharType="separate"/>
      </w:r>
      <w:r>
        <w:rPr>
          <w:rFonts w:ascii="Arial" w:hAnsi="Arial" w:eastAsia="Arial" w:cs="Arial"/>
          <w:u w:val="single"/>
          <w:rtl w:val="0"/>
        </w:rPr>
        <w:t>Lei nº 8.078, de 1990</w:t>
      </w:r>
      <w:r>
        <w:rPr>
          <w:rFonts w:ascii="Arial" w:hAnsi="Arial" w:eastAsia="Arial" w:cs="Arial"/>
          <w:u w:val="single"/>
          <w:rtl w:val="0"/>
        </w:rPr>
        <w:fldChar w:fldCharType="end"/>
      </w:r>
      <w:r>
        <w:rPr>
          <w:rFonts w:ascii="Arial" w:hAnsi="Arial" w:eastAsia="Arial" w:cs="Arial"/>
          <w:rtl w:val="0"/>
        </w:rPr>
        <w:t>);</w:t>
      </w:r>
    </w:p>
    <w:p w14:paraId="00000314">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Comunicar ao contratante, no prazo máximo de 24 (vinte e quatro) horas que antecede a data da entrega, os motivos que impossibilitem o cumprimento do prazo previsto, com a devida comprovação;</w:t>
      </w:r>
    </w:p>
    <w:p w14:paraId="00000315">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Atender às determinações regulares emitidas pelo fiscal ou gestor do contrato ou autoridade superior (</w:t>
      </w:r>
      <w:r>
        <w:fldChar w:fldCharType="begin"/>
      </w:r>
      <w:r>
        <w:instrText xml:space="preserve"> HYPERLINK "http://www.planalto.gov.br/ccivil_03/_ato2019-2022/2021/lei/L14133.htm#art137" \h </w:instrText>
      </w:r>
      <w:r>
        <w:fldChar w:fldCharType="separate"/>
      </w:r>
      <w:r>
        <w:rPr>
          <w:rFonts w:ascii="Arial" w:hAnsi="Arial" w:eastAsia="Arial" w:cs="Arial"/>
          <w:u w:val="single"/>
          <w:rtl w:val="0"/>
        </w:rPr>
        <w:t>art. 137, II, da Lei n.º 14.133, de 2021</w:t>
      </w:r>
      <w:r>
        <w:rPr>
          <w:rFonts w:ascii="Arial" w:hAnsi="Arial" w:eastAsia="Arial" w:cs="Arial"/>
          <w:u w:val="single"/>
          <w:rtl w:val="0"/>
        </w:rPr>
        <w:fldChar w:fldCharType="end"/>
      </w:r>
      <w:r>
        <w:rPr>
          <w:rFonts w:ascii="Arial" w:hAnsi="Arial" w:eastAsia="Arial" w:cs="Arial"/>
          <w:rtl w:val="0"/>
        </w:rPr>
        <w:t>) e prestar todo esclarecimento ou informação por eles solicitados;</w:t>
      </w:r>
    </w:p>
    <w:p w14:paraId="00000316">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0000317">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0000318">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0000319">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00031A">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Comunicar ao Fiscal do contrato, no prazo de 24 (vinte e quatro) horas, qualquer ocorrência anormal ou acidente que se verifique no local da execução do objeto contratual.</w:t>
      </w:r>
    </w:p>
    <w:p w14:paraId="0000031B">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Paralisar, por determinação do contratante, qualquer atividade que não esteja sendo executada de acordo com a boa técnica ou que ponha em risco a segurança de pessoas ou bens de terceiros.</w:t>
      </w:r>
    </w:p>
    <w:p w14:paraId="0000031C">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Manter durante toda a vigência do contrato, em compatibilidade com as obrigações assumidas, todas as condições exigidas para habilitação na licitação; </w:t>
      </w:r>
    </w:p>
    <w:p w14:paraId="0000031D">
      <w:pPr>
        <w:numPr>
          <w:ilvl w:val="1"/>
          <w:numId w:val="1"/>
        </w:numPr>
        <w:spacing w:before="120" w:after="120" w:line="276" w:lineRule="auto"/>
        <w:ind w:left="0" w:firstLine="0"/>
        <w:jc w:val="both"/>
        <w:rPr>
          <w:rFonts w:ascii="Arial" w:hAnsi="Arial" w:eastAsia="Arial" w:cs="Arial"/>
          <w:b/>
        </w:rPr>
      </w:pPr>
      <w:r>
        <w:rPr>
          <w:rFonts w:ascii="Arial" w:hAnsi="Arial" w:eastAsia="Arial" w:cs="Arial"/>
          <w:rtl w:val="0"/>
        </w:rPr>
        <w:t>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"http://www.planalto.gov.br/ccivil_03/_ato2019-2022/2021/lei/L14133.htm#art116" \h </w:instrText>
      </w:r>
      <w:r>
        <w:fldChar w:fldCharType="separate"/>
      </w:r>
      <w:r>
        <w:rPr>
          <w:rFonts w:ascii="Arial" w:hAnsi="Arial" w:eastAsia="Arial" w:cs="Arial"/>
          <w:u w:val="single"/>
          <w:rtl w:val="0"/>
        </w:rPr>
        <w:t>art. 116, da Lei n.º 14.133, de 2021</w:t>
      </w:r>
      <w:r>
        <w:rPr>
          <w:rFonts w:ascii="Arial" w:hAnsi="Arial" w:eastAsia="Arial" w:cs="Arial"/>
          <w:u w:val="single"/>
          <w:rtl w:val="0"/>
        </w:rPr>
        <w:fldChar w:fldCharType="end"/>
      </w:r>
      <w:r>
        <w:rPr>
          <w:rFonts w:ascii="Arial" w:hAnsi="Arial" w:eastAsia="Arial" w:cs="Arial"/>
          <w:rtl w:val="0"/>
        </w:rPr>
        <w:t>);</w:t>
      </w:r>
    </w:p>
    <w:p w14:paraId="0000031E">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"http://www.planalto.gov.br/ccivil_03/_ato2019-2022/2021/lei/L14133.htm#art116" \h </w:instrText>
      </w:r>
      <w:r>
        <w:fldChar w:fldCharType="separate"/>
      </w:r>
      <w:r>
        <w:rPr>
          <w:rFonts w:ascii="Arial" w:hAnsi="Arial" w:eastAsia="Arial" w:cs="Arial"/>
          <w:u w:val="single"/>
          <w:rtl w:val="0"/>
        </w:rPr>
        <w:t>art. 116, parágrafo único, da Lei n.º 14.133, de 2021</w:t>
      </w:r>
      <w:r>
        <w:rPr>
          <w:rFonts w:ascii="Arial" w:hAnsi="Arial" w:eastAsia="Arial" w:cs="Arial"/>
          <w:u w:val="single"/>
          <w:rtl w:val="0"/>
        </w:rPr>
        <w:fldChar w:fldCharType="end"/>
      </w:r>
      <w:r>
        <w:rPr>
          <w:rFonts w:ascii="Arial" w:hAnsi="Arial" w:eastAsia="Arial" w:cs="Arial"/>
          <w:rtl w:val="0"/>
        </w:rPr>
        <w:t>);</w:t>
      </w:r>
    </w:p>
    <w:p w14:paraId="0000031F">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  Guardar sigilo sobre todas as informações obtidas em decorrência do cumprimento do contrato; </w:t>
      </w:r>
    </w:p>
    <w:p w14:paraId="00000320">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instrText xml:space="preserve"> HYPERLINK "http://www.planalto.gov.br/ccivil_03/_ato2019-2022/2021/lei/L14133.htm#art124" \h </w:instrText>
      </w:r>
      <w:r>
        <w:fldChar w:fldCharType="separate"/>
      </w:r>
      <w:r>
        <w:rPr>
          <w:rFonts w:ascii="Arial" w:hAnsi="Arial" w:eastAsia="Arial" w:cs="Arial"/>
          <w:u w:val="single"/>
          <w:rtl w:val="0"/>
        </w:rPr>
        <w:t>art. 124, II, d, da Lei nº 14.133, de 2021.</w:t>
      </w:r>
      <w:r>
        <w:rPr>
          <w:rFonts w:ascii="Arial" w:hAnsi="Arial" w:eastAsia="Arial" w:cs="Arial"/>
          <w:u w:val="single"/>
          <w:rtl w:val="0"/>
        </w:rPr>
        <w:fldChar w:fldCharType="end"/>
      </w:r>
    </w:p>
    <w:p w14:paraId="00000321">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Cumprir, além dos postulados legais vigentes de âmbito federal, estadual ou municipal, as normas de segurança do contratante;</w:t>
      </w:r>
    </w:p>
    <w:p w14:paraId="00000322">
      <w:pPr>
        <w:numPr>
          <w:ilvl w:val="1"/>
          <w:numId w:val="1"/>
        </w:numPr>
        <w:spacing w:before="120" w:after="120" w:line="276" w:lineRule="auto"/>
        <w:ind w:left="0" w:firstLine="0"/>
        <w:jc w:val="both"/>
        <w:rPr>
          <w:rFonts w:ascii="Arial" w:hAnsi="Arial" w:eastAsia="Arial" w:cs="Arial"/>
          <w:i/>
        </w:rPr>
      </w:pPr>
      <w:bookmarkStart w:id="58" w:name="_heading=h.fb3wazprvbg5" w:colFirst="0" w:colLast="0"/>
      <w:bookmarkEnd w:id="58"/>
      <w:r>
        <w:rPr>
          <w:rFonts w:ascii="Arial" w:hAnsi="Arial" w:eastAsia="Arial" w:cs="Arial"/>
          <w:i/>
          <w:rtl w:val="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0000323">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Orientar e treinar seus empregados sobre os deveres previstos na Lei nº 13.709, de 14 de agosto de 2018, adotando medidas eficazes para proteção de dados pessoais a que tenha acesso por força da execução deste contrato;</w:t>
      </w:r>
    </w:p>
    <w:p w14:paraId="00000324">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00000325">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Submeter previamente, por escrito, ao contratante, para análise e aprovação, quaisquer mudanças nos métodos executivos que fujam às especificações do memorial descritivo ou instrumento congênere.</w:t>
      </w:r>
    </w:p>
    <w:p w14:paraId="00000326">
      <w:pPr>
        <w:numPr>
          <w:ilvl w:val="1"/>
          <w:numId w:val="1"/>
        </w:numPr>
        <w:spacing w:before="120" w:after="120" w:line="276" w:lineRule="auto"/>
        <w:ind w:left="0" w:firstLine="0"/>
        <w:jc w:val="both"/>
        <w:rPr>
          <w:rFonts w:ascii="Arial" w:hAnsi="Arial" w:eastAsia="Arial" w:cs="Arial"/>
          <w:i/>
        </w:rPr>
      </w:pPr>
      <w:bookmarkStart w:id="59" w:name="_heading=h.b3rxunrjc5sj" w:colFirst="0" w:colLast="0"/>
      <w:bookmarkEnd w:id="59"/>
      <w:r>
        <w:rPr>
          <w:rFonts w:ascii="Arial" w:hAnsi="Arial" w:eastAsia="Arial" w:cs="Arial"/>
          <w:i/>
          <w:rtl w:val="0"/>
        </w:rPr>
        <w:t>Não permitir a utilização de qualquer trabalho do menor de dezesseis anos, exceto na condição de aprendiz para os maiores de quatorze anos, nem permitir a utilização do trabalho do menor de dezoito anos em trabalho noturno, perigoso ou insalubre.</w:t>
      </w:r>
    </w:p>
    <w:p w14:paraId="00000327">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DÉCIMA– GARANTIA DE EXECUÇÃO (</w:t>
      </w:r>
      <w:r>
        <w:fldChar w:fldCharType="begin"/>
      </w:r>
      <w:r>
        <w:instrText xml:space="preserve"> HYPERLINK "http://www.planalto.gov.br/ccivil_03/_ato2019-2022/2021/lei/L14133.htm#art92" \h </w:instrText>
      </w:r>
      <w:r>
        <w:fldChar w:fldCharType="separate"/>
      </w:r>
      <w:r>
        <w:rPr>
          <w:rFonts w:ascii="Arial" w:hAnsi="Arial" w:eastAsia="Arial" w:cs="Arial"/>
          <w:b/>
          <w:u w:val="single"/>
          <w:rtl w:val="0"/>
        </w:rPr>
        <w:t>art. 92, XII</w:t>
      </w:r>
      <w:r>
        <w:rPr>
          <w:rFonts w:ascii="Arial" w:hAnsi="Arial" w:eastAsia="Arial" w:cs="Arial"/>
          <w:b/>
          <w:u w:val="single"/>
          <w:rtl w:val="0"/>
        </w:rPr>
        <w:fldChar w:fldCharType="end"/>
      </w:r>
      <w:r>
        <w:rPr>
          <w:rFonts w:ascii="Arial" w:hAnsi="Arial" w:eastAsia="Arial" w:cs="Arial"/>
          <w:b/>
          <w:rtl w:val="0"/>
        </w:rPr>
        <w:t>)</w:t>
      </w:r>
    </w:p>
    <w:p w14:paraId="00000328">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 xml:space="preserve">  Não haverá exigência de garantia contratual da execução.</w:t>
      </w:r>
    </w:p>
    <w:p w14:paraId="00000329">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DÉCIMA PRIMEIRA – INFRAÇÕES E SANÇÕES ADMINISTRATIVAS (</w:t>
      </w:r>
      <w:r>
        <w:fldChar w:fldCharType="begin"/>
      </w:r>
      <w:r>
        <w:instrText xml:space="preserve"> HYPERLINK "http://www.planalto.gov.br/ccivil_03/_ato2019-2022/2021/lei/L14133.htm#art92" \h </w:instrText>
      </w:r>
      <w:r>
        <w:fldChar w:fldCharType="separate"/>
      </w:r>
      <w:r>
        <w:rPr>
          <w:rFonts w:ascii="Arial" w:hAnsi="Arial" w:eastAsia="Arial" w:cs="Arial"/>
          <w:b/>
          <w:u w:val="single"/>
          <w:rtl w:val="0"/>
        </w:rPr>
        <w:t>art. 92, XIV</w:t>
      </w:r>
      <w:r>
        <w:rPr>
          <w:rFonts w:ascii="Arial" w:hAnsi="Arial" w:eastAsia="Arial" w:cs="Arial"/>
          <w:b/>
          <w:u w:val="single"/>
          <w:rtl w:val="0"/>
        </w:rPr>
        <w:fldChar w:fldCharType="end"/>
      </w:r>
      <w:r>
        <w:rPr>
          <w:rFonts w:ascii="Arial" w:hAnsi="Arial" w:eastAsia="Arial" w:cs="Arial"/>
          <w:b/>
          <w:rtl w:val="0"/>
        </w:rPr>
        <w:t>)</w:t>
      </w:r>
    </w:p>
    <w:p w14:paraId="0000032A">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Comete infração administrativa, nos termos da </w:t>
      </w:r>
      <w:r>
        <w:fldChar w:fldCharType="begin"/>
      </w:r>
      <w:r>
        <w:instrText xml:space="preserve"> HYPERLINK "http://www.planalto.gov.br/ccivil_03/_ato2019-2022/2021/lei/L14133.htm" \h </w:instrText>
      </w:r>
      <w:r>
        <w:fldChar w:fldCharType="separate"/>
      </w:r>
      <w:r>
        <w:rPr>
          <w:rFonts w:ascii="Arial" w:hAnsi="Arial" w:eastAsia="Arial" w:cs="Arial"/>
          <w:u w:val="single"/>
          <w:rtl w:val="0"/>
        </w:rPr>
        <w:t>Lei nº 14.133, de 2021</w:t>
      </w:r>
      <w:r>
        <w:rPr>
          <w:rFonts w:ascii="Arial" w:hAnsi="Arial" w:eastAsia="Arial" w:cs="Arial"/>
          <w:u w:val="single"/>
          <w:rtl w:val="0"/>
        </w:rPr>
        <w:fldChar w:fldCharType="end"/>
      </w:r>
      <w:r>
        <w:rPr>
          <w:rFonts w:ascii="Arial" w:hAnsi="Arial" w:eastAsia="Arial" w:cs="Arial"/>
          <w:rtl w:val="0"/>
        </w:rPr>
        <w:t>, o contratado que:</w:t>
      </w:r>
    </w:p>
    <w:p w14:paraId="0000032B">
      <w:pPr>
        <w:numPr>
          <w:ilvl w:val="2"/>
          <w:numId w:val="6"/>
        </w:numPr>
        <w:spacing w:before="120" w:after="120" w:line="276" w:lineRule="auto"/>
        <w:ind w:left="284" w:firstLine="0"/>
        <w:jc w:val="both"/>
        <w:rPr>
          <w:rFonts w:ascii="Arial" w:hAnsi="Arial" w:eastAsia="Arial" w:cs="Arial"/>
        </w:rPr>
      </w:pPr>
      <w:r>
        <w:rPr>
          <w:rFonts w:ascii="Arial" w:hAnsi="Arial" w:eastAsia="Arial" w:cs="Arial"/>
          <w:rtl w:val="0"/>
        </w:rPr>
        <w:t>der causa à inexecução parcial do contrato;</w:t>
      </w:r>
    </w:p>
    <w:p w14:paraId="0000032C">
      <w:pPr>
        <w:numPr>
          <w:ilvl w:val="2"/>
          <w:numId w:val="6"/>
        </w:numPr>
        <w:spacing w:before="120" w:after="120" w:line="276" w:lineRule="auto"/>
        <w:ind w:left="284" w:firstLine="0"/>
        <w:jc w:val="both"/>
        <w:rPr>
          <w:rFonts w:ascii="Arial" w:hAnsi="Arial" w:eastAsia="Arial" w:cs="Arial"/>
        </w:rPr>
      </w:pPr>
      <w:r>
        <w:rPr>
          <w:rFonts w:ascii="Arial" w:hAnsi="Arial" w:eastAsia="Arial" w:cs="Arial"/>
          <w:rtl w:val="0"/>
        </w:rPr>
        <w:t>der causa à inexecução parcial do contrato que cause grave dano à Administração ou ao funcionamento dos serviços públicos ou ao interesse coletivo;</w:t>
      </w:r>
    </w:p>
    <w:p w14:paraId="0000032D">
      <w:pPr>
        <w:numPr>
          <w:ilvl w:val="2"/>
          <w:numId w:val="6"/>
        </w:numPr>
        <w:spacing w:before="120" w:after="120" w:line="276" w:lineRule="auto"/>
        <w:ind w:left="284" w:firstLine="0"/>
        <w:jc w:val="both"/>
        <w:rPr>
          <w:rFonts w:ascii="Arial" w:hAnsi="Arial" w:eastAsia="Arial" w:cs="Arial"/>
        </w:rPr>
      </w:pPr>
      <w:r>
        <w:rPr>
          <w:rFonts w:ascii="Arial" w:hAnsi="Arial" w:eastAsia="Arial" w:cs="Arial"/>
          <w:rtl w:val="0"/>
        </w:rPr>
        <w:t>der causa à inexecução total do contrato;</w:t>
      </w:r>
    </w:p>
    <w:p w14:paraId="0000032E">
      <w:pPr>
        <w:numPr>
          <w:ilvl w:val="2"/>
          <w:numId w:val="6"/>
        </w:numPr>
        <w:spacing w:before="120" w:after="120" w:line="276" w:lineRule="auto"/>
        <w:ind w:left="284" w:firstLine="0"/>
        <w:jc w:val="both"/>
        <w:rPr>
          <w:rFonts w:ascii="Arial" w:hAnsi="Arial" w:eastAsia="Arial" w:cs="Arial"/>
        </w:rPr>
      </w:pPr>
      <w:r>
        <w:rPr>
          <w:rFonts w:ascii="Arial" w:hAnsi="Arial" w:eastAsia="Arial" w:cs="Arial"/>
          <w:rtl w:val="0"/>
        </w:rPr>
        <w:t>ensejar o retardamento da execução ou da entrega do objeto da contratação sem motivo justificado;</w:t>
      </w:r>
    </w:p>
    <w:p w14:paraId="0000032F">
      <w:pPr>
        <w:numPr>
          <w:ilvl w:val="2"/>
          <w:numId w:val="6"/>
        </w:numPr>
        <w:spacing w:before="120" w:after="120" w:line="276" w:lineRule="auto"/>
        <w:ind w:left="284" w:firstLine="0"/>
        <w:jc w:val="both"/>
        <w:rPr>
          <w:rFonts w:ascii="Arial" w:hAnsi="Arial" w:eastAsia="Arial" w:cs="Arial"/>
        </w:rPr>
      </w:pPr>
      <w:r>
        <w:rPr>
          <w:rFonts w:ascii="Arial" w:hAnsi="Arial" w:eastAsia="Arial" w:cs="Arial"/>
          <w:rtl w:val="0"/>
        </w:rPr>
        <w:t>apresentar documentação falsa ou prestar declaração falsa durante a execução do contrato;</w:t>
      </w:r>
    </w:p>
    <w:p w14:paraId="00000330">
      <w:pPr>
        <w:numPr>
          <w:ilvl w:val="2"/>
          <w:numId w:val="6"/>
        </w:numPr>
        <w:spacing w:before="120" w:after="120" w:line="276" w:lineRule="auto"/>
        <w:ind w:left="284" w:firstLine="0"/>
        <w:jc w:val="both"/>
        <w:rPr>
          <w:rFonts w:ascii="Arial" w:hAnsi="Arial" w:eastAsia="Arial" w:cs="Arial"/>
        </w:rPr>
      </w:pPr>
      <w:r>
        <w:rPr>
          <w:rFonts w:ascii="Arial" w:hAnsi="Arial" w:eastAsia="Arial" w:cs="Arial"/>
          <w:rtl w:val="0"/>
        </w:rPr>
        <w:t>praticar ato fraudulento na execução do contrato;</w:t>
      </w:r>
    </w:p>
    <w:p w14:paraId="00000331">
      <w:pPr>
        <w:numPr>
          <w:ilvl w:val="2"/>
          <w:numId w:val="6"/>
        </w:numPr>
        <w:spacing w:before="120" w:after="120" w:line="276" w:lineRule="auto"/>
        <w:ind w:left="284" w:firstLine="0"/>
        <w:jc w:val="both"/>
        <w:rPr>
          <w:rFonts w:ascii="Arial" w:hAnsi="Arial" w:eastAsia="Arial" w:cs="Arial"/>
        </w:rPr>
      </w:pPr>
      <w:r>
        <w:rPr>
          <w:rFonts w:ascii="Arial" w:hAnsi="Arial" w:eastAsia="Arial" w:cs="Arial"/>
          <w:rtl w:val="0"/>
        </w:rPr>
        <w:t>comportar-se de modo inidôneo ou cometer fraude de qualquer natureza;</w:t>
      </w:r>
    </w:p>
    <w:p w14:paraId="00000332">
      <w:pPr>
        <w:numPr>
          <w:ilvl w:val="2"/>
          <w:numId w:val="6"/>
        </w:numPr>
        <w:spacing w:before="120" w:after="120" w:line="276" w:lineRule="auto"/>
        <w:ind w:left="284" w:firstLine="0"/>
        <w:jc w:val="both"/>
        <w:rPr>
          <w:rFonts w:ascii="Arial" w:hAnsi="Arial" w:eastAsia="Arial" w:cs="Arial"/>
        </w:rPr>
      </w:pPr>
      <w:r>
        <w:rPr>
          <w:rFonts w:ascii="Arial" w:hAnsi="Arial" w:eastAsia="Arial" w:cs="Arial"/>
          <w:rtl w:val="0"/>
        </w:rPr>
        <w:t xml:space="preserve">praticar ato lesivo previsto no </w:t>
      </w:r>
      <w:r>
        <w:fldChar w:fldCharType="begin"/>
      </w:r>
      <w:r>
        <w:instrText xml:space="preserve"> HYPERLINK "https://www.planalto.gov.br/ccivil_03/_ato2011-2014/2013/lei/l12846.htm#art5" \h </w:instrText>
      </w:r>
      <w:r>
        <w:fldChar w:fldCharType="separate"/>
      </w:r>
      <w:r>
        <w:rPr>
          <w:rFonts w:ascii="Arial" w:hAnsi="Arial" w:eastAsia="Arial" w:cs="Arial"/>
          <w:u w:val="single"/>
          <w:rtl w:val="0"/>
        </w:rPr>
        <w:t>art. 5º da Lei nº 12.846, de 1º de agosto de 2013</w:t>
      </w:r>
      <w:r>
        <w:rPr>
          <w:rFonts w:ascii="Arial" w:hAnsi="Arial" w:eastAsia="Arial" w:cs="Arial"/>
          <w:u w:val="single"/>
          <w:rtl w:val="0"/>
        </w:rPr>
        <w:fldChar w:fldCharType="end"/>
      </w:r>
      <w:r>
        <w:rPr>
          <w:rFonts w:ascii="Arial" w:hAnsi="Arial" w:eastAsia="Arial" w:cs="Arial"/>
          <w:rtl w:val="0"/>
        </w:rPr>
        <w:t>.</w:t>
      </w:r>
    </w:p>
    <w:p w14:paraId="00000333">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Serão aplicadas ao contratado que incorrer nas infrações acima descritas as seguintes sanções:</w:t>
      </w:r>
    </w:p>
    <w:p w14:paraId="00000334">
      <w:pPr>
        <w:numPr>
          <w:ilvl w:val="0"/>
          <w:numId w:val="7"/>
        </w:numPr>
        <w:spacing w:before="120" w:after="0" w:line="276" w:lineRule="auto"/>
        <w:ind w:left="284" w:firstLine="0"/>
        <w:jc w:val="both"/>
        <w:rPr>
          <w:rFonts w:ascii="Arial" w:hAnsi="Arial" w:eastAsia="Arial" w:cs="Arial"/>
        </w:rPr>
      </w:pPr>
      <w:bookmarkStart w:id="60" w:name="_heading=h.yyy0jri6f95m" w:colFirst="0" w:colLast="0"/>
      <w:bookmarkEnd w:id="60"/>
      <w:r>
        <w:rPr>
          <w:rFonts w:ascii="Arial" w:hAnsi="Arial" w:eastAsia="Arial" w:cs="Arial"/>
          <w:b/>
          <w:rtl w:val="0"/>
        </w:rPr>
        <w:t>Advertência</w:t>
      </w:r>
      <w:r>
        <w:rPr>
          <w:rFonts w:ascii="Arial" w:hAnsi="Arial" w:eastAsia="Arial" w:cs="Arial"/>
          <w:rtl w:val="0"/>
        </w:rPr>
        <w:t>, quando o contratado der causa à inexecução parcial do contrato, sempre que não se justificar a imposição de penalidade mais grave (</w:t>
      </w:r>
      <w:r>
        <w:fldChar w:fldCharType="begin"/>
      </w:r>
      <w:r>
        <w:instrText xml:space="preserve"> HYPERLINK "http://www.planalto.gov.br/ccivil_03/_ato2019-2022/2021/lei/L14133.htm#art156%C2%A72" \h </w:instrText>
      </w:r>
      <w:r>
        <w:fldChar w:fldCharType="separate"/>
      </w:r>
      <w:r>
        <w:rPr>
          <w:rFonts w:ascii="Arial" w:hAnsi="Arial" w:eastAsia="Arial" w:cs="Arial"/>
          <w:u w:val="single"/>
          <w:rtl w:val="0"/>
        </w:rPr>
        <w:t>art. 156, §2º, da Lei nº 14.133, de 2021</w:t>
      </w:r>
      <w:r>
        <w:rPr>
          <w:rFonts w:ascii="Arial" w:hAnsi="Arial" w:eastAsia="Arial" w:cs="Arial"/>
          <w:u w:val="single"/>
          <w:rtl w:val="0"/>
        </w:rPr>
        <w:fldChar w:fldCharType="end"/>
      </w:r>
      <w:r>
        <w:rPr>
          <w:rFonts w:ascii="Arial" w:hAnsi="Arial" w:eastAsia="Arial" w:cs="Arial"/>
          <w:rtl w:val="0"/>
        </w:rPr>
        <w:t>);</w:t>
      </w:r>
    </w:p>
    <w:p w14:paraId="00000335">
      <w:pPr>
        <w:numPr>
          <w:ilvl w:val="0"/>
          <w:numId w:val="7"/>
        </w:numPr>
        <w:spacing w:before="0" w:after="0" w:line="276" w:lineRule="auto"/>
        <w:ind w:left="284" w:firstLine="0"/>
        <w:jc w:val="both"/>
        <w:rPr>
          <w:rFonts w:ascii="Arial" w:hAnsi="Arial" w:eastAsia="Arial" w:cs="Arial"/>
        </w:rPr>
      </w:pPr>
      <w:r>
        <w:rPr>
          <w:rFonts w:ascii="Arial" w:hAnsi="Arial" w:eastAsia="Arial" w:cs="Arial"/>
          <w:b/>
          <w:rtl w:val="0"/>
        </w:rPr>
        <w:t>Impedimento de licitar e contratar</w:t>
      </w:r>
      <w:r>
        <w:rPr>
          <w:rFonts w:ascii="Arial" w:hAnsi="Arial" w:eastAsia="Arial" w:cs="Arial"/>
          <w:rtl w:val="0"/>
        </w:rPr>
        <w:t>, quando praticadas as condutas descritas nas alíneas “b”, “c” e “d” do subitem acima deste Contrato, sempre que não se justificar a imposição de penalidade mais grave (</w:t>
      </w:r>
      <w:r>
        <w:fldChar w:fldCharType="begin"/>
      </w:r>
      <w:r>
        <w:instrText xml:space="preserve"> HYPERLINK "http://www.planalto.gov.br/ccivil_03/_ato2019-2022/2021/lei/L14133.htm#art156%C2%A74" \h </w:instrText>
      </w:r>
      <w:r>
        <w:fldChar w:fldCharType="separate"/>
      </w:r>
      <w:r>
        <w:rPr>
          <w:rFonts w:ascii="Arial" w:hAnsi="Arial" w:eastAsia="Arial" w:cs="Arial"/>
          <w:u w:val="single"/>
          <w:rtl w:val="0"/>
        </w:rPr>
        <w:t>art. 156, § 4º, da Lei nº 14.133, de 2021</w:t>
      </w:r>
      <w:r>
        <w:rPr>
          <w:rFonts w:ascii="Arial" w:hAnsi="Arial" w:eastAsia="Arial" w:cs="Arial"/>
          <w:u w:val="single"/>
          <w:rtl w:val="0"/>
        </w:rPr>
        <w:fldChar w:fldCharType="end"/>
      </w:r>
      <w:r>
        <w:rPr>
          <w:rFonts w:ascii="Arial" w:hAnsi="Arial" w:eastAsia="Arial" w:cs="Arial"/>
          <w:rtl w:val="0"/>
        </w:rPr>
        <w:t>);</w:t>
      </w:r>
    </w:p>
    <w:p w14:paraId="00000336">
      <w:pPr>
        <w:numPr>
          <w:ilvl w:val="0"/>
          <w:numId w:val="7"/>
        </w:numPr>
        <w:spacing w:before="0" w:after="0" w:line="276" w:lineRule="auto"/>
        <w:ind w:left="284" w:firstLine="0"/>
        <w:jc w:val="both"/>
        <w:rPr>
          <w:rFonts w:ascii="Arial" w:hAnsi="Arial" w:eastAsia="Arial" w:cs="Arial"/>
        </w:rPr>
      </w:pPr>
      <w:r>
        <w:rPr>
          <w:rFonts w:ascii="Arial" w:hAnsi="Arial" w:eastAsia="Arial" w:cs="Arial"/>
          <w:b/>
          <w:rtl w:val="0"/>
        </w:rPr>
        <w:t>Declaração de inidoneidade para licitar e contratar</w:t>
      </w:r>
      <w:r>
        <w:rPr>
          <w:rFonts w:ascii="Arial" w:hAnsi="Arial" w:eastAsia="Arial" w:cs="Arial"/>
          <w:rtl w:val="0"/>
        </w:rPr>
        <w:t>, quando praticadas as condutas descritas nas alíneas “e”, “f”, “g” e “h” do subitem acima deste Contrato, bem como nas alíneas “b”, “c” e “d”, que justifiquem a imposição de penalidade mais grave (</w:t>
      </w:r>
      <w:r>
        <w:fldChar w:fldCharType="begin"/>
      </w:r>
      <w:r>
        <w:instrText xml:space="preserve"> HYPERLINK "http://www.planalto.gov.br/ccivil_03/_ato2019-2022/2021/lei/L14133.htm#art156%C2%A75" \h </w:instrText>
      </w:r>
      <w:r>
        <w:fldChar w:fldCharType="separate"/>
      </w:r>
      <w:r>
        <w:rPr>
          <w:rFonts w:ascii="Arial" w:hAnsi="Arial" w:eastAsia="Arial" w:cs="Arial"/>
          <w:u w:val="single"/>
          <w:rtl w:val="0"/>
        </w:rPr>
        <w:t>art. 156, §5º, da Lei nº 14.133, de 2021</w:t>
      </w:r>
      <w:r>
        <w:rPr>
          <w:rFonts w:ascii="Arial" w:hAnsi="Arial" w:eastAsia="Arial" w:cs="Arial"/>
          <w:u w:val="single"/>
          <w:rtl w:val="0"/>
        </w:rPr>
        <w:fldChar w:fldCharType="end"/>
      </w:r>
      <w:r>
        <w:rPr>
          <w:rFonts w:ascii="Arial" w:hAnsi="Arial" w:eastAsia="Arial" w:cs="Arial"/>
          <w:rtl w:val="0"/>
        </w:rPr>
        <w:t>).</w:t>
      </w:r>
    </w:p>
    <w:p w14:paraId="00000337">
      <w:pPr>
        <w:numPr>
          <w:ilvl w:val="0"/>
          <w:numId w:val="7"/>
        </w:numPr>
        <w:spacing w:before="0" w:after="0" w:line="276" w:lineRule="auto"/>
        <w:ind w:left="284" w:firstLine="0"/>
        <w:jc w:val="both"/>
        <w:rPr>
          <w:rFonts w:ascii="Arial" w:hAnsi="Arial" w:eastAsia="Arial" w:cs="Arial"/>
        </w:rPr>
      </w:pPr>
      <w:r>
        <w:rPr>
          <w:rFonts w:ascii="Arial" w:hAnsi="Arial" w:eastAsia="Arial" w:cs="Arial"/>
          <w:b/>
          <w:rtl w:val="0"/>
        </w:rPr>
        <w:t>Multa:</w:t>
      </w:r>
    </w:p>
    <w:p w14:paraId="00000338">
      <w:pPr>
        <w:numPr>
          <w:ilvl w:val="1"/>
          <w:numId w:val="7"/>
        </w:numPr>
        <w:spacing w:before="0" w:after="0" w:line="276" w:lineRule="auto"/>
        <w:ind w:left="567" w:firstLine="0"/>
        <w:jc w:val="both"/>
        <w:rPr>
          <w:rFonts w:ascii="Arial" w:hAnsi="Arial" w:eastAsia="Arial" w:cs="Arial"/>
        </w:rPr>
      </w:pPr>
      <w:r>
        <w:rPr>
          <w:rFonts w:ascii="Arial" w:hAnsi="Arial" w:eastAsia="Arial" w:cs="Arial"/>
          <w:rtl w:val="0"/>
        </w:rPr>
        <w:t>Moratória de 5% (cinco por cento) por dia de atraso injustificado sobre o valor da parcela inadimplida, até o limite de 30 (trinta) dias;</w:t>
      </w:r>
    </w:p>
    <w:p w14:paraId="00000339">
      <w:pPr>
        <w:numPr>
          <w:ilvl w:val="1"/>
          <w:numId w:val="7"/>
        </w:numPr>
        <w:spacing w:before="0" w:after="0" w:line="276" w:lineRule="auto"/>
        <w:ind w:left="567" w:firstLine="0"/>
        <w:jc w:val="both"/>
        <w:rPr>
          <w:rFonts w:ascii="Arial" w:hAnsi="Arial" w:eastAsia="Arial" w:cs="Arial"/>
        </w:rPr>
      </w:pPr>
      <w:r>
        <w:rPr>
          <w:rFonts w:ascii="Arial" w:hAnsi="Arial" w:eastAsia="Arial" w:cs="Arial"/>
          <w:rtl w:val="0"/>
        </w:rPr>
        <w:t>Compensatória, para as infrações descritas nas alíneas “e” a “h” do subitem 11.1, de 5% a 50% do valor do Contrato.</w:t>
      </w:r>
    </w:p>
    <w:p w14:paraId="0000033A">
      <w:pPr>
        <w:numPr>
          <w:ilvl w:val="1"/>
          <w:numId w:val="7"/>
        </w:numPr>
        <w:spacing w:before="0" w:after="0" w:line="276" w:lineRule="auto"/>
        <w:ind w:left="567" w:firstLine="0"/>
        <w:jc w:val="both"/>
        <w:rPr>
          <w:rFonts w:ascii="Arial" w:hAnsi="Arial" w:eastAsia="Arial" w:cs="Arial"/>
        </w:rPr>
      </w:pPr>
      <w:r>
        <w:rPr>
          <w:rFonts w:ascii="Arial" w:hAnsi="Arial" w:eastAsia="Arial" w:cs="Arial"/>
          <w:rtl w:val="0"/>
        </w:rPr>
        <w:t xml:space="preserve">Compensatória, para a inexecução total do contrato prevista na alínea “c” do subitem 11.1, de 5% a 50% do valor do Contrato. </w:t>
      </w:r>
    </w:p>
    <w:p w14:paraId="0000033B">
      <w:pPr>
        <w:numPr>
          <w:ilvl w:val="1"/>
          <w:numId w:val="7"/>
        </w:numPr>
        <w:spacing w:before="0" w:after="0" w:line="276" w:lineRule="auto"/>
        <w:ind w:left="567" w:firstLine="0"/>
        <w:jc w:val="both"/>
        <w:rPr>
          <w:rFonts w:ascii="Arial" w:hAnsi="Arial" w:eastAsia="Arial" w:cs="Arial"/>
        </w:rPr>
      </w:pPr>
      <w:r>
        <w:rPr>
          <w:rFonts w:ascii="Arial" w:hAnsi="Arial" w:eastAsia="Arial" w:cs="Arial"/>
          <w:rtl w:val="0"/>
        </w:rPr>
        <w:t>Para infração descrita na alínea “b” do subitem 11.1, a multa será de 5% a 50% do valor do Contrato.</w:t>
      </w:r>
    </w:p>
    <w:p w14:paraId="0000033C">
      <w:pPr>
        <w:numPr>
          <w:ilvl w:val="1"/>
          <w:numId w:val="7"/>
        </w:numPr>
        <w:spacing w:before="0" w:after="0" w:line="276" w:lineRule="auto"/>
        <w:ind w:left="567" w:firstLine="0"/>
        <w:jc w:val="both"/>
        <w:rPr>
          <w:rFonts w:ascii="Arial" w:hAnsi="Arial" w:eastAsia="Arial" w:cs="Arial"/>
        </w:rPr>
      </w:pPr>
      <w:r>
        <w:rPr>
          <w:rFonts w:ascii="Arial" w:hAnsi="Arial" w:eastAsia="Arial" w:cs="Arial"/>
          <w:rtl w:val="0"/>
        </w:rPr>
        <w:t>Para infrações descritas na alínea “d” do subitem 11.1, a multa será de 5% a 50%   do valor do Contrato.</w:t>
      </w:r>
    </w:p>
    <w:p w14:paraId="0000033D">
      <w:pPr>
        <w:numPr>
          <w:ilvl w:val="1"/>
          <w:numId w:val="7"/>
        </w:numPr>
        <w:spacing w:before="0" w:after="0" w:line="276" w:lineRule="auto"/>
        <w:ind w:left="567" w:firstLine="0"/>
        <w:jc w:val="both"/>
        <w:rPr>
          <w:rFonts w:ascii="Arial" w:hAnsi="Arial" w:eastAsia="Arial" w:cs="Arial"/>
        </w:rPr>
      </w:pPr>
      <w:r>
        <w:rPr>
          <w:rFonts w:ascii="Arial" w:hAnsi="Arial" w:eastAsia="Arial" w:cs="Arial"/>
          <w:rtl w:val="0"/>
        </w:rPr>
        <w:t>Para a infração descrita na alínea “a” do subitem 11.1, a multa será de 5% a 50% do valor do Contrato, ressalvadas as seguintes infrações:</w:t>
      </w:r>
    </w:p>
    <w:p w14:paraId="0000033E">
      <w:pPr>
        <w:numPr>
          <w:ilvl w:val="1"/>
          <w:numId w:val="1"/>
        </w:numPr>
        <w:spacing w:before="0" w:after="120" w:line="276" w:lineRule="auto"/>
        <w:ind w:left="0" w:firstLine="0"/>
        <w:jc w:val="both"/>
        <w:rPr>
          <w:rFonts w:ascii="Arial" w:hAnsi="Arial" w:eastAsia="Arial" w:cs="Arial"/>
        </w:rPr>
      </w:pPr>
      <w:r>
        <w:rPr>
          <w:rFonts w:ascii="Arial" w:hAnsi="Arial" w:eastAsia="Arial" w:cs="Arial"/>
          <w:rtl w:val="0"/>
        </w:rPr>
        <w:t>A aplicação das sanções previstas neste Contrato não exclui, em hipótese alguma, a obrigação de reparação integral do dano causado ao Contratante (</w:t>
      </w:r>
      <w:r>
        <w:fldChar w:fldCharType="begin"/>
      </w:r>
      <w:r>
        <w:instrText xml:space="preserve"> HYPERLINK "http://www.planalto.gov.br/ccivil_03/_ato2019-2022/2021/lei/L14133.htm#art156%C2%A79" \h </w:instrText>
      </w:r>
      <w:r>
        <w:fldChar w:fldCharType="separate"/>
      </w:r>
      <w:r>
        <w:rPr>
          <w:rFonts w:ascii="Arial" w:hAnsi="Arial" w:eastAsia="Arial" w:cs="Arial"/>
          <w:u w:val="single"/>
          <w:rtl w:val="0"/>
        </w:rPr>
        <w:t>art. 156, §9º, da Lei nº 14.133, de 2021</w:t>
      </w:r>
      <w:r>
        <w:rPr>
          <w:rFonts w:ascii="Arial" w:hAnsi="Arial" w:eastAsia="Arial" w:cs="Arial"/>
          <w:u w:val="single"/>
          <w:rtl w:val="0"/>
        </w:rPr>
        <w:fldChar w:fldCharType="end"/>
      </w:r>
      <w:r>
        <w:rPr>
          <w:rFonts w:ascii="Arial" w:hAnsi="Arial" w:eastAsia="Arial" w:cs="Arial"/>
          <w:rtl w:val="0"/>
        </w:rPr>
        <w:t>)</w:t>
      </w:r>
    </w:p>
    <w:p w14:paraId="0000033F">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Todas as sanções previstas neste Contrato poderão ser aplicadas cumulativamente com a multa (</w:t>
      </w:r>
      <w:r>
        <w:fldChar w:fldCharType="begin"/>
      </w:r>
      <w:r>
        <w:instrText xml:space="preserve"> HYPERLINK "http://www.planalto.gov.br/ccivil_03/_ato2019-2022/2021/lei/L14133.htm#art156%C2%A77" \h </w:instrText>
      </w:r>
      <w:r>
        <w:fldChar w:fldCharType="separate"/>
      </w:r>
      <w:r>
        <w:rPr>
          <w:rFonts w:ascii="Arial" w:hAnsi="Arial" w:eastAsia="Arial" w:cs="Arial"/>
          <w:u w:val="single"/>
          <w:rtl w:val="0"/>
        </w:rPr>
        <w:t>art. 156, §7º, da Lei nº 14.133, de 2021</w:t>
      </w:r>
      <w:r>
        <w:rPr>
          <w:rFonts w:ascii="Arial" w:hAnsi="Arial" w:eastAsia="Arial" w:cs="Arial"/>
          <w:u w:val="single"/>
          <w:rtl w:val="0"/>
        </w:rPr>
        <w:fldChar w:fldCharType="end"/>
      </w:r>
      <w:r>
        <w:rPr>
          <w:rFonts w:ascii="Arial" w:hAnsi="Arial" w:eastAsia="Arial" w:cs="Arial"/>
          <w:rtl w:val="0"/>
        </w:rPr>
        <w:t>).</w:t>
      </w:r>
    </w:p>
    <w:p w14:paraId="00000340">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Antes da aplicação da multa será facultada a defesa do interessado no prazo de 15 (quinze) dias úteis, contado da data de sua intimação (</w:t>
      </w:r>
      <w:r>
        <w:fldChar w:fldCharType="begin"/>
      </w:r>
      <w:r>
        <w:instrText xml:space="preserve"> HYPERLINK "http://www.planalto.gov.br/ccivil_03/_ato2019-2022/2021/lei/L14133.htm#art157" \h </w:instrText>
      </w:r>
      <w:r>
        <w:fldChar w:fldCharType="separate"/>
      </w:r>
      <w:r>
        <w:rPr>
          <w:rFonts w:ascii="Arial" w:hAnsi="Arial" w:eastAsia="Arial" w:cs="Arial"/>
          <w:u w:val="single"/>
          <w:rtl w:val="0"/>
        </w:rPr>
        <w:t>art. 157, da Lei nº 14.133, de 2021</w:t>
      </w:r>
      <w:r>
        <w:rPr>
          <w:rFonts w:ascii="Arial" w:hAnsi="Arial" w:eastAsia="Arial" w:cs="Arial"/>
          <w:u w:val="single"/>
          <w:rtl w:val="0"/>
        </w:rPr>
        <w:fldChar w:fldCharType="end"/>
      </w:r>
      <w:r>
        <w:rPr>
          <w:rFonts w:ascii="Arial" w:hAnsi="Arial" w:eastAsia="Arial" w:cs="Arial"/>
          <w:rtl w:val="0"/>
        </w:rPr>
        <w:t>)</w:t>
      </w:r>
    </w:p>
    <w:p w14:paraId="00000341">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instrText xml:space="preserve"> HYPERLINK "http://www.planalto.gov.br/ccivil_03/_ato2019-2022/2021/lei/L14133.htm#art156%C2%A78" \h </w:instrText>
      </w:r>
      <w:r>
        <w:fldChar w:fldCharType="separate"/>
      </w:r>
      <w:r>
        <w:rPr>
          <w:rFonts w:ascii="Arial" w:hAnsi="Arial" w:eastAsia="Arial" w:cs="Arial"/>
          <w:u w:val="single"/>
          <w:rtl w:val="0"/>
        </w:rPr>
        <w:t>art. 156, §8º, da Lei nº 14.133, de 2021</w:t>
      </w:r>
      <w:r>
        <w:rPr>
          <w:rFonts w:ascii="Arial" w:hAnsi="Arial" w:eastAsia="Arial" w:cs="Arial"/>
          <w:u w:val="single"/>
          <w:rtl w:val="0"/>
        </w:rPr>
        <w:fldChar w:fldCharType="end"/>
      </w:r>
      <w:r>
        <w:rPr>
          <w:rFonts w:ascii="Arial" w:hAnsi="Arial" w:eastAsia="Arial" w:cs="Arial"/>
          <w:rtl w:val="0"/>
        </w:rPr>
        <w:t>).</w:t>
      </w:r>
    </w:p>
    <w:p w14:paraId="00000342">
      <w:pPr>
        <w:numPr>
          <w:ilvl w:val="2"/>
          <w:numId w:val="1"/>
        </w:numPr>
        <w:spacing w:before="120" w:after="120" w:line="276" w:lineRule="auto"/>
        <w:ind w:left="284" w:firstLine="0"/>
        <w:jc w:val="both"/>
        <w:rPr>
          <w:rFonts w:ascii="Arial" w:hAnsi="Arial" w:eastAsia="Arial" w:cs="Arial"/>
        </w:rPr>
      </w:pPr>
      <w:bookmarkStart w:id="61" w:name="_heading=h.2lwu0k9nq9js" w:colFirst="0" w:colLast="0"/>
      <w:bookmarkEnd w:id="61"/>
      <w:r>
        <w:rPr>
          <w:rFonts w:ascii="Arial" w:hAnsi="Arial" w:eastAsia="Arial" w:cs="Arial"/>
          <w:rtl w:val="0"/>
        </w:rPr>
        <w:t xml:space="preserve">Previamente ao encaminhamento à cobrança judicial, a multa poderá ser recolhida administrativamente no prazo máximo de </w:t>
      </w:r>
      <w:r>
        <w:rPr>
          <w:rFonts w:ascii="Arial" w:hAnsi="Arial" w:eastAsia="Arial" w:cs="Arial"/>
          <w:i/>
          <w:rtl w:val="0"/>
        </w:rPr>
        <w:t xml:space="preserve">30 (trinta) </w:t>
      </w:r>
      <w:r>
        <w:rPr>
          <w:rFonts w:ascii="Arial" w:hAnsi="Arial" w:eastAsia="Arial" w:cs="Arial"/>
          <w:rtl w:val="0"/>
        </w:rPr>
        <w:t>dias, a contar da data do recebimento da comunicação enviada pela autoridade competente.</w:t>
      </w:r>
    </w:p>
    <w:p w14:paraId="00000343">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A aplicação das sanções realizar-se-á em processo administrativo que assegure o contraditório e a ampla defesa ao Contratado, observando-se o procedimento previsto no </w:t>
      </w:r>
      <w:r>
        <w:rPr>
          <w:rFonts w:ascii="Arial" w:hAnsi="Arial" w:eastAsia="Arial" w:cs="Arial"/>
          <w:b/>
          <w:rtl w:val="0"/>
        </w:rPr>
        <w:t xml:space="preserve">caput </w:t>
      </w:r>
      <w:r>
        <w:rPr>
          <w:rFonts w:ascii="Arial" w:hAnsi="Arial" w:eastAsia="Arial" w:cs="Arial"/>
          <w:rtl w:val="0"/>
        </w:rPr>
        <w:t xml:space="preserve">e parágrafos do </w:t>
      </w:r>
      <w:r>
        <w:fldChar w:fldCharType="begin"/>
      </w:r>
      <w:r>
        <w:instrText xml:space="preserve"> HYPERLINK "http://www.planalto.gov.br/ccivil_03/_ato2019-2022/2021/lei/L14133.htm#art158" \h </w:instrText>
      </w:r>
      <w:r>
        <w:fldChar w:fldCharType="separate"/>
      </w:r>
      <w:r>
        <w:rPr>
          <w:rFonts w:ascii="Arial" w:hAnsi="Arial" w:eastAsia="Arial" w:cs="Arial"/>
          <w:u w:val="single"/>
          <w:rtl w:val="0"/>
        </w:rPr>
        <w:t>art. 158 da Lei nº 14.133, de 2021</w:t>
      </w:r>
      <w:r>
        <w:rPr>
          <w:rFonts w:ascii="Arial" w:hAnsi="Arial" w:eastAsia="Arial" w:cs="Arial"/>
          <w:u w:val="single"/>
          <w:rtl w:val="0"/>
        </w:rPr>
        <w:fldChar w:fldCharType="end"/>
      </w:r>
      <w:r>
        <w:rPr>
          <w:rFonts w:ascii="Arial" w:hAnsi="Arial" w:eastAsia="Arial" w:cs="Arial"/>
          <w:rtl w:val="0"/>
        </w:rPr>
        <w:t>, para as penalidades de impedimento de licitar e contratar e de declaração de inidoneidade para licitar ou contratar.</w:t>
      </w:r>
    </w:p>
    <w:p w14:paraId="00000344">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Na aplicação das sanções serão considerados (</w:t>
      </w:r>
      <w:r>
        <w:fldChar w:fldCharType="begin"/>
      </w:r>
      <w:r>
        <w:instrText xml:space="preserve"> HYPERLINK "http://www.planalto.gov.br/ccivil_03/_ato2019-2022/2021/lei/L14133.htm#art156%C2%A71" \h </w:instrText>
      </w:r>
      <w:r>
        <w:fldChar w:fldCharType="separate"/>
      </w:r>
      <w:r>
        <w:rPr>
          <w:rFonts w:ascii="Arial" w:hAnsi="Arial" w:eastAsia="Arial" w:cs="Arial"/>
          <w:u w:val="single"/>
          <w:rtl w:val="0"/>
        </w:rPr>
        <w:t>art. 156, §1º, da Lei nº 14.133, de 2021</w:t>
      </w:r>
      <w:r>
        <w:rPr>
          <w:rFonts w:ascii="Arial" w:hAnsi="Arial" w:eastAsia="Arial" w:cs="Arial"/>
          <w:u w:val="single"/>
          <w:rtl w:val="0"/>
        </w:rPr>
        <w:fldChar w:fldCharType="end"/>
      </w:r>
      <w:r>
        <w:rPr>
          <w:rFonts w:ascii="Arial" w:hAnsi="Arial" w:eastAsia="Arial" w:cs="Arial"/>
          <w:rtl w:val="0"/>
        </w:rPr>
        <w:t>):</w:t>
      </w:r>
    </w:p>
    <w:p w14:paraId="00000345">
      <w:pPr>
        <w:numPr>
          <w:ilvl w:val="0"/>
          <w:numId w:val="8"/>
        </w:numPr>
        <w:spacing w:before="120" w:after="0" w:line="276" w:lineRule="auto"/>
        <w:ind w:left="284" w:firstLine="0"/>
        <w:jc w:val="both"/>
        <w:rPr>
          <w:rFonts w:ascii="Arial" w:hAnsi="Arial" w:eastAsia="Arial" w:cs="Arial"/>
        </w:rPr>
      </w:pPr>
      <w:r>
        <w:rPr>
          <w:rFonts w:ascii="Arial" w:hAnsi="Arial" w:eastAsia="Arial" w:cs="Arial"/>
          <w:rtl w:val="0"/>
        </w:rPr>
        <w:t>a natureza e a gravidade da infração cometida;</w:t>
      </w:r>
    </w:p>
    <w:p w14:paraId="00000346">
      <w:pPr>
        <w:numPr>
          <w:ilvl w:val="0"/>
          <w:numId w:val="8"/>
        </w:numPr>
        <w:spacing w:before="0" w:after="0" w:line="276" w:lineRule="auto"/>
        <w:ind w:left="284" w:firstLine="0"/>
        <w:jc w:val="both"/>
        <w:rPr>
          <w:rFonts w:ascii="Arial" w:hAnsi="Arial" w:eastAsia="Arial" w:cs="Arial"/>
        </w:rPr>
      </w:pPr>
      <w:r>
        <w:rPr>
          <w:rFonts w:ascii="Arial" w:hAnsi="Arial" w:eastAsia="Arial" w:cs="Arial"/>
          <w:rtl w:val="0"/>
        </w:rPr>
        <w:t>as peculiaridades do caso concreto;</w:t>
      </w:r>
    </w:p>
    <w:p w14:paraId="00000347">
      <w:pPr>
        <w:numPr>
          <w:ilvl w:val="0"/>
          <w:numId w:val="8"/>
        </w:numPr>
        <w:spacing w:before="0" w:after="0" w:line="276" w:lineRule="auto"/>
        <w:ind w:left="284" w:firstLine="0"/>
        <w:jc w:val="both"/>
        <w:rPr>
          <w:rFonts w:ascii="Arial" w:hAnsi="Arial" w:eastAsia="Arial" w:cs="Arial"/>
        </w:rPr>
      </w:pPr>
      <w:r>
        <w:rPr>
          <w:rFonts w:ascii="Arial" w:hAnsi="Arial" w:eastAsia="Arial" w:cs="Arial"/>
          <w:rtl w:val="0"/>
        </w:rPr>
        <w:t>as circunstâncias agravantes ou atenuantes;</w:t>
      </w:r>
    </w:p>
    <w:p w14:paraId="00000348">
      <w:pPr>
        <w:numPr>
          <w:ilvl w:val="0"/>
          <w:numId w:val="8"/>
        </w:numPr>
        <w:spacing w:before="0" w:after="0" w:line="276" w:lineRule="auto"/>
        <w:ind w:left="284" w:firstLine="0"/>
        <w:jc w:val="both"/>
        <w:rPr>
          <w:rFonts w:ascii="Arial" w:hAnsi="Arial" w:eastAsia="Arial" w:cs="Arial"/>
        </w:rPr>
      </w:pPr>
      <w:r>
        <w:rPr>
          <w:rFonts w:ascii="Arial" w:hAnsi="Arial" w:eastAsia="Arial" w:cs="Arial"/>
          <w:rtl w:val="0"/>
        </w:rPr>
        <w:t>os danos que dela provierem para o Contratante;</w:t>
      </w:r>
    </w:p>
    <w:p w14:paraId="00000349">
      <w:pPr>
        <w:numPr>
          <w:ilvl w:val="0"/>
          <w:numId w:val="8"/>
        </w:numPr>
        <w:spacing w:before="0" w:after="0" w:line="276" w:lineRule="auto"/>
        <w:ind w:left="284" w:firstLine="0"/>
        <w:jc w:val="both"/>
        <w:rPr>
          <w:rFonts w:ascii="Arial" w:hAnsi="Arial" w:eastAsia="Arial" w:cs="Arial"/>
        </w:rPr>
      </w:pPr>
      <w:r>
        <w:rPr>
          <w:rFonts w:ascii="Arial" w:hAnsi="Arial" w:eastAsia="Arial" w:cs="Arial"/>
          <w:rtl w:val="0"/>
        </w:rPr>
        <w:t>a implantação ou o aperfeiçoamento de programa de integridade, conforme normas e orientações dos órgãos de controle.</w:t>
      </w:r>
    </w:p>
    <w:p w14:paraId="0000034A">
      <w:pPr>
        <w:numPr>
          <w:ilvl w:val="1"/>
          <w:numId w:val="1"/>
        </w:numPr>
        <w:spacing w:before="0" w:after="120" w:line="276" w:lineRule="auto"/>
        <w:ind w:left="0" w:firstLine="0"/>
        <w:jc w:val="both"/>
        <w:rPr>
          <w:rFonts w:ascii="Arial" w:hAnsi="Arial" w:eastAsia="Arial" w:cs="Arial"/>
        </w:rPr>
      </w:pPr>
      <w:r>
        <w:rPr>
          <w:rFonts w:ascii="Arial" w:hAnsi="Arial" w:eastAsia="Arial" w:cs="Arial"/>
          <w:rtl w:val="0"/>
        </w:rPr>
        <w:t xml:space="preserve">Os atos previstos como infrações administrativas na </w:t>
      </w:r>
      <w:r>
        <w:fldChar w:fldCharType="begin"/>
      </w:r>
      <w:r>
        <w:instrText xml:space="preserve"> HYPERLINK "http://www.planalto.gov.br/ccivil_03/_ato2019-2022/2021/lei/L14133.htm" \h </w:instrText>
      </w:r>
      <w:r>
        <w:fldChar w:fldCharType="separate"/>
      </w:r>
      <w:r>
        <w:rPr>
          <w:rFonts w:ascii="Arial" w:hAnsi="Arial" w:eastAsia="Arial" w:cs="Arial"/>
          <w:u w:val="single"/>
          <w:rtl w:val="0"/>
        </w:rPr>
        <w:t>Lei nº 14.133, de 2021</w:t>
      </w:r>
      <w:r>
        <w:rPr>
          <w:rFonts w:ascii="Arial" w:hAnsi="Arial" w:eastAsia="Arial" w:cs="Arial"/>
          <w:u w:val="single"/>
          <w:rtl w:val="0"/>
        </w:rPr>
        <w:fldChar w:fldCharType="end"/>
      </w:r>
      <w:r>
        <w:rPr>
          <w:rFonts w:ascii="Arial" w:hAnsi="Arial" w:eastAsia="Arial" w:cs="Arial"/>
          <w:rtl w:val="0"/>
        </w:rPr>
        <w:t xml:space="preserve">, ou em outras leis de licitações e contratos da Administração Pública que também sejam tipificados como atos lesivos na </w:t>
      </w:r>
      <w:r>
        <w:fldChar w:fldCharType="begin"/>
      </w:r>
      <w:r>
        <w:instrText xml:space="preserve"> HYPERLINK "https://www.planalto.gov.br/ccivil_03/_ato2011-2014/2013/lei/l12846.htm" \h </w:instrText>
      </w:r>
      <w:r>
        <w:fldChar w:fldCharType="separate"/>
      </w:r>
      <w:r>
        <w:rPr>
          <w:rFonts w:ascii="Arial" w:hAnsi="Arial" w:eastAsia="Arial" w:cs="Arial"/>
          <w:u w:val="single"/>
          <w:rtl w:val="0"/>
        </w:rPr>
        <w:t>Lei nº 12.846, de 2013</w:t>
      </w:r>
      <w:r>
        <w:rPr>
          <w:rFonts w:ascii="Arial" w:hAnsi="Arial" w:eastAsia="Arial" w:cs="Arial"/>
          <w:u w:val="single"/>
          <w:rtl w:val="0"/>
        </w:rPr>
        <w:fldChar w:fldCharType="end"/>
      </w:r>
      <w:r>
        <w:rPr>
          <w:rFonts w:ascii="Arial" w:hAnsi="Arial" w:eastAsia="Arial" w:cs="Arial"/>
          <w:rtl w:val="0"/>
        </w:rPr>
        <w:t>, serão apurados e julgados conjuntamente, nos mesmos autos, observados o rito procedimental e autoridade competente definidos na referida Lei (</w:t>
      </w:r>
      <w:r>
        <w:fldChar w:fldCharType="begin"/>
      </w:r>
      <w:r>
        <w:instrText xml:space="preserve"> HYPERLINK "http://www.planalto.gov.br/ccivil_03/_ato2019-2022/2021/lei/L14133.htm%25art159" \h </w:instrText>
      </w:r>
      <w:r>
        <w:fldChar w:fldCharType="separate"/>
      </w:r>
      <w:r>
        <w:rPr>
          <w:rFonts w:ascii="Arial" w:hAnsi="Arial" w:eastAsia="Arial" w:cs="Arial"/>
          <w:u w:val="single"/>
          <w:rtl w:val="0"/>
        </w:rPr>
        <w:t>art. 159</w:t>
      </w:r>
      <w:r>
        <w:rPr>
          <w:rFonts w:ascii="Arial" w:hAnsi="Arial" w:eastAsia="Arial" w:cs="Arial"/>
          <w:u w:val="single"/>
          <w:rtl w:val="0"/>
        </w:rPr>
        <w:fldChar w:fldCharType="end"/>
      </w:r>
      <w:r>
        <w:rPr>
          <w:rFonts w:ascii="Arial" w:hAnsi="Arial" w:eastAsia="Arial" w:cs="Arial"/>
          <w:rtl w:val="0"/>
        </w:rPr>
        <w:t>).</w:t>
      </w:r>
    </w:p>
    <w:p w14:paraId="0000034B">
      <w:pPr>
        <w:numPr>
          <w:ilvl w:val="1"/>
          <w:numId w:val="1"/>
        </w:numPr>
        <w:spacing w:before="120" w:after="120" w:line="276" w:lineRule="auto"/>
        <w:ind w:left="0" w:firstLine="0"/>
        <w:jc w:val="both"/>
        <w:rPr>
          <w:rFonts w:ascii="Arial" w:hAnsi="Arial" w:eastAsia="Arial" w:cs="Arial"/>
          <w:i/>
        </w:rPr>
      </w:pPr>
      <w:r>
        <w:rPr>
          <w:rFonts w:ascii="Arial" w:hAnsi="Arial" w:eastAsia="Arial" w:cs="Arial"/>
          <w:rtl w:val="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instrText xml:space="preserve"> HYPERLINK "http://www.planalto.gov.br/ccivil_03/_ato2019-2022/2021/lei/L14133.htm#art160" \h </w:instrText>
      </w:r>
      <w:r>
        <w:fldChar w:fldCharType="separate"/>
      </w:r>
      <w:r>
        <w:rPr>
          <w:rFonts w:ascii="Arial" w:hAnsi="Arial" w:eastAsia="Arial" w:cs="Arial"/>
          <w:u w:val="single"/>
          <w:rtl w:val="0"/>
        </w:rPr>
        <w:t>art. 160, da Lei nº 14.133, de 2021</w:t>
      </w:r>
      <w:r>
        <w:rPr>
          <w:rFonts w:ascii="Arial" w:hAnsi="Arial" w:eastAsia="Arial" w:cs="Arial"/>
          <w:u w:val="single"/>
          <w:rtl w:val="0"/>
        </w:rPr>
        <w:fldChar w:fldCharType="end"/>
      </w:r>
      <w:r>
        <w:rPr>
          <w:rFonts w:ascii="Arial" w:hAnsi="Arial" w:eastAsia="Arial" w:cs="Arial"/>
          <w:rtl w:val="0"/>
        </w:rPr>
        <w:t>).</w:t>
      </w:r>
    </w:p>
    <w:p w14:paraId="0000034C">
      <w:pPr>
        <w:numPr>
          <w:ilvl w:val="1"/>
          <w:numId w:val="1"/>
        </w:numPr>
        <w:spacing w:before="120" w:after="120" w:line="276" w:lineRule="auto"/>
        <w:ind w:left="0" w:firstLine="0"/>
        <w:jc w:val="both"/>
        <w:rPr>
          <w:rFonts w:ascii="Arial" w:hAnsi="Arial" w:eastAsia="Arial" w:cs="Arial"/>
          <w:i/>
        </w:rPr>
      </w:pPr>
      <w:r>
        <w:rPr>
          <w:rFonts w:ascii="Arial" w:hAnsi="Arial" w:eastAsia="Arial" w:cs="Arial"/>
          <w:rtl w:val="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instrText xml:space="preserve"> HYPERLINK "http://www.planalto.gov.br/ccivil_03/_ato2019-2022/2021/lei/L14133.htm#art161" \h </w:instrText>
      </w:r>
      <w:r>
        <w:fldChar w:fldCharType="separate"/>
      </w:r>
      <w:r>
        <w:rPr>
          <w:rFonts w:ascii="Arial" w:hAnsi="Arial" w:eastAsia="Arial" w:cs="Arial"/>
          <w:u w:val="single"/>
          <w:rtl w:val="0"/>
        </w:rPr>
        <w:t>Art. 161, da Lei nº 14.133, de 2021</w:t>
      </w:r>
      <w:r>
        <w:rPr>
          <w:rFonts w:ascii="Arial" w:hAnsi="Arial" w:eastAsia="Arial" w:cs="Arial"/>
          <w:u w:val="single"/>
          <w:rtl w:val="0"/>
        </w:rPr>
        <w:fldChar w:fldCharType="end"/>
      </w:r>
      <w:r>
        <w:rPr>
          <w:rFonts w:ascii="Arial" w:hAnsi="Arial" w:eastAsia="Arial" w:cs="Arial"/>
          <w:rtl w:val="0"/>
        </w:rPr>
        <w:t>).</w:t>
      </w:r>
    </w:p>
    <w:p w14:paraId="0000034D">
      <w:pPr>
        <w:numPr>
          <w:ilvl w:val="1"/>
          <w:numId w:val="1"/>
        </w:numPr>
        <w:spacing w:before="120" w:after="120" w:line="276" w:lineRule="auto"/>
        <w:ind w:left="0" w:firstLine="0"/>
        <w:jc w:val="both"/>
        <w:rPr>
          <w:rFonts w:ascii="Arial" w:hAnsi="Arial" w:eastAsia="Arial" w:cs="Arial"/>
          <w:i/>
        </w:rPr>
      </w:pPr>
      <w:r>
        <w:rPr>
          <w:rFonts w:ascii="Arial" w:hAnsi="Arial" w:eastAsia="Arial" w:cs="Arial"/>
          <w:rtl w:val="0"/>
        </w:rPr>
        <w:t xml:space="preserve">As sanções de impedimento de licitar e contratar e declaração de inidoneidade para licitar ou contratar são passíveis de reabilitação na forma do </w:t>
      </w:r>
      <w:r>
        <w:fldChar w:fldCharType="begin"/>
      </w:r>
      <w:r>
        <w:instrText xml:space="preserve"> HYPERLINK "http://www.planalto.gov.br/ccivil_03/_ato2019-2022/2021/lei/L14133.htm#163" \h </w:instrText>
      </w:r>
      <w:r>
        <w:fldChar w:fldCharType="separate"/>
      </w:r>
      <w:r>
        <w:rPr>
          <w:rFonts w:ascii="Arial" w:hAnsi="Arial" w:eastAsia="Arial" w:cs="Arial"/>
          <w:u w:val="single"/>
          <w:rtl w:val="0"/>
        </w:rPr>
        <w:t>art. 163 da Lei nº 14.133/21</w:t>
      </w:r>
      <w:r>
        <w:rPr>
          <w:rFonts w:ascii="Arial" w:hAnsi="Arial" w:eastAsia="Arial" w:cs="Arial"/>
          <w:u w:val="single"/>
          <w:rtl w:val="0"/>
        </w:rPr>
        <w:fldChar w:fldCharType="end"/>
      </w:r>
      <w:r>
        <w:rPr>
          <w:rFonts w:ascii="Arial" w:hAnsi="Arial" w:eastAsia="Arial" w:cs="Arial"/>
          <w:rtl w:val="0"/>
        </w:rPr>
        <w:t>.</w:t>
      </w:r>
    </w:p>
    <w:p w14:paraId="0000034E">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r>
        <w:fldChar w:fldCharType="begin"/>
      </w:r>
      <w:r>
        <w:instrText xml:space="preserve"> HYPERLINK "https://www.gov.br/compras/pt-br/acesso-a-informacao/legislacao/instrucoes-normativas/instrucao-normativa-seges-me-no-26-de-13-de-abril-de-2022" \h </w:instrText>
      </w:r>
      <w:r>
        <w:fldChar w:fldCharType="separate"/>
      </w:r>
      <w:r>
        <w:rPr>
          <w:rFonts w:ascii="Arial" w:hAnsi="Arial" w:eastAsia="Arial" w:cs="Arial"/>
          <w:u w:val="single"/>
          <w:rtl w:val="0"/>
        </w:rPr>
        <w:t>Normativa SEGES/ME nº 26, de 13 de abril de 2022</w:t>
      </w:r>
      <w:r>
        <w:rPr>
          <w:rFonts w:ascii="Arial" w:hAnsi="Arial" w:eastAsia="Arial" w:cs="Arial"/>
          <w:u w:val="single"/>
          <w:rtl w:val="0"/>
        </w:rPr>
        <w:fldChar w:fldCharType="end"/>
      </w:r>
      <w:r>
        <w:rPr>
          <w:rFonts w:ascii="Arial" w:hAnsi="Arial" w:eastAsia="Arial" w:cs="Arial"/>
          <w:rtl w:val="0"/>
        </w:rPr>
        <w:t xml:space="preserve">. </w:t>
      </w:r>
    </w:p>
    <w:p w14:paraId="0000034F">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DÉCIMA SEGUNDA– DA EXTINÇÃO CONTRATUAL (</w:t>
      </w:r>
      <w:r>
        <w:fldChar w:fldCharType="begin"/>
      </w:r>
      <w:r>
        <w:instrText xml:space="preserve"> HYPERLINK "http://www.planalto.gov.br/ccivil_03/_ato2019-2022/2021/lei/L14133.htm#art92" \h </w:instrText>
      </w:r>
      <w:r>
        <w:fldChar w:fldCharType="separate"/>
      </w:r>
      <w:r>
        <w:rPr>
          <w:rFonts w:ascii="Arial" w:hAnsi="Arial" w:eastAsia="Arial" w:cs="Arial"/>
          <w:b/>
          <w:u w:val="single"/>
          <w:rtl w:val="0"/>
        </w:rPr>
        <w:t>art. 92, XIX</w:t>
      </w:r>
      <w:r>
        <w:rPr>
          <w:rFonts w:ascii="Arial" w:hAnsi="Arial" w:eastAsia="Arial" w:cs="Arial"/>
          <w:b/>
          <w:u w:val="single"/>
          <w:rtl w:val="0"/>
        </w:rPr>
        <w:fldChar w:fldCharType="end"/>
      </w:r>
      <w:r>
        <w:rPr>
          <w:rFonts w:ascii="Arial" w:hAnsi="Arial" w:eastAsia="Arial" w:cs="Arial"/>
          <w:b/>
          <w:rtl w:val="0"/>
        </w:rPr>
        <w:t>)</w:t>
      </w:r>
    </w:p>
    <w:p w14:paraId="00000350">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O contrato será extinto</w:t>
      </w:r>
      <w:r>
        <w:rPr>
          <w:rFonts w:ascii="Arial" w:hAnsi="Arial" w:eastAsia="Arial" w:cs="Arial"/>
          <w:rtl w:val="0"/>
        </w:rPr>
        <w:t xml:space="preserve"> </w:t>
      </w:r>
      <w:r>
        <w:rPr>
          <w:rFonts w:ascii="Arial" w:hAnsi="Arial" w:eastAsia="Arial" w:cs="Arial"/>
          <w:i/>
          <w:rtl w:val="0"/>
        </w:rPr>
        <w:t>quando cumpridas as obrigações de ambas as partes, ainda que isso ocorra antes do prazo estipulado para tanto.</w:t>
      </w:r>
    </w:p>
    <w:p w14:paraId="00000351">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Se as obrigações não forem cumpridas no prazo estipulado, a vigência ficará prorrogada até a conclusão do objeto, caso em que deverá a Administração providenciar a readequação do cronograma fixado para o contrato.</w:t>
      </w:r>
    </w:p>
    <w:p w14:paraId="00000352">
      <w:pPr>
        <w:numPr>
          <w:ilvl w:val="2"/>
          <w:numId w:val="1"/>
        </w:numPr>
        <w:spacing w:before="120" w:after="120" w:line="276" w:lineRule="auto"/>
        <w:ind w:left="284" w:firstLine="0"/>
        <w:jc w:val="both"/>
        <w:rPr>
          <w:rFonts w:ascii="Arial" w:hAnsi="Arial" w:eastAsia="Arial" w:cs="Arial"/>
          <w:i/>
        </w:rPr>
      </w:pPr>
      <w:r>
        <w:rPr>
          <w:rFonts w:ascii="Arial" w:hAnsi="Arial" w:eastAsia="Arial" w:cs="Arial"/>
          <w:i/>
          <w:rtl w:val="0"/>
        </w:rPr>
        <w:t>Quando a não conclusão do contrato referida no item anterior decorrer de culpa do contratado:</w:t>
      </w:r>
    </w:p>
    <w:p w14:paraId="00000353">
      <w:pPr>
        <w:numPr>
          <w:ilvl w:val="0"/>
          <w:numId w:val="9"/>
        </w:numPr>
        <w:spacing w:before="120" w:after="0" w:line="312" w:lineRule="auto"/>
        <w:ind w:left="567" w:firstLine="0"/>
        <w:jc w:val="both"/>
        <w:rPr>
          <w:rFonts w:ascii="Arial" w:hAnsi="Arial" w:eastAsia="Arial" w:cs="Arial"/>
          <w:i/>
        </w:rPr>
      </w:pPr>
      <w:r>
        <w:rPr>
          <w:rFonts w:ascii="Arial" w:hAnsi="Arial" w:eastAsia="Arial" w:cs="Arial"/>
          <w:i/>
          <w:rtl w:val="0"/>
        </w:rPr>
        <w:t xml:space="preserve">ficará ele constituído em mora, sendo-lhe aplicáveis as respectivas sanções administrativas; e  </w:t>
      </w:r>
    </w:p>
    <w:p w14:paraId="00000354">
      <w:pPr>
        <w:numPr>
          <w:ilvl w:val="0"/>
          <w:numId w:val="9"/>
        </w:numPr>
        <w:spacing w:before="0" w:after="0" w:line="312" w:lineRule="auto"/>
        <w:ind w:left="567" w:firstLine="0"/>
        <w:jc w:val="both"/>
        <w:rPr>
          <w:rFonts w:ascii="Arial" w:hAnsi="Arial" w:eastAsia="Arial" w:cs="Arial"/>
          <w:i/>
        </w:rPr>
      </w:pPr>
      <w:r>
        <w:rPr>
          <w:rFonts w:ascii="Arial" w:hAnsi="Arial" w:eastAsia="Arial" w:cs="Arial"/>
          <w:i/>
          <w:rtl w:val="0"/>
        </w:rPr>
        <w:t>poderá a Administração optar pela extinção do contrato e, nesse caso, adotará as medidas admitidas em lei para a continuidade da execução contratual.</w:t>
      </w:r>
    </w:p>
    <w:p w14:paraId="00000355">
      <w:pPr>
        <w:numPr>
          <w:ilvl w:val="1"/>
          <w:numId w:val="1"/>
        </w:numPr>
        <w:spacing w:before="0" w:after="120" w:line="276" w:lineRule="auto"/>
        <w:ind w:left="0" w:firstLine="0"/>
        <w:jc w:val="both"/>
        <w:rPr>
          <w:rFonts w:ascii="Arial" w:hAnsi="Arial" w:eastAsia="Arial" w:cs="Arial"/>
        </w:rPr>
      </w:pPr>
      <w:r>
        <w:rPr>
          <w:rFonts w:ascii="Arial" w:hAnsi="Arial" w:eastAsia="Arial" w:cs="Arial"/>
          <w:rtl w:val="0"/>
        </w:rPr>
        <w:t xml:space="preserve">O contrato poderá ser extinto antes de cumpridas as obrigações nele estipuladas, ou antes do prazo nele fixado, por algum dos motivos previstos no </w:t>
      </w:r>
      <w:r>
        <w:fldChar w:fldCharType="begin"/>
      </w:r>
      <w:r>
        <w:instrText xml:space="preserve"> HYPERLINK "http://www.planalto.gov.br/ccivil_03/_ato2019-2022/2021/lei/L14133.htm#art137" \h </w:instrText>
      </w:r>
      <w:r>
        <w:fldChar w:fldCharType="separate"/>
      </w:r>
      <w:r>
        <w:rPr>
          <w:rFonts w:ascii="Arial" w:hAnsi="Arial" w:eastAsia="Arial" w:cs="Arial"/>
          <w:u w:val="single"/>
          <w:rtl w:val="0"/>
        </w:rPr>
        <w:t>artigo 137 da Lei nº 14.133/21</w:t>
      </w:r>
      <w:r>
        <w:rPr>
          <w:rFonts w:ascii="Arial" w:hAnsi="Arial" w:eastAsia="Arial" w:cs="Arial"/>
          <w:u w:val="single"/>
          <w:rtl w:val="0"/>
        </w:rPr>
        <w:fldChar w:fldCharType="end"/>
      </w:r>
      <w:r>
        <w:rPr>
          <w:rFonts w:ascii="Arial" w:hAnsi="Arial" w:eastAsia="Arial" w:cs="Arial"/>
          <w:rtl w:val="0"/>
        </w:rPr>
        <w:t>, bem como amigavelmente, assegurados o contraditório e a ampla defesa.</w:t>
      </w:r>
    </w:p>
    <w:p w14:paraId="00000356">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 xml:space="preserve">Nesta hipótese, aplicam-se também os </w:t>
      </w:r>
      <w:r>
        <w:fldChar w:fldCharType="begin"/>
      </w:r>
      <w:r>
        <w:instrText xml:space="preserve"> HYPERLINK "http://www.planalto.gov.br/ccivil_03/_ato2019-2022/2021/lei/L14133.htm#art138" \h </w:instrText>
      </w:r>
      <w:r>
        <w:fldChar w:fldCharType="separate"/>
      </w:r>
      <w:r>
        <w:rPr>
          <w:rFonts w:ascii="Arial" w:hAnsi="Arial" w:eastAsia="Arial" w:cs="Arial"/>
          <w:u w:val="single"/>
          <w:rtl w:val="0"/>
        </w:rPr>
        <w:t>artigos 138 e 139 da mesma Lei</w:t>
      </w:r>
      <w:r>
        <w:rPr>
          <w:rFonts w:ascii="Arial" w:hAnsi="Arial" w:eastAsia="Arial" w:cs="Arial"/>
          <w:u w:val="single"/>
          <w:rtl w:val="0"/>
        </w:rPr>
        <w:fldChar w:fldCharType="end"/>
      </w:r>
      <w:r>
        <w:rPr>
          <w:rFonts w:ascii="Arial" w:hAnsi="Arial" w:eastAsia="Arial" w:cs="Arial"/>
          <w:rtl w:val="0"/>
        </w:rPr>
        <w:t>.</w:t>
      </w:r>
    </w:p>
    <w:p w14:paraId="00000357">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A alteração social ou a modificação da finalidade ou da estrutura da empresa não ensejará a extinção se não restringir sua capacidade de concluir o contrato.</w:t>
      </w:r>
    </w:p>
    <w:p w14:paraId="00000358">
      <w:pPr>
        <w:numPr>
          <w:ilvl w:val="3"/>
          <w:numId w:val="1"/>
        </w:numPr>
        <w:spacing w:before="120" w:after="120" w:line="276" w:lineRule="auto"/>
        <w:ind w:left="567" w:firstLine="0"/>
        <w:jc w:val="both"/>
        <w:rPr>
          <w:rFonts w:ascii="Arial" w:hAnsi="Arial" w:eastAsia="Arial" w:cs="Arial"/>
        </w:rPr>
      </w:pPr>
      <w:r>
        <w:rPr>
          <w:rFonts w:ascii="Arial" w:hAnsi="Arial" w:eastAsia="Arial" w:cs="Arial"/>
          <w:rtl w:val="0"/>
        </w:rPr>
        <w:t>Se a operação implicar mudança da pessoa jurídica contratada, deverá ser formalizado termo aditivo para alteração subjetiva.</w:t>
      </w:r>
    </w:p>
    <w:p w14:paraId="00000359">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O termo de extinção, sempre que possível, será precedido:</w:t>
      </w:r>
    </w:p>
    <w:p w14:paraId="0000035A">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Balanço dos eventos contratuais já cumpridos ou parcialmente cumpridos;</w:t>
      </w:r>
    </w:p>
    <w:p w14:paraId="0000035B">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Relação dos pagamentos já efetuados e ainda devidos;</w:t>
      </w:r>
    </w:p>
    <w:p w14:paraId="0000035C">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Indenizações e multas.</w:t>
      </w:r>
    </w:p>
    <w:p w14:paraId="0000035D">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A extinção do contrato não configura óbice para o reconhecimento do desequilíbrio econômico-financeiro, hipótese em que será concedida indenização por meio de termo indenizatório (</w:t>
      </w:r>
      <w:r>
        <w:fldChar w:fldCharType="begin"/>
      </w:r>
      <w:r>
        <w:instrText xml:space="preserve"> HYPERLINK "http://www.planalto.gov.br/ccivil_03/_ato2019-2022/2021/lei/L14133.htm#art131" \h </w:instrText>
      </w:r>
      <w:r>
        <w:fldChar w:fldCharType="separate"/>
      </w:r>
      <w:r>
        <w:rPr>
          <w:rFonts w:ascii="Arial" w:hAnsi="Arial" w:eastAsia="Arial" w:cs="Arial"/>
          <w:u w:val="single"/>
          <w:rtl w:val="0"/>
        </w:rPr>
        <w:t xml:space="preserve">art. 131, </w:t>
      </w:r>
      <w:r>
        <w:rPr>
          <w:rFonts w:ascii="Arial" w:hAnsi="Arial" w:eastAsia="Arial" w:cs="Arial"/>
          <w:u w:val="single"/>
          <w:rtl w:val="0"/>
        </w:rPr>
        <w:fldChar w:fldCharType="end"/>
      </w:r>
      <w:r>
        <w:fldChar w:fldCharType="begin"/>
      </w:r>
      <w:r>
        <w:instrText xml:space="preserve"> HYPERLINK "http://www.planalto.gov.br/ccivil_03/_ato2019-2022/2021/lei/L14133.htm#art131" \h </w:instrText>
      </w:r>
      <w:r>
        <w:fldChar w:fldCharType="separate"/>
      </w:r>
      <w:r>
        <w:rPr>
          <w:rFonts w:ascii="Arial" w:hAnsi="Arial" w:eastAsia="Arial" w:cs="Arial"/>
          <w:i/>
          <w:u w:val="single"/>
          <w:rtl w:val="0"/>
        </w:rPr>
        <w:t xml:space="preserve">caput, </w:t>
      </w:r>
      <w:r>
        <w:rPr>
          <w:rFonts w:ascii="Arial" w:hAnsi="Arial" w:eastAsia="Arial" w:cs="Arial"/>
          <w:i/>
          <w:u w:val="single"/>
          <w:rtl w:val="0"/>
        </w:rPr>
        <w:fldChar w:fldCharType="end"/>
      </w:r>
      <w:r>
        <w:fldChar w:fldCharType="begin"/>
      </w:r>
      <w:r>
        <w:instrText xml:space="preserve"> HYPERLINK "http://www.planalto.gov.br/ccivil_03/_ato2019-2022/2021/lei/L14133.htm#art131" \h </w:instrText>
      </w:r>
      <w:r>
        <w:fldChar w:fldCharType="separate"/>
      </w:r>
      <w:r>
        <w:rPr>
          <w:rFonts w:ascii="Arial" w:hAnsi="Arial" w:eastAsia="Arial" w:cs="Arial"/>
          <w:u w:val="single"/>
          <w:rtl w:val="0"/>
        </w:rPr>
        <w:t>da Lei n.º 14.133, de 2021</w:t>
      </w:r>
      <w:r>
        <w:rPr>
          <w:rFonts w:ascii="Arial" w:hAnsi="Arial" w:eastAsia="Arial" w:cs="Arial"/>
          <w:u w:val="single"/>
          <w:rtl w:val="0"/>
        </w:rPr>
        <w:fldChar w:fldCharType="end"/>
      </w:r>
      <w:r>
        <w:rPr>
          <w:rFonts w:ascii="Arial" w:hAnsi="Arial" w:eastAsia="Arial" w:cs="Arial"/>
          <w:rtl w:val="0"/>
        </w:rPr>
        <w:t xml:space="preserve">). </w:t>
      </w:r>
    </w:p>
    <w:p w14:paraId="0000035E">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000035F">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DÉCIMA TERCEIRA – DOTAÇÃO ORÇAMENTÁRIA (</w:t>
      </w:r>
      <w:r>
        <w:fldChar w:fldCharType="begin"/>
      </w:r>
      <w:r>
        <w:instrText xml:space="preserve"> HYPERLINK "http://www.planalto.gov.br/ccivil_03/_ato2019-2022/2021/lei/L14133.htm#art92" \h </w:instrText>
      </w:r>
      <w:r>
        <w:fldChar w:fldCharType="separate"/>
      </w:r>
      <w:r>
        <w:rPr>
          <w:rFonts w:ascii="Arial" w:hAnsi="Arial" w:eastAsia="Arial" w:cs="Arial"/>
          <w:b/>
          <w:u w:val="single"/>
          <w:rtl w:val="0"/>
        </w:rPr>
        <w:t>art. 92, VIII</w:t>
      </w:r>
      <w:r>
        <w:rPr>
          <w:rFonts w:ascii="Arial" w:hAnsi="Arial" w:eastAsia="Arial" w:cs="Arial"/>
          <w:b/>
          <w:u w:val="single"/>
          <w:rtl w:val="0"/>
        </w:rPr>
        <w:fldChar w:fldCharType="end"/>
      </w:r>
      <w:r>
        <w:rPr>
          <w:rFonts w:ascii="Arial" w:hAnsi="Arial" w:eastAsia="Arial" w:cs="Arial"/>
          <w:b/>
          <w:rtl w:val="0"/>
        </w:rPr>
        <w:t>)</w:t>
      </w:r>
    </w:p>
    <w:p w14:paraId="00000360">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As despesas decorrentes da presente contratação correrão à conta de recursos específicos consignados no Orçamento Geral da União deste exercício, na dotação abaixo discriminada:</w:t>
      </w:r>
    </w:p>
    <w:p w14:paraId="00000361">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 xml:space="preserve">Gestão/Unidade: </w:t>
      </w:r>
    </w:p>
    <w:p w14:paraId="00000362">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 xml:space="preserve">Fonte de Recursos:  </w:t>
      </w:r>
    </w:p>
    <w:p w14:paraId="00000363">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 xml:space="preserve">Programa de Trabalho: </w:t>
      </w:r>
    </w:p>
    <w:p w14:paraId="00000364">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 xml:space="preserve">Elemento de Despesa: </w:t>
      </w:r>
    </w:p>
    <w:p w14:paraId="00000365">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 xml:space="preserve">Plano Interno: </w:t>
      </w:r>
    </w:p>
    <w:p w14:paraId="00000366">
      <w:pPr>
        <w:numPr>
          <w:ilvl w:val="2"/>
          <w:numId w:val="1"/>
        </w:numPr>
        <w:spacing w:before="120" w:after="120" w:line="276" w:lineRule="auto"/>
        <w:ind w:left="284" w:firstLine="0"/>
        <w:jc w:val="both"/>
        <w:rPr>
          <w:rFonts w:ascii="Arial" w:hAnsi="Arial" w:eastAsia="Arial" w:cs="Arial"/>
        </w:rPr>
      </w:pPr>
      <w:r>
        <w:rPr>
          <w:rFonts w:ascii="Arial" w:hAnsi="Arial" w:eastAsia="Arial" w:cs="Arial"/>
          <w:rtl w:val="0"/>
        </w:rPr>
        <w:t>Nota de Empenho:</w:t>
      </w:r>
    </w:p>
    <w:p w14:paraId="00000367">
      <w:pPr>
        <w:numPr>
          <w:ilvl w:val="1"/>
          <w:numId w:val="1"/>
        </w:numPr>
        <w:spacing w:before="120" w:after="120" w:line="276" w:lineRule="auto"/>
        <w:ind w:left="0" w:firstLine="0"/>
        <w:jc w:val="both"/>
        <w:rPr>
          <w:rFonts w:ascii="Arial" w:hAnsi="Arial" w:eastAsia="Arial" w:cs="Arial"/>
          <w:i/>
        </w:rPr>
      </w:pPr>
      <w:r>
        <w:rPr>
          <w:rFonts w:ascii="Arial" w:hAnsi="Arial" w:eastAsia="Arial" w:cs="Arial"/>
          <w:i/>
          <w:rtl w:val="0"/>
        </w:rPr>
        <w:t>A dotação relativa aos exercícios financeiros subsequentes será indicada após aprovação da Lei Orçamentária respectiva e liberação dos créditos correspondentes, mediante apostilamento.</w:t>
      </w:r>
    </w:p>
    <w:p w14:paraId="00000368">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DÉCIMA QUARTA – DOS CASOS OMISSOS (</w:t>
      </w:r>
      <w:r>
        <w:fldChar w:fldCharType="begin"/>
      </w:r>
      <w:r>
        <w:instrText xml:space="preserve"> HYPERLINK "http://www.planalto.gov.br/ccivil_03/_ato2019-2022/2021/lei/L14133.htm#art92" \h </w:instrText>
      </w:r>
      <w:r>
        <w:fldChar w:fldCharType="separate"/>
      </w:r>
      <w:r>
        <w:rPr>
          <w:rFonts w:ascii="Arial" w:hAnsi="Arial" w:eastAsia="Arial" w:cs="Arial"/>
          <w:b/>
          <w:u w:val="single"/>
          <w:rtl w:val="0"/>
        </w:rPr>
        <w:t>art. 92, III</w:t>
      </w:r>
      <w:r>
        <w:rPr>
          <w:rFonts w:ascii="Arial" w:hAnsi="Arial" w:eastAsia="Arial" w:cs="Arial"/>
          <w:b/>
          <w:u w:val="single"/>
          <w:rtl w:val="0"/>
        </w:rPr>
        <w:fldChar w:fldCharType="end"/>
      </w:r>
      <w:r>
        <w:rPr>
          <w:rFonts w:ascii="Arial" w:hAnsi="Arial" w:eastAsia="Arial" w:cs="Arial"/>
          <w:b/>
          <w:rtl w:val="0"/>
        </w:rPr>
        <w:t>)</w:t>
      </w:r>
    </w:p>
    <w:p w14:paraId="00000369">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Os casos omissos serão decididos pelo contratante, segundo as disposições contidas na Lei </w:t>
      </w:r>
      <w:r>
        <w:fldChar w:fldCharType="begin"/>
      </w:r>
      <w:r>
        <w:instrText xml:space="preserve"> HYPERLINK "http://www.planalto.gov.br/ccivil_03/_ato2019-2022/2021/lei/L14133.htm" \h </w:instrText>
      </w:r>
      <w:r>
        <w:fldChar w:fldCharType="separate"/>
      </w:r>
      <w:r>
        <w:rPr>
          <w:rFonts w:ascii="Arial" w:hAnsi="Arial" w:eastAsia="Arial" w:cs="Arial"/>
          <w:u w:val="single"/>
          <w:rtl w:val="0"/>
        </w:rPr>
        <w:t>nº 14.133, de 2021</w:t>
      </w:r>
      <w:r>
        <w:rPr>
          <w:rFonts w:ascii="Arial" w:hAnsi="Arial" w:eastAsia="Arial" w:cs="Arial"/>
          <w:u w:val="single"/>
          <w:rtl w:val="0"/>
        </w:rPr>
        <w:fldChar w:fldCharType="end"/>
      </w:r>
      <w:r>
        <w:rPr>
          <w:rFonts w:ascii="Arial" w:hAnsi="Arial" w:eastAsia="Arial" w:cs="Arial"/>
          <w:rtl w:val="0"/>
        </w:rPr>
        <w:t xml:space="preserve">, e demais normas federais aplicáveis e, subsidiariamente, segundo as disposições contidas na </w:t>
      </w:r>
      <w:r>
        <w:fldChar w:fldCharType="begin"/>
      </w:r>
      <w:r>
        <w:instrText xml:space="preserve"> HYPERLINK "https://www.planalto.gov.br/ccivil_03/leis/l8078compilado.htm" \h </w:instrText>
      </w:r>
      <w:r>
        <w:fldChar w:fldCharType="separate"/>
      </w:r>
      <w:r>
        <w:rPr>
          <w:rFonts w:ascii="Arial" w:hAnsi="Arial" w:eastAsia="Arial" w:cs="Arial"/>
          <w:u w:val="single"/>
          <w:rtl w:val="0"/>
        </w:rPr>
        <w:t>Lei nº 8.078, de 1990 – Código de Defesa do Consumidor</w:t>
      </w:r>
      <w:r>
        <w:rPr>
          <w:rFonts w:ascii="Arial" w:hAnsi="Arial" w:eastAsia="Arial" w:cs="Arial"/>
          <w:u w:val="single"/>
          <w:rtl w:val="0"/>
        </w:rPr>
        <w:fldChar w:fldCharType="end"/>
      </w:r>
      <w:r>
        <w:rPr>
          <w:rFonts w:ascii="Arial" w:hAnsi="Arial" w:eastAsia="Arial" w:cs="Arial"/>
          <w:rtl w:val="0"/>
        </w:rPr>
        <w:t xml:space="preserve"> – e normas e princípios gerais dos contratos.</w:t>
      </w:r>
    </w:p>
    <w:p w14:paraId="0000036A">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DÉCIMA QUINTA – ALTERAÇÕES</w:t>
      </w:r>
    </w:p>
    <w:p w14:paraId="0000036B">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Eventuais alterações contratuais reger-se-ão pela disciplina dos </w:t>
      </w:r>
      <w:r>
        <w:fldChar w:fldCharType="begin"/>
      </w:r>
      <w:r>
        <w:instrText xml:space="preserve"> HYPERLINK "http://www.planalto.gov.br/ccivil_03/_ato2019-2022/2021/lei/L14133.htm#art124" \h </w:instrText>
      </w:r>
      <w:r>
        <w:fldChar w:fldCharType="separate"/>
      </w:r>
      <w:r>
        <w:rPr>
          <w:rFonts w:ascii="Arial" w:hAnsi="Arial" w:eastAsia="Arial" w:cs="Arial"/>
          <w:u w:val="single"/>
          <w:rtl w:val="0"/>
        </w:rPr>
        <w:t>arts. 124 e seguintes da Lei nº 14.133, de 2021</w:t>
      </w:r>
      <w:r>
        <w:rPr>
          <w:rFonts w:ascii="Arial" w:hAnsi="Arial" w:eastAsia="Arial" w:cs="Arial"/>
          <w:u w:val="single"/>
          <w:rtl w:val="0"/>
        </w:rPr>
        <w:fldChar w:fldCharType="end"/>
      </w:r>
      <w:r>
        <w:rPr>
          <w:rFonts w:ascii="Arial" w:hAnsi="Arial" w:eastAsia="Arial" w:cs="Arial"/>
          <w:rtl w:val="0"/>
        </w:rPr>
        <w:t>.</w:t>
      </w:r>
    </w:p>
    <w:p w14:paraId="0000036C">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O contratado é obrigado a aceitar, nas mesmas condições contratuais, os acréscimos ou supressões que se fizerem necessários, até o limite de 25% (vinte e cinco por cento) do valor inicial atualizado do contrato.</w:t>
      </w:r>
    </w:p>
    <w:p w14:paraId="0000036D">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000036E">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Registros que não caracterizam alteração do contrato podem ser realizados por simples apostila, dispensada a celebração de termo aditivo, na forma do </w:t>
      </w:r>
      <w:r>
        <w:fldChar w:fldCharType="begin"/>
      </w:r>
      <w:r>
        <w:instrText xml:space="preserve"> HYPERLINK "http://www.planalto.gov.br/ccivil_03/_ato2019-2022/2021/lei/L14133.htm#art136" \h </w:instrText>
      </w:r>
      <w:r>
        <w:fldChar w:fldCharType="separate"/>
      </w:r>
      <w:r>
        <w:rPr>
          <w:rFonts w:ascii="Arial" w:hAnsi="Arial" w:eastAsia="Arial" w:cs="Arial"/>
          <w:u w:val="single"/>
          <w:rtl w:val="0"/>
        </w:rPr>
        <w:t>art. 136 da Lei nº 14.133, de 2021</w:t>
      </w:r>
      <w:r>
        <w:rPr>
          <w:rFonts w:ascii="Arial" w:hAnsi="Arial" w:eastAsia="Arial" w:cs="Arial"/>
          <w:u w:val="single"/>
          <w:rtl w:val="0"/>
        </w:rPr>
        <w:fldChar w:fldCharType="end"/>
      </w:r>
      <w:r>
        <w:rPr>
          <w:rFonts w:ascii="Arial" w:hAnsi="Arial" w:eastAsia="Arial" w:cs="Arial"/>
          <w:rtl w:val="0"/>
        </w:rPr>
        <w:t>.</w:t>
      </w:r>
    </w:p>
    <w:p w14:paraId="0000036F">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DÉCIMA SEXTA – PUBLICAÇÃO</w:t>
      </w:r>
    </w:p>
    <w:p w14:paraId="00000370">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Incumbirá ao contratante divulgar o presente instrumento no Portal Nacional de Contratações Públicas (PNCP), na forma prevista no </w:t>
      </w:r>
      <w:r>
        <w:fldChar w:fldCharType="begin"/>
      </w:r>
      <w:r>
        <w:instrText xml:space="preserve"> HYPERLINK "http://www.planalto.gov.br/ccivil_03/_ato2019-2022/2021/lei/L14133.htm#art94" \h </w:instrText>
      </w:r>
      <w:r>
        <w:fldChar w:fldCharType="separate"/>
      </w:r>
      <w:r>
        <w:rPr>
          <w:rFonts w:ascii="Arial" w:hAnsi="Arial" w:eastAsia="Arial" w:cs="Arial"/>
          <w:u w:val="single"/>
          <w:rtl w:val="0"/>
        </w:rPr>
        <w:t>art. 94 da Lei 14.133, de 2021</w:t>
      </w:r>
      <w:r>
        <w:rPr>
          <w:rFonts w:ascii="Arial" w:hAnsi="Arial" w:eastAsia="Arial" w:cs="Arial"/>
          <w:u w:val="single"/>
          <w:rtl w:val="0"/>
        </w:rPr>
        <w:fldChar w:fldCharType="end"/>
      </w:r>
      <w:r>
        <w:rPr>
          <w:rFonts w:ascii="Arial" w:hAnsi="Arial" w:eastAsia="Arial" w:cs="Arial"/>
          <w:rtl w:val="0"/>
        </w:rPr>
        <w:t xml:space="preserve">, bem como no respectivo sítio oficial na Internet, em atenção ao art. 91, </w:t>
      </w:r>
      <w:r>
        <w:rPr>
          <w:rFonts w:ascii="Arial" w:hAnsi="Arial" w:eastAsia="Arial" w:cs="Arial"/>
          <w:i/>
          <w:rtl w:val="0"/>
        </w:rPr>
        <w:t>caput,</w:t>
      </w:r>
      <w:r>
        <w:rPr>
          <w:rFonts w:ascii="Arial" w:hAnsi="Arial" w:eastAsia="Arial" w:cs="Arial"/>
          <w:rtl w:val="0"/>
        </w:rPr>
        <w:t xml:space="preserve"> da Lei n.º 14.133, de 2021, e ao </w:t>
      </w:r>
      <w:r>
        <w:fldChar w:fldCharType="begin"/>
      </w:r>
      <w:r>
        <w:instrText xml:space="preserve"> HYPERLINK "https://www.planalto.gov.br/ccivil_03/_ato2011-2014/2011/lei/l12527.htm#art8%C2%A72" \h </w:instrText>
      </w:r>
      <w:r>
        <w:fldChar w:fldCharType="separate"/>
      </w:r>
      <w:r>
        <w:rPr>
          <w:rFonts w:ascii="Arial" w:hAnsi="Arial" w:eastAsia="Arial" w:cs="Arial"/>
          <w:u w:val="single"/>
          <w:rtl w:val="0"/>
        </w:rPr>
        <w:t>art. 8º, §2º, da Lei n. 12.527, de 2011</w:t>
      </w:r>
      <w:r>
        <w:rPr>
          <w:rFonts w:ascii="Arial" w:hAnsi="Arial" w:eastAsia="Arial" w:cs="Arial"/>
          <w:u w:val="single"/>
          <w:rtl w:val="0"/>
        </w:rPr>
        <w:fldChar w:fldCharType="end"/>
      </w:r>
      <w:r>
        <w:rPr>
          <w:rFonts w:ascii="Arial" w:hAnsi="Arial" w:eastAsia="Arial" w:cs="Arial"/>
          <w:rtl w:val="0"/>
        </w:rPr>
        <w:t xml:space="preserve">, c/c </w:t>
      </w:r>
      <w:r>
        <w:fldChar w:fldCharType="begin"/>
      </w:r>
      <w:r>
        <w:instrText xml:space="preserve"> HYPERLINK "https://www.planalto.gov.br/ccivil_03/_ato2011-2014/2012/decreto/d7724.htm#art7%C2%A73" \h </w:instrText>
      </w:r>
      <w:r>
        <w:fldChar w:fldCharType="separate"/>
      </w:r>
      <w:r>
        <w:rPr>
          <w:rFonts w:ascii="Arial" w:hAnsi="Arial" w:eastAsia="Arial" w:cs="Arial"/>
          <w:u w:val="single"/>
          <w:rtl w:val="0"/>
        </w:rPr>
        <w:t>art. 7º, §3º, inciso V, do Decreto n. 7.724, de 2012</w:t>
      </w:r>
      <w:r>
        <w:rPr>
          <w:rFonts w:ascii="Arial" w:hAnsi="Arial" w:eastAsia="Arial" w:cs="Arial"/>
          <w:u w:val="single"/>
          <w:rtl w:val="0"/>
        </w:rPr>
        <w:fldChar w:fldCharType="end"/>
      </w:r>
      <w:r>
        <w:rPr>
          <w:rFonts w:ascii="Arial" w:hAnsi="Arial" w:eastAsia="Arial" w:cs="Arial"/>
          <w:rtl w:val="0"/>
        </w:rPr>
        <w:t>.</w:t>
      </w:r>
    </w:p>
    <w:p w14:paraId="00000371">
      <w:pPr>
        <w:keepNext/>
        <w:keepLines/>
        <w:numPr>
          <w:ilvl w:val="0"/>
          <w:numId w:val="1"/>
        </w:numPr>
        <w:tabs>
          <w:tab w:val="left" w:pos="567"/>
        </w:tabs>
        <w:spacing w:before="240"/>
        <w:ind w:left="0" w:firstLine="0"/>
        <w:jc w:val="both"/>
        <w:rPr>
          <w:rFonts w:ascii="Arial" w:hAnsi="Arial" w:eastAsia="Arial" w:cs="Arial"/>
          <w:b/>
        </w:rPr>
      </w:pPr>
      <w:r>
        <w:rPr>
          <w:rFonts w:ascii="Arial" w:hAnsi="Arial" w:eastAsia="Arial" w:cs="Arial"/>
          <w:b/>
          <w:rtl w:val="0"/>
        </w:rPr>
        <w:t>CLÁUSULA DÉCIMA SÉTIMA– FORO (</w:t>
      </w:r>
      <w:r>
        <w:fldChar w:fldCharType="begin"/>
      </w:r>
      <w:r>
        <w:instrText xml:space="preserve"> HYPERLINK "http://www.planalto.gov.br/ccivil_03/_ato2019-2022/2021/lei/L14133.htm#art92%C2%A71" \h </w:instrText>
      </w:r>
      <w:r>
        <w:fldChar w:fldCharType="separate"/>
      </w:r>
      <w:r>
        <w:rPr>
          <w:rFonts w:ascii="Arial" w:hAnsi="Arial" w:eastAsia="Arial" w:cs="Arial"/>
          <w:b/>
          <w:u w:val="single"/>
          <w:rtl w:val="0"/>
        </w:rPr>
        <w:t>art. 92, §1º</w:t>
      </w:r>
      <w:r>
        <w:rPr>
          <w:rFonts w:ascii="Arial" w:hAnsi="Arial" w:eastAsia="Arial" w:cs="Arial"/>
          <w:b/>
          <w:u w:val="single"/>
          <w:rtl w:val="0"/>
        </w:rPr>
        <w:fldChar w:fldCharType="end"/>
      </w:r>
      <w:r>
        <w:rPr>
          <w:rFonts w:ascii="Arial" w:hAnsi="Arial" w:eastAsia="Arial" w:cs="Arial"/>
          <w:b/>
          <w:rtl w:val="0"/>
        </w:rPr>
        <w:t>)</w:t>
      </w:r>
    </w:p>
    <w:p w14:paraId="00000372">
      <w:pPr>
        <w:numPr>
          <w:ilvl w:val="1"/>
          <w:numId w:val="1"/>
        </w:numPr>
        <w:spacing w:before="120" w:after="120" w:line="276" w:lineRule="auto"/>
        <w:ind w:left="0" w:firstLine="0"/>
        <w:jc w:val="both"/>
        <w:rPr>
          <w:rFonts w:ascii="Arial" w:hAnsi="Arial" w:eastAsia="Arial" w:cs="Arial"/>
        </w:rPr>
      </w:pPr>
      <w:r>
        <w:rPr>
          <w:rFonts w:ascii="Arial" w:hAnsi="Arial" w:eastAsia="Arial" w:cs="Arial"/>
          <w:rtl w:val="0"/>
        </w:rPr>
        <w:t xml:space="preserve">Fica eleito o Foro da Comarca de Chorrochó-BA, para dirimir os litígios que decorrerem da execução deste Termo de Contrato que não puderem ser compostos pela conciliação, conforme </w:t>
      </w:r>
      <w:r>
        <w:fldChar w:fldCharType="begin"/>
      </w:r>
      <w:r>
        <w:instrText xml:space="preserve"> HYPERLINK "http://www.planalto.gov.br/ccivil_03/_ato2019-2022/2021/lei/L14133.htm#art92%C2%A71" \h </w:instrText>
      </w:r>
      <w:r>
        <w:fldChar w:fldCharType="separate"/>
      </w:r>
      <w:r>
        <w:rPr>
          <w:rFonts w:ascii="Arial" w:hAnsi="Arial" w:eastAsia="Arial" w:cs="Arial"/>
          <w:u w:val="single"/>
          <w:rtl w:val="0"/>
        </w:rPr>
        <w:t>art. 92, §1º, da Lei nº 14.133/21</w:t>
      </w:r>
      <w:r>
        <w:rPr>
          <w:rFonts w:ascii="Arial" w:hAnsi="Arial" w:eastAsia="Arial" w:cs="Arial"/>
          <w:u w:val="single"/>
          <w:rtl w:val="0"/>
        </w:rPr>
        <w:fldChar w:fldCharType="end"/>
      </w:r>
      <w:r>
        <w:rPr>
          <w:rFonts w:ascii="Arial" w:hAnsi="Arial" w:eastAsia="Arial" w:cs="Arial"/>
          <w:rtl w:val="0"/>
        </w:rPr>
        <w:t>.</w:t>
      </w:r>
    </w:p>
    <w:p w14:paraId="00000373">
      <w:pPr>
        <w:spacing w:before="120" w:after="288" w:line="312" w:lineRule="auto"/>
        <w:ind w:firstLine="567"/>
        <w:jc w:val="center"/>
        <w:rPr>
          <w:rFonts w:ascii="Arial" w:hAnsi="Arial" w:eastAsia="Arial" w:cs="Arial"/>
          <w:i/>
        </w:rPr>
      </w:pPr>
    </w:p>
    <w:p w14:paraId="00000374">
      <w:pPr>
        <w:spacing w:before="120" w:after="288" w:line="312" w:lineRule="auto"/>
        <w:ind w:firstLine="567"/>
        <w:jc w:val="center"/>
        <w:rPr>
          <w:rFonts w:ascii="Arial" w:hAnsi="Arial" w:eastAsia="Arial" w:cs="Arial"/>
          <w:i/>
        </w:rPr>
      </w:pPr>
      <w:r>
        <w:rPr>
          <w:rFonts w:ascii="Arial" w:hAnsi="Arial" w:eastAsia="Arial" w:cs="Arial"/>
          <w:i/>
          <w:rtl w:val="0"/>
        </w:rPr>
        <w:t>[Local], [dia] de [mês] de [ano].</w:t>
      </w:r>
    </w:p>
    <w:p w14:paraId="00000375">
      <w:pPr>
        <w:spacing w:before="120" w:after="288" w:line="312" w:lineRule="auto"/>
        <w:ind w:firstLine="567"/>
        <w:jc w:val="center"/>
        <w:rPr>
          <w:rFonts w:ascii="Arial" w:hAnsi="Arial" w:eastAsia="Arial" w:cs="Arial"/>
        </w:rPr>
      </w:pPr>
      <w:r>
        <w:rPr>
          <w:rFonts w:ascii="Arial" w:hAnsi="Arial" w:eastAsia="Arial" w:cs="Arial"/>
          <w:rtl w:val="0"/>
        </w:rPr>
        <w:t>_________________________</w:t>
      </w:r>
    </w:p>
    <w:p w14:paraId="00000376">
      <w:pPr>
        <w:spacing w:before="120" w:after="288" w:line="312" w:lineRule="auto"/>
        <w:ind w:firstLine="567"/>
        <w:jc w:val="center"/>
        <w:rPr>
          <w:rFonts w:ascii="Arial" w:hAnsi="Arial" w:eastAsia="Arial" w:cs="Arial"/>
        </w:rPr>
      </w:pPr>
      <w:r>
        <w:rPr>
          <w:rFonts w:ascii="Arial" w:hAnsi="Arial" w:eastAsia="Arial" w:cs="Arial"/>
          <w:rtl w:val="0"/>
        </w:rPr>
        <w:t>Representante legal do CONTRATANTE</w:t>
      </w:r>
    </w:p>
    <w:p w14:paraId="00000377">
      <w:pPr>
        <w:spacing w:before="120" w:after="288" w:line="312" w:lineRule="auto"/>
        <w:ind w:firstLine="567"/>
        <w:jc w:val="center"/>
        <w:rPr>
          <w:rFonts w:ascii="Arial" w:hAnsi="Arial" w:eastAsia="Arial" w:cs="Arial"/>
        </w:rPr>
      </w:pPr>
      <w:r>
        <w:rPr>
          <w:rFonts w:ascii="Arial" w:hAnsi="Arial" w:eastAsia="Arial" w:cs="Arial"/>
          <w:rtl w:val="0"/>
        </w:rPr>
        <w:t>_________________________</w:t>
      </w:r>
    </w:p>
    <w:p w14:paraId="00000378">
      <w:pPr>
        <w:spacing w:before="120" w:after="288" w:line="312" w:lineRule="auto"/>
        <w:ind w:firstLine="567"/>
        <w:jc w:val="center"/>
        <w:rPr>
          <w:rFonts w:ascii="Arial" w:hAnsi="Arial" w:eastAsia="Arial" w:cs="Arial"/>
        </w:rPr>
      </w:pPr>
      <w:r>
        <w:rPr>
          <w:rFonts w:ascii="Arial" w:hAnsi="Arial" w:eastAsia="Arial" w:cs="Arial"/>
          <w:rtl w:val="0"/>
        </w:rPr>
        <w:t>Representante legal do CONTRATADO</w:t>
      </w:r>
    </w:p>
    <w:p w14:paraId="00000379">
      <w:pPr>
        <w:spacing w:before="120" w:after="288" w:line="312" w:lineRule="auto"/>
        <w:ind w:firstLine="567"/>
        <w:jc w:val="both"/>
        <w:rPr>
          <w:rFonts w:ascii="Arial" w:hAnsi="Arial" w:eastAsia="Arial" w:cs="Arial"/>
          <w:i/>
        </w:rPr>
      </w:pPr>
      <w:r>
        <w:rPr>
          <w:rFonts w:ascii="Arial" w:hAnsi="Arial" w:eastAsia="Arial" w:cs="Arial"/>
          <w:i/>
          <w:rtl w:val="0"/>
        </w:rPr>
        <w:t>TESTEMUNHAS:</w:t>
      </w:r>
    </w:p>
    <w:p w14:paraId="0000037A">
      <w:pPr>
        <w:spacing w:before="120" w:after="288" w:line="312" w:lineRule="auto"/>
        <w:ind w:firstLine="567"/>
        <w:rPr>
          <w:rFonts w:ascii="Arial" w:hAnsi="Arial" w:eastAsia="Arial" w:cs="Arial"/>
          <w:i/>
        </w:rPr>
      </w:pPr>
      <w:r>
        <w:rPr>
          <w:rFonts w:ascii="Arial" w:hAnsi="Arial" w:eastAsia="Arial" w:cs="Arial"/>
          <w:i/>
          <w:rtl w:val="0"/>
        </w:rPr>
        <w:t>1-</w:t>
      </w:r>
    </w:p>
    <w:p w14:paraId="0000037B">
      <w:pPr>
        <w:spacing w:before="120" w:after="288" w:line="312" w:lineRule="auto"/>
        <w:ind w:firstLine="567"/>
        <w:rPr>
          <w:rFonts w:ascii="Arial" w:hAnsi="Arial" w:eastAsia="Arial" w:cs="Arial"/>
          <w:i/>
        </w:rPr>
      </w:pPr>
      <w:r>
        <w:rPr>
          <w:rFonts w:ascii="Arial" w:hAnsi="Arial" w:eastAsia="Arial" w:cs="Arial"/>
          <w:i/>
          <w:rtl w:val="0"/>
        </w:rPr>
        <w:t xml:space="preserve">2- </w:t>
      </w:r>
    </w:p>
    <w:p w14:paraId="0000037C">
      <w:pPr>
        <w:spacing w:before="288" w:after="288" w:line="312" w:lineRule="auto"/>
        <w:ind w:firstLine="567"/>
        <w:rPr>
          <w:rFonts w:ascii="Arial" w:hAnsi="Arial" w:eastAsia="Arial" w:cs="Arial"/>
        </w:rPr>
      </w:pPr>
    </w:p>
    <w:p w14:paraId="0000037D">
      <w:pPr>
        <w:spacing w:before="288" w:after="288" w:line="312" w:lineRule="auto"/>
        <w:ind w:firstLine="567"/>
        <w:rPr>
          <w:rFonts w:ascii="Arial" w:hAnsi="Arial" w:eastAsia="Arial" w:cs="Arial"/>
        </w:rPr>
      </w:pPr>
    </w:p>
    <w:p w14:paraId="0000037E">
      <w:pPr>
        <w:spacing w:before="288" w:after="288" w:line="312" w:lineRule="auto"/>
        <w:ind w:firstLine="567"/>
        <w:rPr>
          <w:rFonts w:ascii="Arial" w:hAnsi="Arial" w:eastAsia="Arial" w:cs="Arial"/>
        </w:rPr>
      </w:pPr>
    </w:p>
    <w:p w14:paraId="0000037F">
      <w:pPr>
        <w:spacing w:before="288" w:after="288" w:line="312" w:lineRule="auto"/>
        <w:ind w:firstLine="567"/>
        <w:rPr>
          <w:rFonts w:ascii="Arial" w:hAnsi="Arial" w:eastAsia="Arial" w:cs="Arial"/>
        </w:rPr>
      </w:pPr>
    </w:p>
    <w:p w14:paraId="00000380">
      <w:pPr>
        <w:spacing w:before="288" w:after="288" w:line="312" w:lineRule="auto"/>
        <w:ind w:firstLine="567"/>
        <w:rPr>
          <w:rFonts w:ascii="Arial" w:hAnsi="Arial" w:eastAsia="Arial" w:cs="Arial"/>
        </w:rPr>
      </w:pPr>
    </w:p>
    <w:sectPr>
      <w:headerReference r:id="rId5" w:type="first"/>
      <w:footerReference r:id="rId7" w:type="first"/>
      <w:headerReference r:id="rId4" w:type="default"/>
      <w:footerReference r:id="rId6" w:type="default"/>
      <w:pgSz w:w="11906" w:h="16838"/>
      <w:pgMar w:top="2268" w:right="1134" w:bottom="1134" w:left="1134" w:header="709" w:footer="709" w:gutter="0"/>
      <w:pgNumType w:start="1"/>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Ecofont_Spranq_eco_Sans">
    <w:altName w:val="SimSun"/>
    <w:panose1 w:val="00000000000000000000"/>
    <w:charset w:val="86"/>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Georgia">
    <w:panose1 w:val="02040502050405020303"/>
    <w:charset w:val="00"/>
    <w:family w:val="auto"/>
    <w:pitch w:val="default"/>
    <w:sig w:usb0="00000287" w:usb1="00000000" w:usb2="00000000" w:usb3="00000000" w:csb0="2000009F" w:csb1="00000000"/>
  </w:font>
  <w:font w:name="WenQuanYi Micro Hei">
    <w:altName w:val="Segoe Print"/>
    <w:panose1 w:val="00000000000000000000"/>
    <w:charset w:val="00"/>
    <w:family w:val="auto"/>
    <w:pitch w:val="default"/>
    <w:sig w:usb0="00000000" w:usb1="00000000" w:usb2="00000000" w:usb3="00000000" w:csb0="00000000" w:csb1="00000000"/>
  </w:font>
  <w:font w:name="Lohit Hindi">
    <w:altName w:val="Segoe Print"/>
    <w:panose1 w:val="00000000000000000000"/>
    <w:charset w:val="00"/>
    <w:family w:val="auto"/>
    <w:pitch w:val="default"/>
    <w:sig w:usb0="00000000" w:usb1="00000000" w:usb2="00000000" w:usb3="00000000" w:csb0="00000000" w:csb1="00000000"/>
  </w:font>
  <w:font w:name="Liberation Serif">
    <w:altName w:val="Segoe Print"/>
    <w:panose1 w:val="00000000000000000000"/>
    <w:charset w:val="00"/>
    <w:family w:val="auto"/>
    <w:pitch w:val="default"/>
    <w:sig w:usb0="00000000" w:usb1="00000000" w:usb2="00000000" w:usb3="00000000" w:csb0="00000000" w:csb1="00000000"/>
  </w:font>
  <w:font w:name="NSimSun">
    <w:panose1 w:val="02010609030101010101"/>
    <w:charset w:val="86"/>
    <w:family w:val="auto"/>
    <w:pitch w:val="default"/>
    <w:sig w:usb0="00000203" w:usb1="288F0000" w:usb2="00000006" w:usb3="00000000" w:csb0="00040001" w:csb1="00000000"/>
  </w:font>
  <w:font w:name="Lucida Sans">
    <w:panose1 w:val="020B0602030504020204"/>
    <w:charset w:val="00"/>
    <w:family w:val="auto"/>
    <w:pitch w:val="default"/>
    <w:sig w:usb0="00000003" w:usb1="00000000" w:usb2="00000000" w:usb3="00000000" w:csb0="20000001" w:csb1="00000000"/>
  </w:font>
  <w:font w:name="Cambria">
    <w:panose1 w:val="02040503050406030204"/>
    <w:charset w:val="00"/>
    <w:family w:val="auto"/>
    <w:pitch w:val="default"/>
    <w:sig w:usb0="E00006FF" w:usb1="420024FF" w:usb2="02000000" w:usb3="00000000" w:csb0="2000019F" w:csb1="00000000"/>
  </w:font>
  <w:font w:name="Noto Sans Symbol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388">
    <w:pPr>
      <w:widowControl w:val="0"/>
      <w:pBdr>
        <w:top w:val="none" w:color="auto" w:sz="0" w:space="0"/>
        <w:left w:val="none" w:color="auto" w:sz="0" w:space="0"/>
        <w:bottom w:val="none" w:color="auto" w:sz="0" w:space="0"/>
        <w:right w:val="none" w:color="auto" w:sz="0" w:space="0"/>
        <w:between w:val="none" w:color="auto" w:sz="0" w:space="0"/>
      </w:pBdr>
      <w:tabs>
        <w:tab w:val="center" w:pos="4252"/>
        <w:tab w:val="right" w:pos="8504"/>
      </w:tabs>
      <w:ind w:left="0" w:hanging="1"/>
      <w:jc w:val="center"/>
      <w:rPr>
        <w:rFonts w:ascii="Arial" w:hAnsi="Arial" w:eastAsia="Arial" w:cs="Arial"/>
        <w:color w:val="000000"/>
        <w:sz w:val="14"/>
        <w:szCs w:val="14"/>
        <w:vertAlign w:val="baseline"/>
      </w:rPr>
    </w:pPr>
    <w:r>
      <w:rPr>
        <w:rFonts w:ascii="Arial" w:hAnsi="Arial" w:eastAsia="Arial" w:cs="Arial"/>
        <w:b/>
        <w:color w:val="000000"/>
        <w:sz w:val="14"/>
        <w:szCs w:val="14"/>
        <w:vertAlign w:val="baseline"/>
        <w:rtl w:val="0"/>
      </w:rPr>
      <w:t xml:space="preserve">Pág. </w:t>
    </w:r>
    <w:r>
      <w:rPr>
        <w:rFonts w:ascii="Arial" w:hAnsi="Arial" w:eastAsia="Arial" w:cs="Arial"/>
        <w:b/>
        <w:color w:val="000000"/>
        <w:sz w:val="14"/>
        <w:szCs w:val="14"/>
        <w:vertAlign w:val="baseline"/>
      </w:rPr>
      <w:fldChar w:fldCharType="begin"/>
    </w:r>
    <w:r>
      <w:rPr>
        <w:rFonts w:ascii="Arial" w:hAnsi="Arial" w:eastAsia="Arial" w:cs="Arial"/>
        <w:b/>
        <w:color w:val="000000"/>
        <w:sz w:val="14"/>
        <w:szCs w:val="14"/>
        <w:vertAlign w:val="baseline"/>
      </w:rPr>
      <w:instrText xml:space="preserve">PAGE</w:instrText>
    </w:r>
    <w:r>
      <w:rPr>
        <w:rFonts w:ascii="Arial" w:hAnsi="Arial" w:eastAsia="Arial" w:cs="Arial"/>
        <w:b/>
        <w:color w:val="000000"/>
        <w:sz w:val="14"/>
        <w:szCs w:val="14"/>
        <w:vertAlign w:val="baseline"/>
      </w:rPr>
      <w:fldChar w:fldCharType="separate"/>
    </w:r>
    <w:r>
      <w:rPr>
        <w:rFonts w:ascii="Arial" w:hAnsi="Arial" w:eastAsia="Arial" w:cs="Arial"/>
        <w:b/>
        <w:color w:val="000000"/>
        <w:sz w:val="14"/>
        <w:szCs w:val="14"/>
        <w:vertAlign w:val="baseline"/>
      </w:rPr>
      <w:fldChar w:fldCharType="end"/>
    </w:r>
    <w:r>
      <w:rPr>
        <w:rFonts w:ascii="Arial" w:hAnsi="Arial" w:eastAsia="Arial" w:cs="Arial"/>
        <w:b/>
        <w:color w:val="000000"/>
        <w:sz w:val="14"/>
        <w:szCs w:val="14"/>
        <w:vertAlign w:val="baseline"/>
        <w:rtl w:val="0"/>
      </w:rPr>
      <w:t xml:space="preserve"> / </w:t>
    </w:r>
    <w:r>
      <w:rPr>
        <w:rFonts w:ascii="Arial" w:hAnsi="Arial" w:eastAsia="Arial" w:cs="Arial"/>
        <w:b/>
        <w:color w:val="000000"/>
        <w:sz w:val="14"/>
        <w:szCs w:val="14"/>
        <w:vertAlign w:val="baseline"/>
      </w:rPr>
      <w:fldChar w:fldCharType="begin"/>
    </w:r>
    <w:r>
      <w:rPr>
        <w:rFonts w:ascii="Arial" w:hAnsi="Arial" w:eastAsia="Arial" w:cs="Arial"/>
        <w:b/>
        <w:color w:val="000000"/>
        <w:sz w:val="14"/>
        <w:szCs w:val="14"/>
        <w:vertAlign w:val="baseline"/>
      </w:rPr>
      <w:instrText xml:space="preserve">NUMPAGES</w:instrText>
    </w:r>
    <w:r>
      <w:rPr>
        <w:rFonts w:ascii="Arial" w:hAnsi="Arial" w:eastAsia="Arial" w:cs="Arial"/>
        <w:b/>
        <w:color w:val="000000"/>
        <w:sz w:val="14"/>
        <w:szCs w:val="14"/>
        <w:vertAlign w:val="baseline"/>
      </w:rPr>
      <w:fldChar w:fldCharType="separate"/>
    </w:r>
    <w:r>
      <w:rPr>
        <w:rFonts w:ascii="Arial" w:hAnsi="Arial" w:eastAsia="Arial" w:cs="Arial"/>
        <w:b/>
        <w:color w:val="000000"/>
        <w:sz w:val="14"/>
        <w:szCs w:val="14"/>
        <w:vertAlign w:val="baseline"/>
      </w:rPr>
      <w:fldChar w:fldCharType="end"/>
    </w:r>
    <w:r>
      <w:rPr>
        <w:rFonts w:ascii="Arial" w:hAnsi="Arial" w:eastAsia="Arial" w:cs="Arial"/>
        <w:b/>
        <w:color w:val="000000"/>
        <w:sz w:val="14"/>
        <w:szCs w:val="14"/>
        <w:vertAlign w:val="baseline"/>
        <w:rtl w:val="0"/>
      </w:rPr>
      <w:t>.</w:t>
    </w:r>
  </w:p>
  <w:p w14:paraId="0000038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252"/>
        <w:tab w:val="right" w:pos="8504"/>
      </w:tabs>
      <w:spacing w:before="0" w:after="0" w:line="240" w:lineRule="auto"/>
      <w:ind w:left="0" w:right="0" w:firstLine="0"/>
      <w:jc w:val="left"/>
      <w:rPr>
        <w:rFonts w:ascii="Ecofont_Spranq_eco_Sans" w:hAnsi="Ecofont_Spranq_eco_Sans" w:eastAsia="Ecofont_Spranq_eco_Sans" w:cs="Ecofont_Spranq_eco_Sans"/>
        <w:b w:val="0"/>
        <w:i w:val="0"/>
        <w:smallCaps w:val="0"/>
        <w:strike w:val="0"/>
        <w:color w:val="000000"/>
        <w:sz w:val="24"/>
        <w:szCs w:val="24"/>
        <w:u w:val="none"/>
        <w:shd w:val="clear" w:fill="auto"/>
        <w:vertAlign w:val="baselin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38A">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ind w:hanging="2"/>
      <w:jc w:val="center"/>
    </w:pPr>
    <w:r>
      <w:rPr>
        <w:rFonts w:ascii="Arial" w:hAnsi="Arial" w:eastAsia="Arial" w:cs="Arial"/>
        <w:b/>
        <w:sz w:val="20"/>
        <w:szCs w:val="20"/>
        <w:rtl w:val="0"/>
      </w:rPr>
      <w:t>pág.</w:t>
    </w:r>
    <w:r>
      <w:rPr>
        <w:rFonts w:ascii="Arial" w:hAnsi="Arial" w:eastAsia="Arial" w:cs="Arial"/>
        <w:b/>
        <w:sz w:val="20"/>
        <w:szCs w:val="20"/>
      </w:rPr>
      <w:fldChar w:fldCharType="begin"/>
    </w:r>
    <w:r>
      <w:rPr>
        <w:rFonts w:ascii="Arial" w:hAnsi="Arial" w:eastAsia="Arial" w:cs="Arial"/>
        <w:b/>
        <w:sz w:val="20"/>
        <w:szCs w:val="20"/>
      </w:rPr>
      <w:instrText xml:space="preserve">PAGE</w:instrText>
    </w:r>
    <w:r>
      <w:rPr>
        <w:rFonts w:ascii="Arial" w:hAnsi="Arial" w:eastAsia="Arial" w:cs="Arial"/>
        <w:b/>
        <w:sz w:val="20"/>
        <w:szCs w:val="20"/>
      </w:rPr>
      <w:fldChar w:fldCharType="separate"/>
    </w:r>
    <w:r>
      <w:rPr>
        <w:rFonts w:ascii="Arial" w:hAnsi="Arial" w:eastAsia="Arial" w:cs="Arial"/>
        <w:b/>
        <w:sz w:val="20"/>
        <w:szCs w:val="20"/>
      </w:rPr>
      <w:fldChar w:fldCharType="end"/>
    </w:r>
    <w:r>
      <w:rPr>
        <w:rFonts w:ascii="Arial" w:hAnsi="Arial" w:eastAsia="Arial" w:cs="Arial"/>
        <w:b/>
        <w:sz w:val="20"/>
        <w:szCs w:val="20"/>
        <w:rtl w:val="0"/>
      </w:rPr>
      <w:t xml:space="preserve"> / </w:t>
    </w:r>
    <w:r>
      <w:rPr>
        <w:rFonts w:ascii="Arial" w:hAnsi="Arial" w:eastAsia="Arial" w:cs="Arial"/>
        <w:b/>
        <w:sz w:val="20"/>
        <w:szCs w:val="20"/>
      </w:rPr>
      <w:fldChar w:fldCharType="begin"/>
    </w:r>
    <w:r>
      <w:rPr>
        <w:rFonts w:ascii="Arial" w:hAnsi="Arial" w:eastAsia="Arial" w:cs="Arial"/>
        <w:b/>
        <w:sz w:val="20"/>
        <w:szCs w:val="20"/>
      </w:rPr>
      <w:instrText xml:space="preserve">NUMPAGES</w:instrText>
    </w:r>
    <w:r>
      <w:rPr>
        <w:rFonts w:ascii="Arial" w:hAnsi="Arial" w:eastAsia="Arial" w:cs="Arial"/>
        <w:b/>
        <w:sz w:val="20"/>
        <w:szCs w:val="20"/>
      </w:rPr>
      <w:fldChar w:fldCharType="separate"/>
    </w:r>
    <w:r>
      <w:rPr>
        <w:rFonts w:ascii="Arial" w:hAnsi="Arial" w:eastAsia="Arial" w:cs="Arial"/>
        <w:b/>
        <w:sz w:val="20"/>
        <w:szCs w:val="20"/>
      </w:rPr>
      <w:fldChar w:fldCharType="end"/>
    </w:r>
    <w:r>
      <w:rPr>
        <w:rFonts w:ascii="Arial" w:hAnsi="Arial" w:eastAsia="Arial" w:cs="Arial"/>
        <w:b/>
        <w:sz w:val="20"/>
        <w:szCs w:val="20"/>
        <w:rtl w:val="0"/>
      </w:rPr>
      <w:t xml:space="preserve"> </w:t>
    </w:r>
    <w:r>
      <w:rPr>
        <w:rtl w:val="0"/>
      </w:rPr>
      <w:t xml:space="preserve"> </w:t>
    </w:r>
  </w:p>
  <w:p w14:paraId="0000038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252"/>
        <w:tab w:val="right" w:pos="8504"/>
      </w:tabs>
      <w:spacing w:before="0" w:after="0" w:line="240" w:lineRule="auto"/>
      <w:ind w:left="0" w:right="0" w:firstLine="0"/>
      <w:jc w:val="left"/>
      <w:rPr>
        <w:rFonts w:ascii="Ecofont_Spranq_eco_Sans" w:hAnsi="Ecofont_Spranq_eco_Sans" w:eastAsia="Ecofont_Spranq_eco_Sans" w:cs="Ecofont_Spranq_eco_Sans"/>
        <w:b w:val="0"/>
        <w:i w:val="0"/>
        <w:smallCaps w:val="0"/>
        <w:strike w:val="0"/>
        <w:color w:val="000000"/>
        <w:sz w:val="24"/>
        <w:szCs w:val="24"/>
        <w:u w:val="none"/>
        <w:shd w:val="clear" w:fill="auto"/>
        <w:vertAlign w:val="baseli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000038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16"/>
          <w:szCs w:val="16"/>
        </w:rPr>
      </w:pPr>
      <w:r>
        <w:rPr>
          <w:vertAlign w:val="superscript"/>
        </w:rPr>
        <w:footnoteRef/>
      </w:r>
      <w:r>
        <w:rPr>
          <w:rFonts w:ascii="Times New Roman" w:hAnsi="Times New Roman" w:eastAsia="Times New Roman" w:cs="Times New Roman"/>
          <w:color w:val="000000"/>
          <w:sz w:val="16"/>
          <w:szCs w:val="16"/>
          <w:rtl w:val="0"/>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382">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ind w:hanging="2"/>
    </w:pPr>
    <w:bookmarkStart w:id="62" w:name="_heading=h.i7cwhzhdh5b2" w:colFirst="0" w:colLast="0"/>
    <w:bookmarkEnd w:id="62"/>
    <w:r>
      <w:drawing>
        <wp:anchor distT="0" distB="0" distL="114300" distR="114300" simplePos="0" relativeHeight="251659264" behindDoc="0" locked="0" layoutInCell="1" allowOverlap="1">
          <wp:simplePos x="0" y="0"/>
          <wp:positionH relativeFrom="column">
            <wp:posOffset>4358005</wp:posOffset>
          </wp:positionH>
          <wp:positionV relativeFrom="paragraph">
            <wp:posOffset>-236855</wp:posOffset>
          </wp:positionV>
          <wp:extent cx="973455" cy="1045210"/>
          <wp:effectExtent l="0" t="0" r="0" b="0"/>
          <wp:wrapNone/>
          <wp:docPr id="995294699" name="image1.jpg"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995294699" name="image1.jpg" descr="Uma imagem contendo Texto&#10;&#10;Descrição gerada automaticamente"/>
                  <pic:cNvPicPr preferRelativeResize="0"/>
                </pic:nvPicPr>
                <pic:blipFill>
                  <a:blip r:embed="rId1"/>
                  <a:srcRect r="70214"/>
                  <a:stretch>
                    <a:fillRect/>
                  </a:stretch>
                </pic:blipFill>
                <pic:spPr>
                  <a:xfrm>
                    <a:off x="0" y="0"/>
                    <a:ext cx="973455" cy="1045210"/>
                  </a:xfrm>
                  <a:prstGeom prst="rect">
                    <a:avLst/>
                  </a:prstGeom>
                </pic:spPr>
              </pic:pic>
            </a:graphicData>
          </a:graphic>
        </wp:anchor>
      </w:drawing>
    </w:r>
    <w:r>
      <w:drawing>
        <wp:anchor distT="0" distB="0" distL="114300" distR="114300" simplePos="0" relativeHeight="251659264" behindDoc="0" locked="0" layoutInCell="1" allowOverlap="1">
          <wp:simplePos x="0" y="0"/>
          <wp:positionH relativeFrom="column">
            <wp:posOffset>1649730</wp:posOffset>
          </wp:positionH>
          <wp:positionV relativeFrom="paragraph">
            <wp:posOffset>-236855</wp:posOffset>
          </wp:positionV>
          <wp:extent cx="2622550" cy="984885"/>
          <wp:effectExtent l="0" t="0" r="0" b="0"/>
          <wp:wrapNone/>
          <wp:docPr id="995294701" name="image1.jpg"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995294701" name="image1.jpg" descr="Uma imagem contendo Texto&#10;&#10;Descrição gerada automaticamente"/>
                  <pic:cNvPicPr preferRelativeResize="0"/>
                </pic:nvPicPr>
                <pic:blipFill>
                  <a:blip r:embed="rId1"/>
                  <a:srcRect l="27716"/>
                  <a:stretch>
                    <a:fillRect/>
                  </a:stretch>
                </pic:blipFill>
                <pic:spPr>
                  <a:xfrm>
                    <a:off x="0" y="0"/>
                    <a:ext cx="2622550" cy="984885"/>
                  </a:xfrm>
                  <a:prstGeom prst="rect">
                    <a:avLst/>
                  </a:prstGeom>
                </pic:spPr>
              </pic:pic>
            </a:graphicData>
          </a:graphic>
        </wp:anchor>
      </w:drawing>
    </w:r>
    <w:r>
      <w:drawing>
        <wp:anchor distT="0" distB="0" distL="114300" distR="114300" simplePos="0" relativeHeight="251659264" behindDoc="0" locked="0" layoutInCell="1" allowOverlap="1">
          <wp:simplePos x="0" y="0"/>
          <wp:positionH relativeFrom="column">
            <wp:posOffset>857885</wp:posOffset>
          </wp:positionH>
          <wp:positionV relativeFrom="paragraph">
            <wp:posOffset>-344805</wp:posOffset>
          </wp:positionV>
          <wp:extent cx="925195" cy="1228725"/>
          <wp:effectExtent l="0" t="0" r="0" b="0"/>
          <wp:wrapNone/>
          <wp:docPr id="995294703" name="image2.png" descr="Foto preta e branca de relógio ao fundo&#10;&#10;Descrição gerada automaticamente com confiança baixa"/>
          <wp:cNvGraphicFramePr/>
          <a:graphic xmlns:a="http://schemas.openxmlformats.org/drawingml/2006/main">
            <a:graphicData uri="http://schemas.openxmlformats.org/drawingml/2006/picture">
              <pic:pic xmlns:pic="http://schemas.openxmlformats.org/drawingml/2006/picture">
                <pic:nvPicPr>
                  <pic:cNvPr id="995294703" name="image2.png" descr="Foto preta e branca de relógio ao fundo&#10;&#10;Descrição gerada automaticamente com confiança baixa"/>
                  <pic:cNvPicPr preferRelativeResize="0"/>
                </pic:nvPicPr>
                <pic:blipFill>
                  <a:blip r:embed="rId2"/>
                  <a:srcRect/>
                  <a:stretch>
                    <a:fillRect/>
                  </a:stretch>
                </pic:blipFill>
                <pic:spPr>
                  <a:xfrm>
                    <a:off x="0" y="0"/>
                    <a:ext cx="925195" cy="1228725"/>
                  </a:xfrm>
                  <a:prstGeom prst="rect">
                    <a:avLst/>
                  </a:prstGeom>
                </pic:spPr>
              </pic:pic>
            </a:graphicData>
          </a:graphic>
        </wp:anchor>
      </w:drawing>
    </w:r>
  </w:p>
  <w:p w14:paraId="0000038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252"/>
        <w:tab w:val="right" w:pos="8504"/>
      </w:tabs>
      <w:spacing w:before="0" w:after="0" w:line="240" w:lineRule="auto"/>
      <w:ind w:left="0" w:right="0" w:firstLine="0"/>
      <w:jc w:val="left"/>
      <w:rPr>
        <w:rFonts w:ascii="Ecofont_Spranq_eco_Sans" w:hAnsi="Ecofont_Spranq_eco_Sans" w:eastAsia="Ecofont_Spranq_eco_Sans" w:cs="Ecofont_Spranq_eco_Sans"/>
        <w:b w:val="0"/>
        <w:i w:val="0"/>
        <w:smallCaps w:val="0"/>
        <w:strike w:val="0"/>
        <w:color w:val="000000"/>
        <w:sz w:val="24"/>
        <w:szCs w:val="24"/>
        <w:u w:val="none"/>
        <w:shd w:val="clear" w:fill="auto"/>
        <w:vertAlign w:val="baseline"/>
      </w:rPr>
    </w:pPr>
  </w:p>
  <w:p w14:paraId="0000038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252"/>
        <w:tab w:val="right" w:pos="8504"/>
      </w:tabs>
      <w:spacing w:before="0" w:after="0" w:line="240" w:lineRule="auto"/>
      <w:ind w:left="0" w:right="0" w:firstLine="0"/>
      <w:jc w:val="right"/>
      <w:rPr>
        <w:rFonts w:ascii="Ecofont_Spranq_eco_Sans" w:hAnsi="Ecofont_Spranq_eco_Sans" w:eastAsia="Ecofont_Spranq_eco_Sans" w:cs="Ecofont_Spranq_eco_Sans"/>
        <w:b w:val="0"/>
        <w:i w:val="0"/>
        <w:smallCaps w:val="0"/>
        <w:strike w:val="0"/>
        <w:color w:val="000000"/>
        <w:sz w:val="24"/>
        <w:szCs w:val="24"/>
        <w:u w:val="none"/>
        <w:shd w:val="clear" w:fill="auto"/>
        <w:vertAlign w:val="baseline"/>
      </w:rPr>
    </w:pPr>
  </w:p>
  <w:p w14:paraId="0000038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252"/>
        <w:tab w:val="right" w:pos="8504"/>
      </w:tabs>
      <w:spacing w:before="0" w:after="0" w:line="240" w:lineRule="auto"/>
      <w:ind w:left="0" w:right="0" w:firstLine="0"/>
      <w:jc w:val="right"/>
      <w:rPr>
        <w:rFonts w:ascii="Ecofont_Spranq_eco_Sans" w:hAnsi="Ecofont_Spranq_eco_Sans" w:eastAsia="Ecofont_Spranq_eco_Sans" w:cs="Ecofont_Spranq_eco_Sans"/>
        <w:b w:val="0"/>
        <w:i w:val="0"/>
        <w:smallCaps w:val="0"/>
        <w:strike w:val="0"/>
        <w:color w:val="000000"/>
        <w:sz w:val="24"/>
        <w:szCs w:val="24"/>
        <w:u w:val="none"/>
        <w:shd w:val="clear" w:fill="auto"/>
        <w:vertAlign w:val="baselin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386">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ind w:hanging="2"/>
    </w:pPr>
    <w:r>
      <w:drawing>
        <wp:anchor distT="0" distB="0" distL="114300" distR="114300" simplePos="0" relativeHeight="251659264" behindDoc="0" locked="0" layoutInCell="1" allowOverlap="1">
          <wp:simplePos x="0" y="0"/>
          <wp:positionH relativeFrom="column">
            <wp:posOffset>4358005</wp:posOffset>
          </wp:positionH>
          <wp:positionV relativeFrom="paragraph">
            <wp:posOffset>-236855</wp:posOffset>
          </wp:positionV>
          <wp:extent cx="973455" cy="1045210"/>
          <wp:effectExtent l="0" t="0" r="0" b="0"/>
          <wp:wrapNone/>
          <wp:docPr id="995294702" name="image1.jpg"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995294702" name="image1.jpg" descr="Uma imagem contendo Texto&#10;&#10;Descrição gerada automaticamente"/>
                  <pic:cNvPicPr preferRelativeResize="0"/>
                </pic:nvPicPr>
                <pic:blipFill>
                  <a:blip r:embed="rId1"/>
                  <a:srcRect r="70214"/>
                  <a:stretch>
                    <a:fillRect/>
                  </a:stretch>
                </pic:blipFill>
                <pic:spPr>
                  <a:xfrm>
                    <a:off x="0" y="0"/>
                    <a:ext cx="973455" cy="1045210"/>
                  </a:xfrm>
                  <a:prstGeom prst="rect">
                    <a:avLst/>
                  </a:prstGeom>
                </pic:spPr>
              </pic:pic>
            </a:graphicData>
          </a:graphic>
        </wp:anchor>
      </w:drawing>
    </w:r>
    <w:r>
      <w:drawing>
        <wp:anchor distT="0" distB="0" distL="114300" distR="114300" simplePos="0" relativeHeight="251659264" behindDoc="0" locked="0" layoutInCell="1" allowOverlap="1">
          <wp:simplePos x="0" y="0"/>
          <wp:positionH relativeFrom="column">
            <wp:posOffset>1649730</wp:posOffset>
          </wp:positionH>
          <wp:positionV relativeFrom="paragraph">
            <wp:posOffset>-236855</wp:posOffset>
          </wp:positionV>
          <wp:extent cx="2622550" cy="984885"/>
          <wp:effectExtent l="0" t="0" r="0" b="0"/>
          <wp:wrapNone/>
          <wp:docPr id="995294704" name="image1.jpg"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995294704" name="image1.jpg" descr="Uma imagem contendo Texto&#10;&#10;Descrição gerada automaticamente"/>
                  <pic:cNvPicPr preferRelativeResize="0"/>
                </pic:nvPicPr>
                <pic:blipFill>
                  <a:blip r:embed="rId1"/>
                  <a:srcRect l="27716"/>
                  <a:stretch>
                    <a:fillRect/>
                  </a:stretch>
                </pic:blipFill>
                <pic:spPr>
                  <a:xfrm>
                    <a:off x="0" y="0"/>
                    <a:ext cx="2622550" cy="984885"/>
                  </a:xfrm>
                  <a:prstGeom prst="rect">
                    <a:avLst/>
                  </a:prstGeom>
                </pic:spPr>
              </pic:pic>
            </a:graphicData>
          </a:graphic>
        </wp:anchor>
      </w:drawing>
    </w:r>
    <w:r>
      <w:drawing>
        <wp:anchor distT="0" distB="0" distL="114300" distR="114300" simplePos="0" relativeHeight="251659264" behindDoc="0" locked="0" layoutInCell="1" allowOverlap="1">
          <wp:simplePos x="0" y="0"/>
          <wp:positionH relativeFrom="column">
            <wp:posOffset>857885</wp:posOffset>
          </wp:positionH>
          <wp:positionV relativeFrom="paragraph">
            <wp:posOffset>-344805</wp:posOffset>
          </wp:positionV>
          <wp:extent cx="925195" cy="1228725"/>
          <wp:effectExtent l="0" t="0" r="0" b="0"/>
          <wp:wrapNone/>
          <wp:docPr id="995294700" name="image2.png" descr="Foto preta e branca de relógio ao fundo&#10;&#10;Descrição gerada automaticamente com confiança baixa"/>
          <wp:cNvGraphicFramePr/>
          <a:graphic xmlns:a="http://schemas.openxmlformats.org/drawingml/2006/main">
            <a:graphicData uri="http://schemas.openxmlformats.org/drawingml/2006/picture">
              <pic:pic xmlns:pic="http://schemas.openxmlformats.org/drawingml/2006/picture">
                <pic:nvPicPr>
                  <pic:cNvPr id="995294700" name="image2.png" descr="Foto preta e branca de relógio ao fundo&#10;&#10;Descrição gerada automaticamente com confiança baixa"/>
                  <pic:cNvPicPr preferRelativeResize="0"/>
                </pic:nvPicPr>
                <pic:blipFill>
                  <a:blip r:embed="rId2"/>
                  <a:srcRect/>
                  <a:stretch>
                    <a:fillRect/>
                  </a:stretch>
                </pic:blipFill>
                <pic:spPr>
                  <a:xfrm>
                    <a:off x="0" y="0"/>
                    <a:ext cx="925195" cy="1228725"/>
                  </a:xfrm>
                  <a:prstGeom prst="rect">
                    <a:avLst/>
                  </a:prstGeom>
                </pic:spPr>
              </pic:pic>
            </a:graphicData>
          </a:graphic>
        </wp:anchor>
      </w:drawing>
    </w:r>
  </w:p>
  <w:p w14:paraId="0000038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252"/>
        <w:tab w:val="right" w:pos="8504"/>
      </w:tabs>
      <w:spacing w:before="0" w:after="0" w:line="240" w:lineRule="auto"/>
      <w:ind w:left="0" w:right="0" w:firstLine="0"/>
      <w:jc w:val="left"/>
      <w:rPr>
        <w:rFonts w:ascii="Ecofont_Spranq_eco_Sans" w:hAnsi="Ecofont_Spranq_eco_Sans" w:eastAsia="Ecofont_Spranq_eco_Sans" w:cs="Ecofont_Spranq_eco_Sans"/>
        <w:b w:val="0"/>
        <w:i w:val="0"/>
        <w:smallCaps w:val="0"/>
        <w:strike w:val="0"/>
        <w:color w:val="000000"/>
        <w:sz w:val="24"/>
        <w:szCs w:val="24"/>
        <w:u w:val="none"/>
        <w:shd w:val="clear" w:fill="auto"/>
        <w:vertAlign w:val="baselin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
    <w:nsid w:val="BF205925"/>
    <w:multiLevelType w:val="multilevel"/>
    <w:tmpl w:val="BF205925"/>
    <w:lvl w:ilvl="0" w:tentative="0">
      <w:start w:val="1"/>
      <w:numFmt w:val="decimal"/>
      <w:lvlText w:val="%1"/>
      <w:lvlJc w:val="center"/>
      <w:pPr>
        <w:ind w:left="360" w:hanging="360"/>
      </w:pPr>
      <w:rPr>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CF092B84"/>
    <w:multiLevelType w:val="multilevel"/>
    <w:tmpl w:val="CF092B84"/>
    <w:lvl w:ilvl="0" w:tentative="0">
      <w:start w:val="1"/>
      <w:numFmt w:val="decimal"/>
      <w:pStyle w:val="43"/>
      <w:lvlText w:val="%1."/>
      <w:lvlJc w:val="left"/>
      <w:pPr>
        <w:ind w:left="360" w:hanging="360"/>
      </w:pPr>
      <w:rPr>
        <w:b/>
      </w:rPr>
    </w:lvl>
    <w:lvl w:ilvl="1" w:tentative="0">
      <w:start w:val="1"/>
      <w:numFmt w:val="decimal"/>
      <w:pStyle w:val="60"/>
      <w:lvlText w:val="%1.%2."/>
      <w:lvlJc w:val="left"/>
      <w:pPr>
        <w:ind w:left="999" w:hanging="432"/>
      </w:pPr>
      <w:rPr>
        <w:b w:val="0"/>
        <w:i w:val="0"/>
        <w:strike w:val="0"/>
        <w:color w:val="000000"/>
        <w:sz w:val="24"/>
        <w:szCs w:val="24"/>
        <w:u w:val="none"/>
      </w:rPr>
    </w:lvl>
    <w:lvl w:ilvl="2" w:tentative="0">
      <w:start w:val="1"/>
      <w:numFmt w:val="decimal"/>
      <w:pStyle w:val="62"/>
      <w:lvlText w:val="%1.%2.%3."/>
      <w:lvlJc w:val="left"/>
      <w:pPr>
        <w:ind w:left="1638" w:hanging="504"/>
      </w:pPr>
      <w:rPr>
        <w:rFonts w:ascii="Arial" w:hAnsi="Arial" w:eastAsia="Arial" w:cs="Arial"/>
        <w:b w:val="0"/>
        <w:i w:val="0"/>
        <w:strike w:val="0"/>
        <w:color w:val="000000"/>
        <w:sz w:val="24"/>
        <w:szCs w:val="24"/>
      </w:rPr>
    </w:lvl>
    <w:lvl w:ilvl="3" w:tentative="0">
      <w:start w:val="1"/>
      <w:numFmt w:val="decimal"/>
      <w:pStyle w:val="63"/>
      <w:lvlText w:val="%1.%2.%3.%4."/>
      <w:lvlJc w:val="left"/>
      <w:pPr>
        <w:ind w:left="2491" w:hanging="648"/>
      </w:pPr>
    </w:lvl>
    <w:lvl w:ilvl="4" w:tentative="0">
      <w:start w:val="1"/>
      <w:numFmt w:val="decimal"/>
      <w:pStyle w:val="64"/>
      <w:lvlText w:val="%1.%2.%3.%4.%5."/>
      <w:lvlJc w:val="left"/>
      <w:pPr>
        <w:ind w:left="2232" w:hanging="792"/>
      </w:p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0053208E"/>
    <w:multiLevelType w:val="multilevel"/>
    <w:tmpl w:val="0053208E"/>
    <w:lvl w:ilvl="0" w:tentative="0">
      <w:start w:val="1"/>
      <w:numFmt w:val="decimal"/>
      <w:pStyle w:val="18"/>
      <w:lvlText w:val="%1."/>
      <w:lvlJc w:val="left"/>
      <w:pPr>
        <w:ind w:left="360" w:hanging="360"/>
      </w:pPr>
      <w:rPr>
        <w:b/>
      </w:rPr>
    </w:lvl>
    <w:lvl w:ilvl="1" w:tentative="0">
      <w:start w:val="1"/>
      <w:numFmt w:val="decimal"/>
      <w:lvlText w:val="%1.%2."/>
      <w:lvlJc w:val="left"/>
      <w:pPr>
        <w:ind w:left="999" w:hanging="432"/>
      </w:pPr>
      <w:rPr>
        <w:b w:val="0"/>
        <w:i w:val="0"/>
        <w:strike w:val="0"/>
        <w:color w:val="000000"/>
        <w:sz w:val="24"/>
        <w:szCs w:val="24"/>
        <w:u w:val="none"/>
      </w:rPr>
    </w:lvl>
    <w:lvl w:ilvl="2" w:tentative="0">
      <w:start w:val="1"/>
      <w:numFmt w:val="decimal"/>
      <w:lvlText w:val="%1.%2.%3."/>
      <w:lvlJc w:val="left"/>
      <w:pPr>
        <w:ind w:left="1638" w:hanging="504"/>
      </w:pPr>
      <w:rPr>
        <w:rFonts w:ascii="Arial" w:hAnsi="Arial" w:eastAsia="Arial" w:cs="Arial"/>
        <w:b w:val="0"/>
        <w:i w:val="0"/>
        <w:strike w:val="0"/>
        <w:color w:val="000000"/>
        <w:sz w:val="24"/>
        <w:szCs w:val="24"/>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0248C179"/>
    <w:multiLevelType w:val="multilevel"/>
    <w:tmpl w:val="0248C17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3D62ECE"/>
    <w:multiLevelType w:val="multilevel"/>
    <w:tmpl w:val="03D62ECE"/>
    <w:lvl w:ilvl="0" w:tentative="0">
      <w:start w:val="19"/>
      <w:numFmt w:val="decimal"/>
      <w:lvlText w:val="%1."/>
      <w:lvlJc w:val="left"/>
      <w:pPr>
        <w:ind w:left="360" w:hanging="360"/>
      </w:pPr>
    </w:lvl>
    <w:lvl w:ilvl="1" w:tentative="0">
      <w:start w:val="1"/>
      <w:numFmt w:val="decimal"/>
      <w:lvlText w:val="%1.%2."/>
      <w:lvlJc w:val="left"/>
      <w:pPr>
        <w:ind w:left="792" w:hanging="432"/>
      </w:pPr>
      <w:rPr>
        <w:b w:val="0"/>
        <w:i w:val="0"/>
      </w:rPr>
    </w:lvl>
    <w:lvl w:ilvl="2" w:tentative="0">
      <w:start w:val="1"/>
      <w:numFmt w:val="lowerLetter"/>
      <w:lvlText w:val="%3)"/>
      <w:lvlJc w:val="left"/>
      <w:pPr>
        <w:ind w:left="1224" w:hanging="504"/>
      </w:pPr>
      <w:rPr>
        <w:b w:val="0"/>
      </w:rPr>
    </w:lvl>
    <w:lvl w:ilvl="3" w:tentative="0">
      <w:start w:val="1"/>
      <w:numFmt w:val="decimal"/>
      <w:lvlText w:val="%1.%2.%3.%4."/>
      <w:lvlJc w:val="left"/>
      <w:pPr>
        <w:ind w:left="1728" w:hanging="647"/>
      </w:pPr>
    </w:lvl>
    <w:lvl w:ilvl="4" w:tentative="0">
      <w:start w:val="1"/>
      <w:numFmt w:val="decimal"/>
      <w:lvlText w:val="%1.%2.%3.%4.%5."/>
      <w:lvlJc w:val="left"/>
      <w:pPr>
        <w:ind w:left="2232" w:hanging="792"/>
      </w:pPr>
    </w:lvl>
    <w:lvl w:ilvl="5" w:tentative="0">
      <w:start w:val="1"/>
      <w:numFmt w:val="decimal"/>
      <w:lvlText w:val="%1.%2.%3.%4.%5.%6."/>
      <w:lvlJc w:val="left"/>
      <w:pPr>
        <w:ind w:left="2736" w:hanging="935"/>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25B654F3"/>
    <w:multiLevelType w:val="multilevel"/>
    <w:tmpl w:val="25B654F3"/>
    <w:lvl w:ilvl="0" w:tentative="0">
      <w:start w:val="1"/>
      <w:numFmt w:val="lowerRoman"/>
      <w:lvlText w:val="%1."/>
      <w:lvlJc w:val="right"/>
      <w:pPr>
        <w:ind w:left="1287" w:hanging="360"/>
      </w:pPr>
    </w:lvl>
    <w:lvl w:ilvl="1" w:tentative="0">
      <w:start w:val="1"/>
      <w:numFmt w:val="decimal"/>
      <w:lvlText w:val="%2."/>
      <w:lvlJc w:val="left"/>
      <w:pPr>
        <w:ind w:left="2007" w:hanging="360"/>
      </w:pPr>
    </w:lvl>
    <w:lvl w:ilvl="2" w:tentative="0">
      <w:start w:val="1"/>
      <w:numFmt w:val="lowerRoman"/>
      <w:lvlText w:val="%3."/>
      <w:lvlJc w:val="right"/>
      <w:pPr>
        <w:ind w:left="2727" w:hanging="180"/>
      </w:pPr>
    </w:lvl>
    <w:lvl w:ilvl="3" w:tentative="0">
      <w:start w:val="1"/>
      <w:numFmt w:val="decimal"/>
      <w:lvlText w:val="%4."/>
      <w:lvlJc w:val="left"/>
      <w:pPr>
        <w:ind w:left="3447" w:hanging="360"/>
      </w:pPr>
    </w:lvl>
    <w:lvl w:ilvl="4" w:tentative="0">
      <w:start w:val="1"/>
      <w:numFmt w:val="lowerLetter"/>
      <w:lvlText w:val="%5."/>
      <w:lvlJc w:val="left"/>
      <w:pPr>
        <w:ind w:left="4167" w:hanging="360"/>
      </w:pPr>
    </w:lvl>
    <w:lvl w:ilvl="5" w:tentative="0">
      <w:start w:val="1"/>
      <w:numFmt w:val="lowerRoman"/>
      <w:lvlText w:val="%6."/>
      <w:lvlJc w:val="right"/>
      <w:pPr>
        <w:ind w:left="4887" w:hanging="180"/>
      </w:pPr>
    </w:lvl>
    <w:lvl w:ilvl="6" w:tentative="0">
      <w:start w:val="1"/>
      <w:numFmt w:val="decimal"/>
      <w:lvlText w:val="%7."/>
      <w:lvlJc w:val="left"/>
      <w:pPr>
        <w:ind w:left="5607" w:hanging="360"/>
      </w:pPr>
    </w:lvl>
    <w:lvl w:ilvl="7" w:tentative="0">
      <w:start w:val="1"/>
      <w:numFmt w:val="lowerLetter"/>
      <w:lvlText w:val="%8."/>
      <w:lvlJc w:val="left"/>
      <w:pPr>
        <w:ind w:left="6327" w:hanging="360"/>
      </w:pPr>
    </w:lvl>
    <w:lvl w:ilvl="8" w:tentative="0">
      <w:start w:val="1"/>
      <w:numFmt w:val="lowerRoman"/>
      <w:lvlText w:val="%9."/>
      <w:lvlJc w:val="right"/>
      <w:pPr>
        <w:ind w:left="7047" w:hanging="180"/>
      </w:pPr>
    </w:lvl>
  </w:abstractNum>
  <w:abstractNum w:abstractNumId="7">
    <w:nsid w:val="59ADCABA"/>
    <w:multiLevelType w:val="multilevel"/>
    <w:tmpl w:val="59ADCABA"/>
    <w:lvl w:ilvl="0" w:tentative="0">
      <w:start w:val="1"/>
      <w:numFmt w:val="decimal"/>
      <w:lvlText w:val="%1."/>
      <w:lvlJc w:val="right"/>
      <w:pPr>
        <w:ind w:left="809" w:hanging="358"/>
      </w:pPr>
    </w:lvl>
    <w:lvl w:ilvl="1" w:tentative="0">
      <w:start w:val="1"/>
      <w:numFmt w:val="lowerLetter"/>
      <w:lvlText w:val="%2."/>
      <w:lvlJc w:val="left"/>
      <w:pPr>
        <w:ind w:left="1529" w:hanging="360"/>
      </w:pPr>
    </w:lvl>
    <w:lvl w:ilvl="2" w:tentative="0">
      <w:start w:val="1"/>
      <w:numFmt w:val="lowerRoman"/>
      <w:lvlText w:val="%3."/>
      <w:lvlJc w:val="right"/>
      <w:pPr>
        <w:ind w:left="2249" w:hanging="180"/>
      </w:pPr>
    </w:lvl>
    <w:lvl w:ilvl="3" w:tentative="0">
      <w:start w:val="1"/>
      <w:numFmt w:val="decimal"/>
      <w:lvlText w:val="%4."/>
      <w:lvlJc w:val="left"/>
      <w:pPr>
        <w:ind w:left="2969" w:hanging="360"/>
      </w:pPr>
    </w:lvl>
    <w:lvl w:ilvl="4" w:tentative="0">
      <w:start w:val="1"/>
      <w:numFmt w:val="lowerLetter"/>
      <w:lvlText w:val="%5."/>
      <w:lvlJc w:val="left"/>
      <w:pPr>
        <w:ind w:left="3689" w:hanging="360"/>
      </w:pPr>
    </w:lvl>
    <w:lvl w:ilvl="5" w:tentative="0">
      <w:start w:val="1"/>
      <w:numFmt w:val="lowerRoman"/>
      <w:lvlText w:val="%6."/>
      <w:lvlJc w:val="right"/>
      <w:pPr>
        <w:ind w:left="4409" w:hanging="180"/>
      </w:pPr>
    </w:lvl>
    <w:lvl w:ilvl="6" w:tentative="0">
      <w:start w:val="1"/>
      <w:numFmt w:val="decimal"/>
      <w:lvlText w:val="%7."/>
      <w:lvlJc w:val="left"/>
      <w:pPr>
        <w:ind w:left="5129" w:hanging="360"/>
      </w:pPr>
    </w:lvl>
    <w:lvl w:ilvl="7" w:tentative="0">
      <w:start w:val="1"/>
      <w:numFmt w:val="lowerLetter"/>
      <w:lvlText w:val="%8."/>
      <w:lvlJc w:val="left"/>
      <w:pPr>
        <w:ind w:left="5849" w:hanging="360"/>
      </w:pPr>
    </w:lvl>
    <w:lvl w:ilvl="8" w:tentative="0">
      <w:start w:val="1"/>
      <w:numFmt w:val="lowerRoman"/>
      <w:lvlText w:val="%9."/>
      <w:lvlJc w:val="right"/>
      <w:pPr>
        <w:ind w:left="6569" w:hanging="180"/>
      </w:pPr>
    </w:lvl>
  </w:abstractNum>
  <w:abstractNum w:abstractNumId="8">
    <w:nsid w:val="72183CF9"/>
    <w:multiLevelType w:val="multilevel"/>
    <w:tmpl w:val="72183CF9"/>
    <w:lvl w:ilvl="0" w:tentative="0">
      <w:start w:val="1"/>
      <w:numFmt w:val="lowerLetter"/>
      <w:lvlText w:val="%1)"/>
      <w:lvlJc w:val="left"/>
      <w:pPr>
        <w:ind w:left="1436" w:hanging="360"/>
      </w:pPr>
    </w:lvl>
    <w:lvl w:ilvl="1" w:tentative="0">
      <w:start w:val="1"/>
      <w:numFmt w:val="lowerLetter"/>
      <w:lvlText w:val="%2."/>
      <w:lvlJc w:val="left"/>
      <w:pPr>
        <w:ind w:left="2156" w:hanging="360"/>
      </w:pPr>
    </w:lvl>
    <w:lvl w:ilvl="2" w:tentative="0">
      <w:start w:val="1"/>
      <w:numFmt w:val="lowerRoman"/>
      <w:lvlText w:val="%3."/>
      <w:lvlJc w:val="right"/>
      <w:pPr>
        <w:ind w:left="2876" w:hanging="180"/>
      </w:pPr>
    </w:lvl>
    <w:lvl w:ilvl="3" w:tentative="0">
      <w:start w:val="1"/>
      <w:numFmt w:val="decimal"/>
      <w:lvlText w:val="%4."/>
      <w:lvlJc w:val="left"/>
      <w:pPr>
        <w:ind w:left="3596" w:hanging="360"/>
      </w:pPr>
    </w:lvl>
    <w:lvl w:ilvl="4" w:tentative="0">
      <w:start w:val="1"/>
      <w:numFmt w:val="lowerLetter"/>
      <w:lvlText w:val="%5."/>
      <w:lvlJc w:val="left"/>
      <w:pPr>
        <w:ind w:left="4316" w:hanging="360"/>
      </w:pPr>
    </w:lvl>
    <w:lvl w:ilvl="5" w:tentative="0">
      <w:start w:val="1"/>
      <w:numFmt w:val="lowerRoman"/>
      <w:lvlText w:val="%6."/>
      <w:lvlJc w:val="right"/>
      <w:pPr>
        <w:ind w:left="5036" w:hanging="180"/>
      </w:pPr>
    </w:lvl>
    <w:lvl w:ilvl="6" w:tentative="0">
      <w:start w:val="1"/>
      <w:numFmt w:val="decimal"/>
      <w:lvlText w:val="%7."/>
      <w:lvlJc w:val="left"/>
      <w:pPr>
        <w:ind w:left="5756" w:hanging="360"/>
      </w:pPr>
    </w:lvl>
    <w:lvl w:ilvl="7" w:tentative="0">
      <w:start w:val="1"/>
      <w:numFmt w:val="lowerLetter"/>
      <w:lvlText w:val="%8."/>
      <w:lvlJc w:val="left"/>
      <w:pPr>
        <w:ind w:left="6476" w:hanging="360"/>
      </w:pPr>
    </w:lvl>
    <w:lvl w:ilvl="8" w:tentative="0">
      <w:start w:val="1"/>
      <w:numFmt w:val="lowerRoman"/>
      <w:lvlText w:val="%9."/>
      <w:lvlJc w:val="right"/>
      <w:pPr>
        <w:ind w:left="7196" w:hanging="180"/>
      </w:p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footnotePr>
    <w:footnote w:id="2"/>
    <w:footnote w:id="3"/>
  </w:footnotePr>
  <w:compat>
    <w:compatSetting w:name="compatibilityMode" w:uri="http://schemas.microsoft.com/office/word" w:val="15"/>
  </w:compat>
  <w:rsids>
    <w:rsidRoot w:val="00000000"/>
    <w:rsid w:val="57094F46"/>
    <w:rsid w:val="654831A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Ecofont_Spranq_eco_Sans" w:hAnsi="Ecofont_Spranq_eco_Sans" w:eastAsia="Ecofont_Spranq_eco_Sans" w:cs="Ecofont_Spranq_eco_Sans"/>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qFormat="1" w:uiPriority="9" w:name="heading 3"/>
    <w:lsdException w:qFormat="1" w:uiPriority="0" w:name="heading 4"/>
    <w:lsdException w:unhideWhenUsed="0" w:uiPriority="0" w:semiHidden="0" w:name="heading 5"/>
    <w:lsdException w:qFormat="1" w:uiPriority="9"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iPriority="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99" w:semiHidden="0" w:name="Balloon Text"/>
    <w:lsdException w:qFormat="1" w:unhideWhenUsed="0" w:uiPriority="0" w:semiHidden="0" w:name="Table Grid"/>
    <w:lsdException w:unhideWhenUsed="0" w:uiPriority="0" w:semiHidden="0" w:name="Table Theme"/>
    <w:lsdException w:qFormat="1" w:unhideWhenUsed="0" w:uiPriority="67" w:name="Placeholder Text"/>
    <w:lsdException w:qFormat="1" w:unhideWhenUsed="0" w:uiPriority="34" w:semiHidden="0" w:name="List Paragraph"/>
    <w:lsdException w:qFormat="1" w:unhideWhenUsed="0" w:uiPriority="0" w:semiHidden="0" w:name="Quote"/>
  </w:latentStyles>
  <w:style w:type="paragraph" w:default="1" w:styleId="1">
    <w:name w:val="Normal"/>
    <w:uiPriority w:val="0"/>
    <w:rPr>
      <w:rFonts w:ascii="Ecofont_Spranq_eco_Sans" w:hAnsi="Ecofont_Spranq_eco_Sans" w:eastAsia="Ecofont_Spranq_eco_Sans" w:cs="Tahoma"/>
      <w:sz w:val="24"/>
      <w:szCs w:val="24"/>
      <w:lang w:val="pt-BR" w:eastAsia="pt-BR"/>
    </w:rPr>
  </w:style>
  <w:style w:type="paragraph" w:styleId="2">
    <w:name w:val="heading 1"/>
    <w:basedOn w:val="1"/>
    <w:next w:val="1"/>
    <w:link w:val="47"/>
    <w:uiPriority w:val="0"/>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30"/>
    <w:uiPriority w:val="0"/>
    <w:pPr>
      <w:keepNext/>
      <w:tabs>
        <w:tab w:val="left" w:pos="1701"/>
      </w:tabs>
      <w:ind w:right="-1"/>
      <w:jc w:val="center"/>
      <w:outlineLvl w:val="1"/>
    </w:pPr>
    <w:rPr>
      <w:rFonts w:ascii="Times New Roman" w:hAnsi="Times New Roman" w:cs="Times New Roman"/>
      <w:b/>
      <w:color w:val="000000"/>
      <w:szCs w:val="20"/>
    </w:rPr>
  </w:style>
  <w:style w:type="paragraph" w:styleId="4">
    <w:name w:val="heading 3"/>
    <w:basedOn w:val="1"/>
    <w:next w:val="1"/>
    <w:link w:val="92"/>
    <w:semiHidden/>
    <w:unhideWhenUsed/>
    <w:qFormat/>
    <w:uiPriority w:val="9"/>
    <w:pPr>
      <w:keepNext/>
      <w:keepLines/>
      <w:spacing w:before="40" w:line="259" w:lineRule="auto"/>
      <w:outlineLvl w:val="2"/>
    </w:pPr>
    <w:rPr>
      <w:rFonts w:asciiTheme="majorHAnsi" w:hAnsiTheme="majorHAnsi" w:eastAsiaTheme="majorEastAsia" w:cstheme="majorBidi"/>
      <w:color w:val="254061" w:themeColor="accent1" w:themeShade="80"/>
      <w:lang w:eastAsia="en-US"/>
    </w:rPr>
  </w:style>
  <w:style w:type="paragraph" w:styleId="5">
    <w:name w:val="heading 4"/>
    <w:basedOn w:val="1"/>
    <w:next w:val="1"/>
    <w:link w:val="42"/>
    <w:semiHidden/>
    <w:unhideWhenUsed/>
    <w:qFormat/>
    <w:uiPriority w:val="0"/>
    <w:pPr>
      <w:keepNext/>
      <w:keepLines/>
      <w:spacing w:before="40"/>
      <w:outlineLvl w:val="3"/>
    </w:pPr>
    <w:rPr>
      <w:rFonts w:asciiTheme="majorHAnsi" w:hAnsiTheme="majorHAnsi" w:eastAsiaTheme="majorEastAsia" w:cstheme="majorBidi"/>
      <w:i/>
      <w:iCs/>
      <w:color w:val="376092" w:themeColor="accent1" w:themeShade="BF"/>
    </w:rPr>
  </w:style>
  <w:style w:type="paragraph" w:styleId="6">
    <w:name w:val="heading 5"/>
    <w:basedOn w:val="1"/>
    <w:next w:val="1"/>
    <w:uiPriority w:val="0"/>
    <w:pPr>
      <w:keepNext/>
      <w:keepLines/>
      <w:pageBreakBefore w:val="0"/>
      <w:spacing w:before="220" w:after="40"/>
    </w:pPr>
    <w:rPr>
      <w:b/>
      <w:sz w:val="22"/>
      <w:szCs w:val="22"/>
    </w:rPr>
  </w:style>
  <w:style w:type="paragraph" w:styleId="7">
    <w:name w:val="heading 6"/>
    <w:basedOn w:val="1"/>
    <w:next w:val="1"/>
    <w:link w:val="93"/>
    <w:semiHidden/>
    <w:unhideWhenUsed/>
    <w:qFormat/>
    <w:uiPriority w:val="9"/>
    <w:pPr>
      <w:keepNext/>
      <w:keepLines/>
      <w:spacing w:before="40" w:line="259" w:lineRule="auto"/>
      <w:outlineLvl w:val="5"/>
    </w:pPr>
    <w:rPr>
      <w:rFonts w:asciiTheme="majorHAnsi" w:hAnsiTheme="majorHAnsi" w:eastAsiaTheme="majorEastAsia" w:cstheme="majorBidi"/>
      <w:color w:val="254061" w:themeColor="accent1" w:themeShade="80"/>
      <w:sz w:val="22"/>
      <w:szCs w:val="22"/>
      <w:lang w:eastAsia="en-US"/>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character" w:styleId="10">
    <w:name w:val="Strong"/>
    <w:basedOn w:val="8"/>
    <w:qFormat/>
    <w:uiPriority w:val="22"/>
    <w:rPr>
      <w:b/>
      <w:bCs/>
    </w:rPr>
  </w:style>
  <w:style w:type="character" w:styleId="11">
    <w:name w:val="annotation reference"/>
    <w:basedOn w:val="8"/>
    <w:unhideWhenUsed/>
    <w:qFormat/>
    <w:uiPriority w:val="0"/>
    <w:rPr>
      <w:sz w:val="16"/>
      <w:szCs w:val="16"/>
    </w:rPr>
  </w:style>
  <w:style w:type="character" w:styleId="12">
    <w:name w:val="FollowedHyperlink"/>
    <w:basedOn w:val="8"/>
    <w:semiHidden/>
    <w:unhideWhenUsed/>
    <w:qFormat/>
    <w:uiPriority w:val="0"/>
    <w:rPr>
      <w:color w:val="800080" w:themeColor="followedHyperlink"/>
      <w:u w:val="single"/>
      <w14:textFill>
        <w14:solidFill>
          <w14:schemeClr w14:val="folHlink"/>
        </w14:solidFill>
      </w14:textFill>
    </w:rPr>
  </w:style>
  <w:style w:type="character" w:styleId="13">
    <w:name w:val="Emphasis"/>
    <w:basedOn w:val="8"/>
    <w:qFormat/>
    <w:uiPriority w:val="0"/>
    <w:rPr>
      <w:i/>
      <w:iCs/>
    </w:rPr>
  </w:style>
  <w:style w:type="character" w:styleId="14">
    <w:name w:val="Hyperlink"/>
    <w:qFormat/>
    <w:uiPriority w:val="0"/>
    <w:rPr>
      <w:color w:val="000080"/>
      <w:u w:val="single"/>
    </w:rPr>
  </w:style>
  <w:style w:type="paragraph" w:styleId="15">
    <w:name w:val="Body Text"/>
    <w:basedOn w:val="1"/>
    <w:link w:val="56"/>
    <w:unhideWhenUsed/>
    <w:qFormat/>
    <w:uiPriority w:val="0"/>
    <w:pPr>
      <w:spacing w:before="100" w:beforeAutospacing="1" w:after="100" w:afterAutospacing="1"/>
    </w:pPr>
    <w:rPr>
      <w:rFonts w:ascii="Times New Roman" w:hAnsi="Times New Roman" w:eastAsia="Times New Roman" w:cs="Times New Roman"/>
    </w:rPr>
  </w:style>
  <w:style w:type="paragraph" w:styleId="16">
    <w:name w:val="annotation text"/>
    <w:basedOn w:val="1"/>
    <w:link w:val="40"/>
    <w:unhideWhenUsed/>
    <w:qFormat/>
    <w:uiPriority w:val="0"/>
    <w:rPr>
      <w:sz w:val="20"/>
      <w:szCs w:val="20"/>
    </w:rPr>
  </w:style>
  <w:style w:type="paragraph" w:styleId="17">
    <w:name w:val="Title"/>
    <w:basedOn w:val="1"/>
    <w:next w:val="1"/>
    <w:link w:val="45"/>
    <w:qFormat/>
    <w:uiPriority w:val="0"/>
    <w:pPr>
      <w:pBdr>
        <w:bottom w:val="single" w:color="4F81BD" w:themeColor="accent1" w:sz="8" w:space="4"/>
      </w:pBdr>
      <w:spacing w:after="300"/>
      <w:contextualSpacing/>
    </w:pPr>
    <w:rPr>
      <w:rFonts w:asciiTheme="majorHAnsi" w:hAnsiTheme="majorHAnsi" w:eastAsiaTheme="majorEastAsia" w:cstheme="majorBidi"/>
      <w:color w:val="17375E" w:themeColor="text2" w:themeShade="BF"/>
      <w:spacing w:val="5"/>
      <w:kern w:val="28"/>
      <w:sz w:val="52"/>
      <w:szCs w:val="52"/>
    </w:rPr>
  </w:style>
  <w:style w:type="paragraph" w:styleId="18">
    <w:name w:val="List Bullet 5"/>
    <w:basedOn w:val="1"/>
    <w:qFormat/>
    <w:uiPriority w:val="0"/>
    <w:pPr>
      <w:numPr>
        <w:ilvl w:val="0"/>
        <w:numId w:val="1"/>
      </w:numPr>
      <w:contextualSpacing/>
    </w:pPr>
  </w:style>
  <w:style w:type="paragraph" w:styleId="19">
    <w:name w:val="Normal (Web)"/>
    <w:basedOn w:val="1"/>
    <w:uiPriority w:val="99"/>
    <w:pPr>
      <w:spacing w:before="100" w:beforeAutospacing="1" w:after="100" w:afterAutospacing="1"/>
    </w:pPr>
    <w:rPr>
      <w:rFonts w:ascii="Times New Roman" w:hAnsi="Times New Roman" w:cs="Times New Roman"/>
    </w:rPr>
  </w:style>
  <w:style w:type="paragraph" w:styleId="20">
    <w:name w:val="header"/>
    <w:basedOn w:val="1"/>
    <w:link w:val="38"/>
    <w:qFormat/>
    <w:uiPriority w:val="0"/>
    <w:pPr>
      <w:tabs>
        <w:tab w:val="center" w:pos="4252"/>
        <w:tab w:val="right" w:pos="8504"/>
      </w:tabs>
    </w:pPr>
  </w:style>
  <w:style w:type="paragraph" w:styleId="21">
    <w:name w:val="annotation subject"/>
    <w:basedOn w:val="16"/>
    <w:next w:val="16"/>
    <w:link w:val="41"/>
    <w:semiHidden/>
    <w:unhideWhenUsed/>
    <w:qFormat/>
    <w:uiPriority w:val="0"/>
    <w:rPr>
      <w:b/>
      <w:bCs/>
    </w:rPr>
  </w:style>
  <w:style w:type="paragraph" w:styleId="22">
    <w:name w:val="footer"/>
    <w:basedOn w:val="1"/>
    <w:link w:val="39"/>
    <w:qFormat/>
    <w:uiPriority w:val="99"/>
    <w:pPr>
      <w:tabs>
        <w:tab w:val="center" w:pos="4252"/>
        <w:tab w:val="right" w:pos="8504"/>
      </w:tabs>
    </w:pPr>
  </w:style>
  <w:style w:type="paragraph" w:styleId="23">
    <w:name w:val="Balloon Text"/>
    <w:basedOn w:val="1"/>
    <w:link w:val="29"/>
    <w:uiPriority w:val="99"/>
    <w:rPr>
      <w:rFonts w:ascii="Tahoma" w:hAnsi="Tahoma"/>
      <w:sz w:val="16"/>
      <w:szCs w:val="16"/>
    </w:rPr>
  </w:style>
  <w:style w:type="paragraph" w:styleId="24">
    <w:name w:val="Subtitle"/>
    <w:basedOn w:val="1"/>
    <w:next w:val="1"/>
    <w:qFormat/>
    <w:uiPriority w:val="0"/>
    <w:pPr>
      <w:keepNext/>
      <w:keepLines/>
      <w:pageBreakBefore w:val="0"/>
      <w:spacing w:before="360" w:after="80"/>
    </w:pPr>
    <w:rPr>
      <w:rFonts w:ascii="Georgia" w:hAnsi="Georgia" w:eastAsia="Georgia" w:cs="Georgia"/>
      <w:i/>
      <w:color w:val="666666"/>
      <w:sz w:val="48"/>
      <w:szCs w:val="48"/>
    </w:rPr>
  </w:style>
  <w:style w:type="paragraph" w:styleId="25">
    <w:name w:val="toc 1"/>
    <w:basedOn w:val="1"/>
    <w:next w:val="1"/>
    <w:autoRedefine/>
    <w:unhideWhenUsed/>
    <w:qFormat/>
    <w:uiPriority w:val="39"/>
    <w:pPr>
      <w:tabs>
        <w:tab w:val="left" w:pos="426"/>
        <w:tab w:val="right" w:leader="dot" w:pos="9628"/>
      </w:tabs>
      <w:spacing w:after="100"/>
    </w:pPr>
    <w:rPr>
      <w:rFonts w:ascii="Arial" w:hAnsi="Arial" w:eastAsia="Times New Roman"/>
      <w:sz w:val="20"/>
    </w:rPr>
  </w:style>
  <w:style w:type="table" w:styleId="26">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
    <w:name w:val="Table Normal"/>
    <w:uiPriority w:val="0"/>
  </w:style>
  <w:style w:type="paragraph" w:styleId="28">
    <w:name w:val="List Paragraph"/>
    <w:basedOn w:val="1"/>
    <w:link w:val="91"/>
    <w:qFormat/>
    <w:uiPriority w:val="34"/>
    <w:pPr>
      <w:ind w:left="720"/>
      <w:contextualSpacing/>
    </w:pPr>
  </w:style>
  <w:style w:type="character" w:customStyle="1" w:styleId="29">
    <w:name w:val="Texto de balão Char"/>
    <w:link w:val="23"/>
    <w:qFormat/>
    <w:uiPriority w:val="99"/>
    <w:rPr>
      <w:rFonts w:ascii="Tahoma" w:hAnsi="Tahoma" w:cs="Tahoma"/>
      <w:sz w:val="16"/>
      <w:szCs w:val="16"/>
    </w:rPr>
  </w:style>
  <w:style w:type="character" w:customStyle="1" w:styleId="30">
    <w:name w:val="Título 2 Char"/>
    <w:link w:val="3"/>
    <w:qFormat/>
    <w:uiPriority w:val="0"/>
    <w:rPr>
      <w:b/>
      <w:color w:val="000000"/>
      <w:sz w:val="24"/>
    </w:rPr>
  </w:style>
  <w:style w:type="paragraph" w:customStyle="1" w:styleId="31">
    <w:name w:val="Nível 2"/>
    <w:basedOn w:val="1"/>
    <w:next w:val="1"/>
    <w:uiPriority w:val="0"/>
    <w:pPr>
      <w:spacing w:after="120"/>
      <w:jc w:val="both"/>
    </w:pPr>
    <w:rPr>
      <w:rFonts w:ascii="Arial" w:hAnsi="Arial" w:cs="Times New Roman"/>
      <w:b/>
      <w:szCs w:val="20"/>
    </w:rPr>
  </w:style>
  <w:style w:type="character" w:customStyle="1" w:styleId="32">
    <w:name w:val="normal__char1"/>
    <w:qFormat/>
    <w:uiPriority w:val="0"/>
    <w:rPr>
      <w:rFonts w:hint="default" w:ascii="Arial" w:hAnsi="Arial" w:cs="Arial"/>
      <w:sz w:val="24"/>
      <w:szCs w:val="24"/>
      <w:u w:val="none"/>
    </w:rPr>
  </w:style>
  <w:style w:type="character" w:customStyle="1" w:styleId="33">
    <w:name w:val="apple-style-span"/>
    <w:basedOn w:val="8"/>
    <w:qFormat/>
    <w:uiPriority w:val="0"/>
  </w:style>
  <w:style w:type="paragraph" w:styleId="34">
    <w:name w:val="Quote"/>
    <w:basedOn w:val="1"/>
    <w:next w:val="1"/>
    <w:link w:val="35"/>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 w:val="20"/>
      <w:lang w:eastAsia="en-US"/>
    </w:rPr>
  </w:style>
  <w:style w:type="character" w:customStyle="1" w:styleId="35">
    <w:name w:val="Citação Char"/>
    <w:link w:val="34"/>
    <w:qFormat/>
    <w:uiPriority w:val="0"/>
    <w:rPr>
      <w:rFonts w:ascii="Arial" w:hAnsi="Arial" w:eastAsia="Calibri" w:cs="Tahoma"/>
      <w:i/>
      <w:iCs/>
      <w:color w:val="000000"/>
      <w:szCs w:val="24"/>
      <w:shd w:val="clear" w:color="auto" w:fill="FFFFCC"/>
    </w:rPr>
  </w:style>
  <w:style w:type="paragraph" w:customStyle="1" w:styleId="36">
    <w:name w:val="Nota explicativa"/>
    <w:basedOn w:val="34"/>
    <w:link w:val="37"/>
    <w:qFormat/>
    <w:uiPriority w:val="0"/>
    <w:rPr>
      <w:szCs w:val="20"/>
    </w:rPr>
  </w:style>
  <w:style w:type="character" w:customStyle="1" w:styleId="37">
    <w:name w:val="Nota explicativa Char"/>
    <w:basedOn w:val="35"/>
    <w:link w:val="36"/>
    <w:qFormat/>
    <w:uiPriority w:val="0"/>
    <w:rPr>
      <w:rFonts w:ascii="Arial" w:hAnsi="Arial" w:eastAsia="Calibri" w:cs="Tahoma"/>
      <w:color w:val="000000"/>
      <w:szCs w:val="24"/>
      <w:shd w:val="clear" w:color="auto" w:fill="FFFFCC"/>
    </w:rPr>
  </w:style>
  <w:style w:type="character" w:customStyle="1" w:styleId="38">
    <w:name w:val="Cabeçalho Char"/>
    <w:link w:val="20"/>
    <w:qFormat/>
    <w:uiPriority w:val="0"/>
    <w:rPr>
      <w:rFonts w:ascii="Ecofont_Spranq_eco_Sans" w:hAnsi="Ecofont_Spranq_eco_Sans" w:cs="Tahoma"/>
      <w:sz w:val="24"/>
      <w:szCs w:val="24"/>
    </w:rPr>
  </w:style>
  <w:style w:type="character" w:customStyle="1" w:styleId="39">
    <w:name w:val="Rodapé Char"/>
    <w:link w:val="22"/>
    <w:qFormat/>
    <w:uiPriority w:val="99"/>
    <w:rPr>
      <w:rFonts w:ascii="Ecofont_Spranq_eco_Sans" w:hAnsi="Ecofont_Spranq_eco_Sans" w:cs="Tahoma"/>
      <w:sz w:val="24"/>
      <w:szCs w:val="24"/>
    </w:rPr>
  </w:style>
  <w:style w:type="character" w:customStyle="1" w:styleId="40">
    <w:name w:val="Texto de comentário Char"/>
    <w:basedOn w:val="8"/>
    <w:link w:val="16"/>
    <w:qFormat/>
    <w:uiPriority w:val="0"/>
    <w:rPr>
      <w:rFonts w:ascii="Ecofont_Spranq_eco_Sans" w:hAnsi="Ecofont_Spranq_eco_Sans" w:cs="Tahoma"/>
      <w:lang w:eastAsia="pt-BR"/>
    </w:rPr>
  </w:style>
  <w:style w:type="character" w:customStyle="1" w:styleId="41">
    <w:name w:val="Assunto do comentário Char"/>
    <w:basedOn w:val="40"/>
    <w:link w:val="21"/>
    <w:semiHidden/>
    <w:qFormat/>
    <w:uiPriority w:val="0"/>
    <w:rPr>
      <w:rFonts w:ascii="Ecofont_Spranq_eco_Sans" w:hAnsi="Ecofont_Spranq_eco_Sans" w:cs="Tahoma"/>
      <w:b/>
      <w:bCs/>
      <w:lang w:eastAsia="pt-BR"/>
    </w:rPr>
  </w:style>
  <w:style w:type="character" w:customStyle="1" w:styleId="42">
    <w:name w:val="Título 4 Char"/>
    <w:basedOn w:val="8"/>
    <w:link w:val="5"/>
    <w:qFormat/>
    <w:uiPriority w:val="0"/>
    <w:rPr>
      <w:rFonts w:asciiTheme="majorHAnsi" w:hAnsiTheme="majorHAnsi" w:eastAsiaTheme="majorEastAsia" w:cstheme="majorBidi"/>
      <w:i/>
      <w:iCs/>
      <w:color w:val="376092" w:themeColor="accent1" w:themeShade="BF"/>
      <w:sz w:val="24"/>
      <w:szCs w:val="24"/>
      <w:lang w:eastAsia="pt-BR"/>
    </w:rPr>
  </w:style>
  <w:style w:type="paragraph" w:customStyle="1" w:styleId="43">
    <w:name w:val="Nivel 01"/>
    <w:basedOn w:val="2"/>
    <w:next w:val="1"/>
    <w:link w:val="46"/>
    <w:autoRedefine/>
    <w:qFormat/>
    <w:uiPriority w:val="0"/>
    <w:pPr>
      <w:numPr>
        <w:ilvl w:val="0"/>
        <w:numId w:val="2"/>
      </w:numPr>
      <w:pBdr>
        <w:top w:val="single" w:color="auto" w:sz="4" w:space="1"/>
        <w:left w:val="single" w:color="auto" w:sz="4" w:space="4"/>
        <w:bottom w:val="single" w:color="auto" w:sz="4" w:space="1"/>
        <w:right w:val="single" w:color="auto" w:sz="4" w:space="4"/>
      </w:pBdr>
      <w:shd w:val="clear" w:color="auto" w:fill="BEBEBE" w:themeFill="background1" w:themeFillShade="BF"/>
      <w:tabs>
        <w:tab w:val="left" w:pos="567"/>
      </w:tabs>
      <w:spacing w:before="288" w:beforeLines="120" w:after="288" w:afterLines="120" w:line="312" w:lineRule="auto"/>
      <w:jc w:val="both"/>
    </w:pPr>
    <w:rPr>
      <w:rFonts w:ascii="Arial" w:hAnsi="Arial" w:cs="Arial"/>
      <w:color w:val="auto"/>
      <w:sz w:val="24"/>
      <w:szCs w:val="24"/>
      <w:lang w:eastAsia="en-US"/>
    </w:rPr>
  </w:style>
  <w:style w:type="paragraph" w:customStyle="1" w:styleId="44">
    <w:name w:val="Nivel_01_Titulo"/>
    <w:basedOn w:val="43"/>
    <w:link w:val="48"/>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45">
    <w:name w:val="Título Char"/>
    <w:basedOn w:val="8"/>
    <w:link w:val="17"/>
    <w:qFormat/>
    <w:uiPriority w:val="0"/>
    <w:rPr>
      <w:rFonts w:asciiTheme="majorHAnsi" w:hAnsiTheme="majorHAnsi" w:eastAsiaTheme="majorEastAsia" w:cstheme="majorBidi"/>
      <w:color w:val="17375E" w:themeColor="text2" w:themeShade="BF"/>
      <w:spacing w:val="5"/>
      <w:kern w:val="28"/>
      <w:sz w:val="52"/>
      <w:szCs w:val="52"/>
      <w:lang w:eastAsia="pt-BR"/>
    </w:rPr>
  </w:style>
  <w:style w:type="character" w:customStyle="1" w:styleId="46">
    <w:name w:val="Nivel 01 Char"/>
    <w:basedOn w:val="45"/>
    <w:link w:val="43"/>
    <w:qFormat/>
    <w:uiPriority w:val="0"/>
    <w:rPr>
      <w:rFonts w:ascii="Arial" w:hAnsi="Arial" w:cs="Arial" w:eastAsiaTheme="majorEastAsia"/>
      <w:b/>
      <w:bCs/>
      <w:color w:val="17375E" w:themeColor="text2" w:themeShade="BF"/>
      <w:spacing w:val="5"/>
      <w:kern w:val="28"/>
      <w:sz w:val="24"/>
      <w:szCs w:val="24"/>
      <w:shd w:val="clear" w:color="auto" w:fill="BEBEBE" w:themeFill="background1" w:themeFillShade="BF"/>
      <w:lang w:eastAsia="pt-BR"/>
    </w:rPr>
  </w:style>
  <w:style w:type="character" w:customStyle="1" w:styleId="47">
    <w:name w:val="Título 1 Char"/>
    <w:basedOn w:val="8"/>
    <w:link w:val="2"/>
    <w:qFormat/>
    <w:uiPriority w:val="0"/>
    <w:rPr>
      <w:rFonts w:asciiTheme="majorHAnsi" w:hAnsiTheme="majorHAnsi" w:eastAsiaTheme="majorEastAsia" w:cstheme="majorBidi"/>
      <w:b/>
      <w:bCs/>
      <w:color w:val="376092" w:themeColor="accent1" w:themeShade="BF"/>
      <w:sz w:val="28"/>
      <w:szCs w:val="28"/>
      <w:lang w:eastAsia="pt-BR"/>
    </w:rPr>
  </w:style>
  <w:style w:type="character" w:customStyle="1" w:styleId="48">
    <w:name w:val="Nivel_01_Titulo Char"/>
    <w:basedOn w:val="46"/>
    <w:link w:val="44"/>
    <w:qFormat/>
    <w:uiPriority w:val="0"/>
    <w:rPr>
      <w:rFonts w:ascii="Arial" w:hAnsi="Arial" w:eastAsiaTheme="majorEastAsia" w:cstheme="majorBidi"/>
      <w:color w:val="000000" w:themeColor="text1"/>
      <w:spacing w:val="5"/>
      <w:kern w:val="28"/>
      <w:sz w:val="52"/>
      <w:szCs w:val="52"/>
      <w:shd w:val="clear" w:color="auto" w:fill="BEBEBE" w:themeFill="background1" w:themeFillShade="BF"/>
      <w:lang w:eastAsia="pt-BR"/>
      <w14:textFill>
        <w14:solidFill>
          <w14:schemeClr w14:val="tx1"/>
        </w14:solidFill>
      </w14:textFill>
    </w:rPr>
  </w:style>
  <w:style w:type="paragraph" w:customStyle="1" w:styleId="49">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4"/>
      <w:szCs w:val="24"/>
      <w:lang w:val="pt-BR" w:eastAsia="zh-CN" w:bidi="hi-IN"/>
    </w:rPr>
  </w:style>
  <w:style w:type="character" w:customStyle="1" w:styleId="50">
    <w:name w:val="Quote Char"/>
    <w:basedOn w:val="8"/>
    <w:link w:val="51"/>
    <w:qFormat/>
    <w:uiPriority w:val="0"/>
    <w:rPr>
      <w:rFonts w:ascii="Ecofont_Spranq_eco_Sans" w:hAnsi="Ecofont_Spranq_eco_Sans" w:eastAsia="Calibri" w:cs="Tahoma"/>
      <w:i/>
      <w:iCs/>
      <w:color w:val="000000"/>
      <w:shd w:val="clear" w:color="auto" w:fill="FFFFCC"/>
    </w:rPr>
  </w:style>
  <w:style w:type="paragraph" w:customStyle="1" w:styleId="51">
    <w:name w:val="Citação1"/>
    <w:basedOn w:val="1"/>
    <w:next w:val="1"/>
    <w:link w:val="50"/>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eastAsia="Calibri"/>
      <w:i/>
      <w:iCs/>
      <w:color w:val="000000"/>
      <w:sz w:val="20"/>
      <w:szCs w:val="20"/>
      <w:lang w:eastAsia="en-US"/>
    </w:rPr>
  </w:style>
  <w:style w:type="paragraph" w:customStyle="1" w:styleId="52">
    <w:name w:val="paragraph"/>
    <w:basedOn w:val="1"/>
    <w:qFormat/>
    <w:uiPriority w:val="0"/>
    <w:pPr>
      <w:spacing w:before="100" w:beforeAutospacing="1" w:after="100" w:afterAutospacing="1"/>
    </w:pPr>
    <w:rPr>
      <w:rFonts w:ascii="Times New Roman" w:hAnsi="Times New Roman" w:eastAsia="Times New Roman" w:cs="Times New Roman"/>
    </w:rPr>
  </w:style>
  <w:style w:type="character" w:customStyle="1" w:styleId="53">
    <w:name w:val="normaltextrun"/>
    <w:basedOn w:val="8"/>
    <w:qFormat/>
    <w:uiPriority w:val="0"/>
  </w:style>
  <w:style w:type="character" w:customStyle="1" w:styleId="54">
    <w:name w:val="eop"/>
    <w:basedOn w:val="8"/>
    <w:qFormat/>
    <w:uiPriority w:val="0"/>
  </w:style>
  <w:style w:type="character" w:customStyle="1" w:styleId="55">
    <w:name w:val="spellingerror"/>
    <w:basedOn w:val="8"/>
    <w:qFormat/>
    <w:uiPriority w:val="0"/>
  </w:style>
  <w:style w:type="character" w:customStyle="1" w:styleId="56">
    <w:name w:val="Corpo de texto Char"/>
    <w:basedOn w:val="8"/>
    <w:link w:val="15"/>
    <w:qFormat/>
    <w:uiPriority w:val="0"/>
    <w:rPr>
      <w:rFonts w:eastAsia="Times New Roman"/>
      <w:sz w:val="24"/>
      <w:szCs w:val="24"/>
      <w:lang w:eastAsia="pt-BR"/>
    </w:rPr>
  </w:style>
  <w:style w:type="paragraph" w:customStyle="1" w:styleId="57">
    <w:name w:val="Nivel1"/>
    <w:basedOn w:val="2"/>
    <w:link w:val="58"/>
    <w:qFormat/>
    <w:uiPriority w:val="0"/>
    <w:pPr>
      <w:spacing w:line="276" w:lineRule="auto"/>
      <w:ind w:left="357" w:hanging="357"/>
      <w:jc w:val="both"/>
    </w:pPr>
    <w:rPr>
      <w:rFonts w:ascii="Arial" w:hAnsi="Arial" w:cs="Arial"/>
      <w:bCs w:val="0"/>
      <w:color w:val="000000"/>
    </w:rPr>
  </w:style>
  <w:style w:type="character" w:customStyle="1" w:styleId="58">
    <w:name w:val="Nivel1 Char"/>
    <w:basedOn w:val="47"/>
    <w:link w:val="57"/>
    <w:qFormat/>
    <w:uiPriority w:val="0"/>
    <w:rPr>
      <w:rFonts w:ascii="Arial" w:hAnsi="Arial" w:cs="Arial" w:eastAsiaTheme="majorEastAsia"/>
      <w:bCs w:val="0"/>
      <w:color w:val="000000"/>
      <w:sz w:val="28"/>
      <w:szCs w:val="28"/>
      <w:lang w:eastAsia="pt-BR"/>
    </w:rPr>
  </w:style>
  <w:style w:type="paragraph" w:customStyle="1" w:styleId="59">
    <w:name w:val="Parágrafo da Lista1"/>
    <w:basedOn w:val="1"/>
    <w:qFormat/>
    <w:uiPriority w:val="0"/>
    <w:pPr>
      <w:ind w:left="720"/>
    </w:pPr>
    <w:rPr>
      <w:rFonts w:eastAsia="Times New Roman" w:cs="Ecofont_Spranq_eco_Sans"/>
    </w:rPr>
  </w:style>
  <w:style w:type="paragraph" w:customStyle="1" w:styleId="60">
    <w:name w:val="Nivel 2"/>
    <w:basedOn w:val="1"/>
    <w:link w:val="85"/>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61">
    <w:name w:val="Nivel 1"/>
    <w:basedOn w:val="60"/>
    <w:next w:val="60"/>
    <w:qFormat/>
    <w:uiPriority w:val="0"/>
    <w:pPr>
      <w:numPr>
        <w:ilvl w:val="0"/>
        <w:numId w:val="0"/>
      </w:numPr>
      <w:ind w:left="360" w:hanging="360"/>
    </w:pPr>
    <w:rPr>
      <w:b/>
    </w:rPr>
  </w:style>
  <w:style w:type="paragraph" w:customStyle="1" w:styleId="62">
    <w:name w:val="Nivel 3"/>
    <w:basedOn w:val="1"/>
    <w:link w:val="11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63">
    <w:name w:val="Nivel 4"/>
    <w:basedOn w:val="62"/>
    <w:link w:val="65"/>
    <w:qFormat/>
    <w:uiPriority w:val="0"/>
    <w:pPr>
      <w:numPr>
        <w:ilvl w:val="3"/>
      </w:numPr>
      <w:ind w:left="567" w:firstLine="0"/>
    </w:pPr>
    <w:rPr>
      <w:color w:val="auto"/>
    </w:rPr>
  </w:style>
  <w:style w:type="paragraph" w:customStyle="1" w:styleId="64">
    <w:name w:val="Nivel 5"/>
    <w:basedOn w:val="63"/>
    <w:qFormat/>
    <w:uiPriority w:val="0"/>
    <w:pPr>
      <w:numPr>
        <w:ilvl w:val="4"/>
      </w:numPr>
      <w:ind w:left="851" w:firstLine="0"/>
    </w:pPr>
  </w:style>
  <w:style w:type="character" w:customStyle="1" w:styleId="65">
    <w:name w:val="Nivel 4 Char"/>
    <w:basedOn w:val="8"/>
    <w:link w:val="63"/>
    <w:qFormat/>
    <w:uiPriority w:val="0"/>
    <w:rPr>
      <w:rFonts w:ascii="Arial" w:hAnsi="Arial" w:cs="Arial"/>
      <w:lang w:eastAsia="pt-BR"/>
    </w:rPr>
  </w:style>
  <w:style w:type="paragraph" w:customStyle="1" w:styleId="66">
    <w:name w:val="textbody"/>
    <w:basedOn w:val="1"/>
    <w:qFormat/>
    <w:uiPriority w:val="0"/>
    <w:pPr>
      <w:spacing w:before="100" w:beforeAutospacing="1" w:after="100" w:afterAutospacing="1"/>
    </w:pPr>
    <w:rPr>
      <w:rFonts w:ascii="Times New Roman" w:hAnsi="Times New Roman" w:eastAsia="Times New Roman" w:cs="Times New Roman"/>
    </w:rPr>
  </w:style>
  <w:style w:type="paragraph" w:customStyle="1" w:styleId="67">
    <w:name w:val="em_0020ementa"/>
    <w:basedOn w:val="1"/>
    <w:qFormat/>
    <w:uiPriority w:val="0"/>
    <w:pPr>
      <w:ind w:left="4160"/>
      <w:jc w:val="both"/>
    </w:pPr>
    <w:rPr>
      <w:rFonts w:ascii="Times New Roman" w:hAnsi="Times New Roman" w:eastAsia="Times New Roman" w:cs="Times New Roman"/>
      <w:sz w:val="28"/>
      <w:szCs w:val="28"/>
    </w:rPr>
  </w:style>
  <w:style w:type="character" w:customStyle="1" w:styleId="68">
    <w:name w:val="cp_0020corpodespacho__char1"/>
    <w:qFormat/>
    <w:uiPriority w:val="0"/>
    <w:rPr>
      <w:rFonts w:hint="default" w:ascii="Times New Roman" w:hAnsi="Times New Roman" w:cs="Times New Roman"/>
      <w:sz w:val="26"/>
      <w:szCs w:val="26"/>
      <w:u w:val="none"/>
    </w:rPr>
  </w:style>
  <w:style w:type="character" w:customStyle="1" w:styleId="69">
    <w:name w:val="em_0020ementa__char1"/>
    <w:qFormat/>
    <w:uiPriority w:val="0"/>
    <w:rPr>
      <w:rFonts w:hint="default" w:ascii="Times New Roman" w:hAnsi="Times New Roman" w:cs="Times New Roman"/>
      <w:sz w:val="28"/>
      <w:szCs w:val="28"/>
      <w:u w:val="none"/>
    </w:rPr>
  </w:style>
  <w:style w:type="paragraph" w:customStyle="1" w:styleId="70">
    <w:name w:val="Revision"/>
    <w:hidden/>
    <w:semiHidden/>
    <w:qFormat/>
    <w:uiPriority w:val="99"/>
    <w:rPr>
      <w:rFonts w:ascii="Ecofont_Spranq_eco_Sans" w:hAnsi="Ecofont_Spranq_eco_Sans" w:eastAsia="Times New Roman" w:cs="Tahoma"/>
      <w:sz w:val="24"/>
      <w:szCs w:val="24"/>
      <w:lang w:val="pt-BR" w:eastAsia="pt-BR"/>
    </w:rPr>
  </w:style>
  <w:style w:type="character" w:customStyle="1" w:styleId="71">
    <w:name w:val="Manoel"/>
    <w:qFormat/>
    <w:uiPriority w:val="0"/>
    <w:rPr>
      <w:rFonts w:ascii="Arial" w:hAnsi="Arial" w:cs="Arial"/>
      <w:color w:val="7030A0"/>
      <w:sz w:val="20"/>
    </w:rPr>
  </w:style>
  <w:style w:type="character" w:customStyle="1" w:styleId="72">
    <w:name w:val="ListLabel 12"/>
    <w:qFormat/>
    <w:uiPriority w:val="0"/>
    <w:rPr>
      <w:b/>
    </w:rPr>
  </w:style>
  <w:style w:type="paragraph" w:customStyle="1" w:styleId="73">
    <w:name w:val="texto1"/>
    <w:basedOn w:val="1"/>
    <w:qFormat/>
    <w:uiPriority w:val="0"/>
    <w:pPr>
      <w:spacing w:before="100" w:beforeAutospacing="1" w:after="100" w:afterAutospacing="1"/>
    </w:pPr>
    <w:rPr>
      <w:rFonts w:ascii="Times New Roman" w:hAnsi="Times New Roman" w:eastAsia="Times New Roman" w:cs="Times New Roman"/>
    </w:rPr>
  </w:style>
  <w:style w:type="paragraph" w:customStyle="1" w:styleId="74">
    <w:name w:val="Grade Colorida - Ênfase 11"/>
    <w:basedOn w:val="1"/>
    <w:next w:val="1"/>
    <w:link w:val="75"/>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imes New Roman"/>
      <w:i/>
      <w:iCs/>
      <w:color w:val="000000"/>
      <w:sz w:val="20"/>
      <w:lang w:eastAsia="en-US"/>
    </w:rPr>
  </w:style>
  <w:style w:type="character" w:customStyle="1" w:styleId="75">
    <w:name w:val="Grade Colorida - Ênfase 1 Char"/>
    <w:link w:val="74"/>
    <w:qFormat/>
    <w:uiPriority w:val="29"/>
    <w:rPr>
      <w:rFonts w:ascii="Arial" w:hAnsi="Arial" w:eastAsia="Calibri"/>
      <w:i/>
      <w:iCs/>
      <w:color w:val="000000"/>
      <w:szCs w:val="24"/>
      <w:shd w:val="clear" w:color="auto" w:fill="FFFFCC"/>
    </w:rPr>
  </w:style>
  <w:style w:type="paragraph" w:customStyle="1" w:styleId="76">
    <w:name w:val="x_western"/>
    <w:basedOn w:val="1"/>
    <w:qFormat/>
    <w:uiPriority w:val="0"/>
    <w:pPr>
      <w:spacing w:before="100" w:beforeAutospacing="1" w:after="100" w:afterAutospacing="1"/>
    </w:pPr>
    <w:rPr>
      <w:rFonts w:ascii="Times New Roman" w:hAnsi="Times New Roman" w:eastAsia="Times New Roman" w:cs="Times New Roman"/>
    </w:rPr>
  </w:style>
  <w:style w:type="paragraph" w:customStyle="1" w:styleId="77">
    <w:name w:val="TCU - Ac - item 9 - §§_0"/>
    <w:basedOn w:val="1"/>
    <w:qFormat/>
    <w:uiPriority w:val="0"/>
    <w:pPr>
      <w:ind w:firstLine="1134"/>
      <w:jc w:val="both"/>
    </w:pPr>
    <w:rPr>
      <w:rFonts w:ascii="Times New Roman" w:hAnsi="Times New Roman" w:eastAsia="Times New Roman" w:cs="Times New Roman"/>
      <w:szCs w:val="22"/>
      <w:lang w:eastAsia="en-US"/>
    </w:rPr>
  </w:style>
  <w:style w:type="paragraph" w:customStyle="1" w:styleId="78">
    <w:name w:val="Normal_1"/>
    <w:qFormat/>
    <w:uiPriority w:val="0"/>
    <w:rPr>
      <w:rFonts w:ascii="Ecofont_Spranq_eco_Sans" w:hAnsi="Ecofont_Spranq_eco_Sans" w:eastAsia="Times New Roman" w:cs="Ecofont_Spranq_eco_Sans"/>
      <w:sz w:val="24"/>
      <w:szCs w:val="22"/>
      <w:lang w:val="pt-BR"/>
    </w:rPr>
  </w:style>
  <w:style w:type="paragraph" w:customStyle="1" w:styleId="79">
    <w:name w:val="tcu_-__ac_-_item_9_-_1ª_linha"/>
    <w:basedOn w:val="1"/>
    <w:qFormat/>
    <w:uiPriority w:val="0"/>
    <w:pPr>
      <w:spacing w:before="100" w:beforeAutospacing="1" w:after="100" w:afterAutospacing="1"/>
    </w:pPr>
    <w:rPr>
      <w:rFonts w:ascii="Times New Roman" w:hAnsi="Times New Roman" w:eastAsia="Times New Roman" w:cs="Times New Roman"/>
    </w:rPr>
  </w:style>
  <w:style w:type="paragraph" w:customStyle="1" w:styleId="80">
    <w:name w:val="texto_justificado_recuo_primeira_linha"/>
    <w:basedOn w:val="1"/>
    <w:qFormat/>
    <w:uiPriority w:val="0"/>
    <w:pPr>
      <w:spacing w:before="100" w:beforeAutospacing="1" w:after="100" w:afterAutospacing="1"/>
    </w:pPr>
    <w:rPr>
      <w:rFonts w:ascii="Times New Roman" w:hAnsi="Times New Roman" w:eastAsia="Times New Roman" w:cs="Times New Roman"/>
    </w:rPr>
  </w:style>
  <w:style w:type="character" w:customStyle="1" w:styleId="81">
    <w:name w:val="highlight"/>
    <w:basedOn w:val="8"/>
    <w:qFormat/>
    <w:uiPriority w:val="0"/>
  </w:style>
  <w:style w:type="paragraph" w:customStyle="1" w:styleId="82">
    <w:name w:val="texto_justificado"/>
    <w:basedOn w:val="1"/>
    <w:qFormat/>
    <w:uiPriority w:val="0"/>
    <w:pPr>
      <w:spacing w:before="100" w:beforeAutospacing="1" w:after="100" w:afterAutospacing="1"/>
    </w:pPr>
    <w:rPr>
      <w:rFonts w:ascii="Times New Roman" w:hAnsi="Times New Roman" w:eastAsia="Times New Roman" w:cs="Times New Roman"/>
    </w:rPr>
  </w:style>
  <w:style w:type="character" w:customStyle="1" w:styleId="83">
    <w:name w:val="Menção Pendente1"/>
    <w:basedOn w:val="8"/>
    <w:semiHidden/>
    <w:unhideWhenUsed/>
    <w:qFormat/>
    <w:uiPriority w:val="99"/>
    <w:rPr>
      <w:color w:val="605E5C"/>
      <w:shd w:val="clear" w:color="auto" w:fill="E1DFDD"/>
    </w:rPr>
  </w:style>
  <w:style w:type="character" w:customStyle="1" w:styleId="84">
    <w:name w:val="Menção Pendente2"/>
    <w:basedOn w:val="8"/>
    <w:semiHidden/>
    <w:unhideWhenUsed/>
    <w:qFormat/>
    <w:uiPriority w:val="99"/>
    <w:rPr>
      <w:color w:val="605E5C"/>
      <w:shd w:val="clear" w:color="auto" w:fill="E1DFDD"/>
    </w:rPr>
  </w:style>
  <w:style w:type="character" w:customStyle="1" w:styleId="85">
    <w:name w:val="Nivel 2 Char"/>
    <w:basedOn w:val="8"/>
    <w:link w:val="60"/>
    <w:qFormat/>
    <w:locked/>
    <w:uiPriority w:val="0"/>
    <w:rPr>
      <w:rFonts w:ascii="Arial" w:hAnsi="Arial" w:cs="Arial"/>
      <w:color w:val="000000"/>
      <w:lang w:eastAsia="pt-BR"/>
    </w:rPr>
  </w:style>
  <w:style w:type="paragraph" w:customStyle="1" w:styleId="86">
    <w:name w:val="Nível 2 Opcional"/>
    <w:basedOn w:val="60"/>
    <w:link w:val="88"/>
    <w:qFormat/>
    <w:uiPriority w:val="0"/>
    <w:pPr>
      <w:numPr>
        <w:ilvl w:val="0"/>
        <w:numId w:val="0"/>
      </w:numPr>
      <w:ind w:left="432" w:hanging="432"/>
    </w:pPr>
    <w:rPr>
      <w:rFonts w:eastAsia="Times New Roman"/>
      <w:i/>
      <w:color w:val="FF0000"/>
    </w:rPr>
  </w:style>
  <w:style w:type="paragraph" w:customStyle="1" w:styleId="87">
    <w:name w:val="Nível 3 Opcional"/>
    <w:basedOn w:val="62"/>
    <w:link w:val="89"/>
    <w:qFormat/>
    <w:uiPriority w:val="0"/>
    <w:pPr>
      <w:numPr>
        <w:ilvl w:val="0"/>
        <w:numId w:val="0"/>
      </w:numPr>
      <w:ind w:left="1072" w:hanging="504"/>
    </w:pPr>
    <w:rPr>
      <w:rFonts w:eastAsia="Times New Roman"/>
      <w:i/>
      <w:iCs/>
      <w:color w:val="FF0000"/>
    </w:rPr>
  </w:style>
  <w:style w:type="character" w:customStyle="1" w:styleId="88">
    <w:name w:val="Nível 2 Opcional Char"/>
    <w:basedOn w:val="8"/>
    <w:link w:val="86"/>
    <w:qFormat/>
    <w:uiPriority w:val="0"/>
    <w:rPr>
      <w:rFonts w:ascii="Arial" w:hAnsi="Arial" w:eastAsia="Times New Roman" w:cs="Arial"/>
      <w:i/>
      <w:color w:val="FF0000"/>
      <w:lang w:eastAsia="pt-BR"/>
    </w:rPr>
  </w:style>
  <w:style w:type="character" w:customStyle="1" w:styleId="89">
    <w:name w:val="Nível 3 Opcional Char"/>
    <w:basedOn w:val="8"/>
    <w:link w:val="87"/>
    <w:qFormat/>
    <w:uiPriority w:val="0"/>
    <w:rPr>
      <w:rFonts w:ascii="Arial" w:hAnsi="Arial" w:eastAsia="Times New Roman" w:cs="Arial"/>
      <w:i/>
      <w:iCs/>
      <w:color w:val="FF0000"/>
      <w:lang w:eastAsia="pt-BR"/>
    </w:rPr>
  </w:style>
  <w:style w:type="character" w:styleId="90">
    <w:name w:val="Placeholder Text"/>
    <w:basedOn w:val="8"/>
    <w:semiHidden/>
    <w:qFormat/>
    <w:uiPriority w:val="67"/>
    <w:rPr>
      <w:color w:val="808080"/>
    </w:rPr>
  </w:style>
  <w:style w:type="character" w:customStyle="1" w:styleId="91">
    <w:name w:val="Parágrafo da Lista Char"/>
    <w:basedOn w:val="8"/>
    <w:link w:val="28"/>
    <w:qFormat/>
    <w:uiPriority w:val="34"/>
    <w:rPr>
      <w:rFonts w:ascii="Ecofont_Spranq_eco_Sans" w:hAnsi="Ecofont_Spranq_eco_Sans" w:cs="Tahoma"/>
      <w:sz w:val="24"/>
      <w:szCs w:val="24"/>
      <w:lang w:eastAsia="pt-BR"/>
    </w:rPr>
  </w:style>
  <w:style w:type="character" w:customStyle="1" w:styleId="92">
    <w:name w:val="Título 3 Char"/>
    <w:basedOn w:val="8"/>
    <w:link w:val="4"/>
    <w:semiHidden/>
    <w:qFormat/>
    <w:uiPriority w:val="9"/>
    <w:rPr>
      <w:rFonts w:asciiTheme="majorHAnsi" w:hAnsiTheme="majorHAnsi" w:eastAsiaTheme="majorEastAsia" w:cstheme="majorBidi"/>
      <w:color w:val="254061" w:themeColor="accent1" w:themeShade="80"/>
      <w:sz w:val="24"/>
      <w:szCs w:val="24"/>
    </w:rPr>
  </w:style>
  <w:style w:type="character" w:customStyle="1" w:styleId="93">
    <w:name w:val="Título 6 Char"/>
    <w:basedOn w:val="8"/>
    <w:link w:val="7"/>
    <w:semiHidden/>
    <w:uiPriority w:val="9"/>
    <w:rPr>
      <w:rFonts w:asciiTheme="majorHAnsi" w:hAnsiTheme="majorHAnsi" w:eastAsiaTheme="majorEastAsia" w:cstheme="majorBidi"/>
      <w:color w:val="254061" w:themeColor="accent1" w:themeShade="80"/>
      <w:sz w:val="22"/>
      <w:szCs w:val="22"/>
    </w:rPr>
  </w:style>
  <w:style w:type="paragraph" w:customStyle="1" w:styleId="94">
    <w:name w:val="Sombreamento Médio 1 - Ênfase 31"/>
    <w:basedOn w:val="1"/>
    <w:next w:val="1"/>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eastAsia="Calibri"/>
      <w:i/>
      <w:iCs/>
      <w:color w:val="000000"/>
      <w:sz w:val="20"/>
      <w:lang w:eastAsia="zh-CN"/>
    </w:rPr>
  </w:style>
  <w:style w:type="paragraph" w:customStyle="1" w:styleId="95">
    <w:name w:val="corpo"/>
    <w:basedOn w:val="1"/>
    <w:qFormat/>
    <w:uiPriority w:val="0"/>
    <w:pPr>
      <w:spacing w:before="100" w:beforeAutospacing="1" w:after="100" w:afterAutospacing="1"/>
    </w:pPr>
    <w:rPr>
      <w:rFonts w:ascii="Times New Roman" w:hAnsi="Times New Roman" w:eastAsia="Times New Roman" w:cs="Times New Roman"/>
    </w:rPr>
  </w:style>
  <w:style w:type="paragraph" w:customStyle="1" w:styleId="96">
    <w:name w:val="item_nivel2"/>
    <w:basedOn w:val="1"/>
    <w:qFormat/>
    <w:uiPriority w:val="0"/>
    <w:pPr>
      <w:spacing w:before="100" w:beforeAutospacing="1" w:after="100" w:afterAutospacing="1"/>
    </w:pPr>
    <w:rPr>
      <w:rFonts w:ascii="Times New Roman" w:hAnsi="Times New Roman" w:eastAsia="Times New Roman" w:cs="Times New Roman"/>
    </w:rPr>
  </w:style>
  <w:style w:type="paragraph" w:customStyle="1" w:styleId="97">
    <w:name w:val="item_nivel1"/>
    <w:basedOn w:val="1"/>
    <w:uiPriority w:val="0"/>
    <w:pPr>
      <w:spacing w:before="100" w:beforeAutospacing="1" w:after="100" w:afterAutospacing="1"/>
    </w:pPr>
    <w:rPr>
      <w:rFonts w:ascii="Times New Roman" w:hAnsi="Times New Roman" w:eastAsia="Times New Roman" w:cs="Times New Roman"/>
    </w:rPr>
  </w:style>
  <w:style w:type="paragraph" w:customStyle="1" w:styleId="98">
    <w:name w:val="item_alinea_letra"/>
    <w:basedOn w:val="1"/>
    <w:qFormat/>
    <w:uiPriority w:val="0"/>
    <w:pPr>
      <w:spacing w:before="100" w:beforeAutospacing="1" w:after="100" w:afterAutospacing="1"/>
    </w:pPr>
    <w:rPr>
      <w:rFonts w:ascii="Times New Roman" w:hAnsi="Times New Roman" w:eastAsia="Times New Roman" w:cs="Times New Roman"/>
    </w:rPr>
  </w:style>
  <w:style w:type="character" w:customStyle="1" w:styleId="99">
    <w:name w:val="markedcontent"/>
    <w:basedOn w:val="8"/>
    <w:qFormat/>
    <w:uiPriority w:val="0"/>
  </w:style>
  <w:style w:type="paragraph" w:customStyle="1" w:styleId="100">
    <w:name w:val="Standard"/>
    <w:uiPriority w:val="0"/>
    <w:pPr>
      <w:suppressAutoHyphens/>
      <w:autoSpaceDN w:val="0"/>
    </w:pPr>
    <w:rPr>
      <w:rFonts w:ascii="Liberation Serif" w:hAnsi="Liberation Serif" w:eastAsia="NSimSun" w:cs="Lucida Sans"/>
      <w:kern w:val="3"/>
      <w:sz w:val="24"/>
      <w:szCs w:val="24"/>
      <w:lang w:val="pt-BR" w:eastAsia="zh-CN" w:bidi="hi-IN"/>
    </w:rPr>
  </w:style>
  <w:style w:type="paragraph" w:customStyle="1" w:styleId="101">
    <w:name w:val="Text body"/>
    <w:basedOn w:val="100"/>
    <w:qFormat/>
    <w:uiPriority w:val="0"/>
    <w:pPr>
      <w:spacing w:after="140" w:line="276" w:lineRule="auto"/>
    </w:pPr>
  </w:style>
  <w:style w:type="character" w:customStyle="1" w:styleId="102">
    <w:name w:val="Menção Pendente3"/>
    <w:basedOn w:val="8"/>
    <w:semiHidden/>
    <w:unhideWhenUsed/>
    <w:uiPriority w:val="99"/>
    <w:rPr>
      <w:color w:val="605E5C"/>
      <w:shd w:val="clear" w:color="auto" w:fill="E1DFDD"/>
    </w:rPr>
  </w:style>
  <w:style w:type="character" w:customStyle="1" w:styleId="103">
    <w:name w:val="Menção Pendente4"/>
    <w:basedOn w:val="8"/>
    <w:semiHidden/>
    <w:unhideWhenUsed/>
    <w:uiPriority w:val="99"/>
    <w:rPr>
      <w:color w:val="605E5C"/>
      <w:shd w:val="clear" w:color="auto" w:fill="E1DFDD"/>
    </w:rPr>
  </w:style>
  <w:style w:type="paragraph" w:customStyle="1" w:styleId="104">
    <w:name w:val="ou"/>
    <w:basedOn w:val="28"/>
    <w:link w:val="105"/>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05">
    <w:name w:val="ou Char"/>
    <w:basedOn w:val="91"/>
    <w:link w:val="104"/>
    <w:qFormat/>
    <w:uiPriority w:val="0"/>
    <w:rPr>
      <w:rFonts w:ascii="Arial" w:hAnsi="Arial" w:cs="Arial" w:eastAsiaTheme="minorHAnsi"/>
      <w:b/>
      <w:bCs/>
      <w:i/>
      <w:iCs/>
      <w:color w:val="FF0000"/>
      <w:sz w:val="24"/>
      <w:szCs w:val="24"/>
      <w:u w:val="single"/>
      <w:lang w:eastAsia="pt-BR"/>
    </w:rPr>
  </w:style>
  <w:style w:type="paragraph" w:customStyle="1" w:styleId="106">
    <w:name w:val="dou-paragraph"/>
    <w:basedOn w:val="1"/>
    <w:qFormat/>
    <w:uiPriority w:val="0"/>
    <w:pPr>
      <w:spacing w:before="100" w:beforeAutospacing="1" w:after="100" w:afterAutospacing="1"/>
    </w:pPr>
    <w:rPr>
      <w:rFonts w:ascii="Times New Roman" w:hAnsi="Times New Roman" w:eastAsia="Times New Roman" w:cs="Times New Roman"/>
    </w:rPr>
  </w:style>
  <w:style w:type="paragraph" w:customStyle="1" w:styleId="107">
    <w:name w:val="Nível 2 -Red"/>
    <w:basedOn w:val="60"/>
    <w:link w:val="109"/>
    <w:qFormat/>
    <w:uiPriority w:val="0"/>
    <w:rPr>
      <w:i/>
      <w:iCs/>
      <w:color w:val="FF0000"/>
    </w:rPr>
  </w:style>
  <w:style w:type="paragraph" w:customStyle="1" w:styleId="108">
    <w:name w:val="Nível 3-R"/>
    <w:basedOn w:val="62"/>
    <w:link w:val="112"/>
    <w:qFormat/>
    <w:uiPriority w:val="0"/>
    <w:rPr>
      <w:i/>
      <w:iCs/>
      <w:color w:val="FF0000"/>
    </w:rPr>
  </w:style>
  <w:style w:type="character" w:customStyle="1" w:styleId="109">
    <w:name w:val="Nível 2 -Red Char"/>
    <w:basedOn w:val="85"/>
    <w:link w:val="107"/>
    <w:uiPriority w:val="0"/>
    <w:rPr>
      <w:rFonts w:ascii="Arial" w:hAnsi="Arial" w:cs="Arial"/>
      <w:i/>
      <w:iCs/>
      <w:color w:val="FF0000"/>
      <w:lang w:eastAsia="pt-BR"/>
    </w:rPr>
  </w:style>
  <w:style w:type="paragraph" w:customStyle="1" w:styleId="110">
    <w:name w:val="Nível 4-R"/>
    <w:basedOn w:val="63"/>
    <w:link w:val="114"/>
    <w:qFormat/>
    <w:uiPriority w:val="0"/>
    <w:rPr>
      <w:i/>
      <w:iCs/>
      <w:color w:val="FF0000"/>
    </w:rPr>
  </w:style>
  <w:style w:type="character" w:customStyle="1" w:styleId="111">
    <w:name w:val="Nivel 3 Char"/>
    <w:basedOn w:val="8"/>
    <w:link w:val="62"/>
    <w:qFormat/>
    <w:uiPriority w:val="0"/>
    <w:rPr>
      <w:rFonts w:ascii="Arial" w:hAnsi="Arial" w:cs="Arial"/>
      <w:color w:val="000000"/>
      <w:lang w:eastAsia="pt-BR"/>
    </w:rPr>
  </w:style>
  <w:style w:type="character" w:customStyle="1" w:styleId="112">
    <w:name w:val="Nível 3-R Char"/>
    <w:basedOn w:val="111"/>
    <w:link w:val="108"/>
    <w:qFormat/>
    <w:uiPriority w:val="0"/>
    <w:rPr>
      <w:rFonts w:ascii="Arial" w:hAnsi="Arial" w:cs="Arial"/>
      <w:i/>
      <w:iCs/>
      <w:color w:val="FF0000"/>
      <w:lang w:eastAsia="pt-BR"/>
    </w:rPr>
  </w:style>
  <w:style w:type="paragraph" w:customStyle="1" w:styleId="113">
    <w:name w:val="Nível 1-Sem Num"/>
    <w:basedOn w:val="43"/>
    <w:link w:val="116"/>
    <w:qFormat/>
    <w:uiPriority w:val="0"/>
    <w:pPr>
      <w:numPr>
        <w:numId w:val="0"/>
      </w:numPr>
      <w:outlineLvl w:val="1"/>
    </w:pPr>
    <w:rPr>
      <w:color w:val="FF0000"/>
    </w:rPr>
  </w:style>
  <w:style w:type="character" w:customStyle="1" w:styleId="114">
    <w:name w:val="Nível 4-R Char"/>
    <w:basedOn w:val="65"/>
    <w:link w:val="110"/>
    <w:qFormat/>
    <w:uiPriority w:val="0"/>
    <w:rPr>
      <w:rFonts w:ascii="Arial" w:hAnsi="Arial" w:cs="Arial"/>
      <w:i/>
      <w:iCs/>
      <w:color w:val="FF0000"/>
      <w:lang w:eastAsia="pt-BR"/>
    </w:rPr>
  </w:style>
  <w:style w:type="character" w:customStyle="1" w:styleId="115">
    <w:name w:val="Link da Internet"/>
    <w:basedOn w:val="8"/>
    <w:unhideWhenUsed/>
    <w:qFormat/>
    <w:uiPriority w:val="99"/>
    <w:rPr>
      <w:color w:val="0000FF" w:themeColor="hyperlink"/>
      <w:u w:val="single"/>
      <w14:textFill>
        <w14:solidFill>
          <w14:schemeClr w14:val="hlink"/>
        </w14:solidFill>
      </w14:textFill>
    </w:rPr>
  </w:style>
  <w:style w:type="character" w:customStyle="1" w:styleId="116">
    <w:name w:val="Nível 1-Sem Num Char"/>
    <w:basedOn w:val="46"/>
    <w:link w:val="113"/>
    <w:qFormat/>
    <w:uiPriority w:val="0"/>
    <w:rPr>
      <w:rFonts w:ascii="Arial" w:hAnsi="Arial" w:cs="Arial" w:eastAsiaTheme="majorEastAsia"/>
      <w:color w:val="FF0000"/>
      <w:spacing w:val="5"/>
      <w:kern w:val="28"/>
      <w:sz w:val="52"/>
      <w:szCs w:val="52"/>
      <w:shd w:val="clear" w:color="auto" w:fill="BEBEBE" w:themeFill="background1" w:themeFillShade="BF"/>
      <w:lang w:eastAsia="pt-BR"/>
    </w:rPr>
  </w:style>
  <w:style w:type="paragraph" w:customStyle="1" w:styleId="117">
    <w:name w:val="citação 2"/>
    <w:basedOn w:val="34"/>
    <w:link w:val="121"/>
    <w:qFormat/>
    <w:uiPriority w:val="0"/>
    <w:pPr>
      <w:overflowPunct w:val="0"/>
    </w:pPr>
    <w:rPr>
      <w:szCs w:val="20"/>
    </w:rPr>
  </w:style>
  <w:style w:type="paragraph" w:customStyle="1" w:styleId="118">
    <w:name w:val="Preâmbulo"/>
    <w:basedOn w:val="1"/>
    <w:link w:val="119"/>
    <w:qFormat/>
    <w:uiPriority w:val="0"/>
    <w:pPr>
      <w:spacing w:before="480" w:after="120" w:line="360" w:lineRule="auto"/>
      <w:ind w:left="4253" w:right="-17"/>
      <w:jc w:val="both"/>
    </w:pPr>
    <w:rPr>
      <w:rFonts w:ascii="Arial" w:hAnsi="Arial" w:eastAsia="Arial" w:cs="Arial"/>
      <w:bCs/>
      <w:sz w:val="20"/>
      <w:szCs w:val="20"/>
    </w:rPr>
  </w:style>
  <w:style w:type="character" w:customStyle="1" w:styleId="119">
    <w:name w:val="Preâmbulo Char"/>
    <w:basedOn w:val="8"/>
    <w:link w:val="118"/>
    <w:qFormat/>
    <w:uiPriority w:val="0"/>
    <w:rPr>
      <w:rFonts w:ascii="Arial" w:hAnsi="Arial" w:eastAsia="Arial" w:cs="Arial"/>
      <w:bCs/>
      <w:lang w:eastAsia="pt-BR"/>
    </w:rPr>
  </w:style>
  <w:style w:type="character" w:customStyle="1" w:styleId="120">
    <w:name w:val="Menção Pendente5"/>
    <w:basedOn w:val="8"/>
    <w:semiHidden/>
    <w:unhideWhenUsed/>
    <w:qFormat/>
    <w:uiPriority w:val="99"/>
    <w:rPr>
      <w:color w:val="605E5C"/>
      <w:shd w:val="clear" w:color="auto" w:fill="E1DFDD"/>
    </w:rPr>
  </w:style>
  <w:style w:type="character" w:customStyle="1" w:styleId="121">
    <w:name w:val="citação 2 Char"/>
    <w:basedOn w:val="35"/>
    <w:link w:val="117"/>
    <w:qFormat/>
    <w:uiPriority w:val="0"/>
    <w:rPr>
      <w:rFonts w:ascii="Arial" w:hAnsi="Arial" w:eastAsia="Calibri" w:cs="Tahoma"/>
      <w:color w:val="000000"/>
      <w:szCs w:val="24"/>
      <w:shd w:val="clear" w:color="auto" w:fill="FFFFCC"/>
    </w:rPr>
  </w:style>
  <w:style w:type="paragraph" w:customStyle="1" w:styleId="122">
    <w:name w:val="TOC Heading"/>
    <w:basedOn w:val="2"/>
    <w:next w:val="1"/>
    <w:unhideWhenUsed/>
    <w:qFormat/>
    <w:uiPriority w:val="39"/>
    <w:pPr>
      <w:spacing w:before="240" w:line="259" w:lineRule="auto"/>
      <w:outlineLvl w:val="9"/>
    </w:pPr>
    <w:rPr>
      <w:b w:val="0"/>
      <w:bCs w:val="0"/>
      <w:sz w:val="32"/>
      <w:szCs w:val="32"/>
    </w:rPr>
  </w:style>
  <w:style w:type="character" w:customStyle="1" w:styleId="123">
    <w:name w:val="Menção Pendente6"/>
    <w:basedOn w:val="8"/>
    <w:semiHidden/>
    <w:unhideWhenUsed/>
    <w:qFormat/>
    <w:uiPriority w:val="99"/>
    <w:rPr>
      <w:color w:val="605E5C"/>
      <w:shd w:val="clear" w:color="auto" w:fill="E1DFDD"/>
    </w:rPr>
  </w:style>
  <w:style w:type="character" w:customStyle="1" w:styleId="124">
    <w:name w:val="Mention non résolue1"/>
    <w:basedOn w:val="8"/>
    <w:semiHidden/>
    <w:unhideWhenUsed/>
    <w:qFormat/>
    <w:uiPriority w:val="99"/>
    <w:rPr>
      <w:color w:val="605E5C"/>
      <w:shd w:val="clear" w:color="auto" w:fill="E1DFDD"/>
    </w:rPr>
  </w:style>
  <w:style w:type="paragraph" w:customStyle="1" w:styleId="125">
    <w:name w:val="Nível 3"/>
    <w:basedOn w:val="108"/>
    <w:link w:val="127"/>
    <w:qFormat/>
    <w:uiPriority w:val="0"/>
    <w:rPr>
      <w:i w:val="0"/>
      <w:iCs w:val="0"/>
    </w:rPr>
  </w:style>
  <w:style w:type="paragraph" w:customStyle="1" w:styleId="126">
    <w:name w:val="Nível 4"/>
    <w:basedOn w:val="125"/>
    <w:link w:val="129"/>
    <w:qFormat/>
    <w:uiPriority w:val="0"/>
    <w:pPr>
      <w:numPr>
        <w:ilvl w:val="0"/>
        <w:numId w:val="0"/>
      </w:numPr>
      <w:ind w:left="567"/>
    </w:pPr>
  </w:style>
  <w:style w:type="character" w:customStyle="1" w:styleId="127">
    <w:name w:val="Nível 3 Char"/>
    <w:basedOn w:val="112"/>
    <w:link w:val="125"/>
    <w:qFormat/>
    <w:uiPriority w:val="0"/>
    <w:rPr>
      <w:rFonts w:ascii="Arial" w:hAnsi="Arial" w:cs="Arial"/>
      <w:i w:val="0"/>
      <w:iCs w:val="0"/>
      <w:color w:val="FF0000"/>
      <w:lang w:eastAsia="pt-BR"/>
    </w:rPr>
  </w:style>
  <w:style w:type="paragraph" w:customStyle="1" w:styleId="128">
    <w:name w:val="SubTitNN"/>
    <w:basedOn w:val="1"/>
    <w:link w:val="130"/>
    <w:qFormat/>
    <w:uiPriority w:val="0"/>
    <w:pPr>
      <w:spacing w:before="240" w:after="120" w:line="276" w:lineRule="auto"/>
      <w:jc w:val="both"/>
    </w:pPr>
    <w:rPr>
      <w:rFonts w:ascii="Arial" w:hAnsi="Arial" w:eastAsia="Times New Roman" w:cs="Arial"/>
      <w:b/>
      <w:bCs/>
      <w:iCs/>
      <w:sz w:val="20"/>
      <w:szCs w:val="20"/>
    </w:rPr>
  </w:style>
  <w:style w:type="character" w:customStyle="1" w:styleId="129">
    <w:name w:val="Nível 4 Char"/>
    <w:basedOn w:val="127"/>
    <w:link w:val="126"/>
    <w:qFormat/>
    <w:uiPriority w:val="0"/>
    <w:rPr>
      <w:rFonts w:ascii="Arial" w:hAnsi="Arial" w:cs="Arial"/>
      <w:color w:val="FF0000"/>
      <w:lang w:eastAsia="pt-BR"/>
    </w:rPr>
  </w:style>
  <w:style w:type="character" w:customStyle="1" w:styleId="130">
    <w:name w:val="SubTitNN Char"/>
    <w:basedOn w:val="8"/>
    <w:link w:val="128"/>
    <w:qFormat/>
    <w:uiPriority w:val="0"/>
    <w:rPr>
      <w:rFonts w:ascii="Arial" w:hAnsi="Arial" w:eastAsia="Times New Roman" w:cs="Arial"/>
      <w:b/>
      <w:bCs/>
      <w:iCs/>
      <w:lang w:eastAsia="pt-BR"/>
    </w:rPr>
  </w:style>
  <w:style w:type="table" w:customStyle="1" w:styleId="131">
    <w:name w:val="_Style 137"/>
    <w:basedOn w:val="27"/>
    <w:qFormat/>
    <w:uiPriority w:val="0"/>
    <w:tblPr>
      <w:tblCellMar>
        <w:top w:w="0" w:type="dxa"/>
        <w:left w:w="115" w:type="dxa"/>
        <w:bottom w:w="0" w:type="dxa"/>
        <w:right w:w="115" w:type="dxa"/>
      </w:tblCellMar>
    </w:tblPr>
  </w:style>
  <w:style w:type="table" w:customStyle="1" w:styleId="132">
    <w:name w:val="_Style 138"/>
    <w:basedOn w:val="27"/>
    <w:qFormat/>
    <w:uiPriority w:val="0"/>
    <w:tblPr>
      <w:tblCellMar>
        <w:top w:w="0" w:type="dxa"/>
        <w:left w:w="115" w:type="dxa"/>
        <w:bottom w:w="0" w:type="dxa"/>
        <w:right w:w="115" w:type="dxa"/>
      </w:tblCellMar>
    </w:tblPr>
  </w:style>
  <w:style w:type="table" w:customStyle="1" w:styleId="133">
    <w:name w:val="_Style 139"/>
    <w:basedOn w:val="27"/>
    <w:qFormat/>
    <w:uiPriority w:val="0"/>
    <w:tblPr>
      <w:tblCellMar>
        <w:top w:w="0" w:type="dxa"/>
        <w:left w:w="115" w:type="dxa"/>
        <w:bottom w:w="0" w:type="dxa"/>
        <w:right w:w="115"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gCCcw/6p3NOHkDESNYwr2asmOQ==">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</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43</Pages>
  <TotalTime>0</TotalTime>
  <ScaleCrop>false</ScaleCrop>
  <LinksUpToDate>false</LinksUpToDate>
  <Application>WPS Office_12.2.0.20326_F1E327BC-269C-435d-A152-05C5408002CA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2023-05-20T13:00:00Z</dcterms:created>
  <dc:creator>prefe</dc:creator>
  <cp:lastModifiedBy>prefe</cp:lastModifiedBy>
  <dcterms:modified xsi:type="dcterms:W3CDTF">2025-03-24T18:53:41Z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1046-12.2.0.20326</vt:lpwstr>
  </property>
  <property fmtid="{D5CDD505-2E9C-101B-9397-08002B2CF9AE}" pid="5" name="ICV">
    <vt:lpwstr>3B86311680C644358B4F719B6F2F99A9_12</vt:lpwstr>
  </property>
</Properties>
</file>