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00001">
      <w:pPr>
        <w:widowControl w:val="0"/>
        <w:ind w:right="-81"/>
        <w:jc w:val="center"/>
        <w:rPr>
          <w:rFonts w:ascii="Arial" w:hAnsi="Arial" w:eastAsia="Arial" w:cs="Arial"/>
          <w:sz w:val="24"/>
          <w:szCs w:val="24"/>
          <w:u w:val="single"/>
        </w:rPr>
      </w:pPr>
      <w:r>
        <w:rPr>
          <w:rFonts w:ascii="Arial" w:hAnsi="Arial" w:eastAsia="Arial" w:cs="Arial"/>
          <w:b/>
          <w:sz w:val="24"/>
          <w:szCs w:val="24"/>
          <w:rtl w:val="0"/>
        </w:rPr>
        <w:t>ANEXO I - TERMO DE REFERÊNCIA</w:t>
      </w:r>
      <w:r>
        <w:rPr>
          <w:rFonts w:ascii="Arial" w:hAnsi="Arial" w:eastAsia="Arial" w:cs="Arial"/>
          <w:b/>
          <w:i/>
          <w:sz w:val="24"/>
          <w:szCs w:val="24"/>
          <w:rtl w:val="0"/>
        </w:rPr>
        <w:t>.</w:t>
      </w:r>
    </w:p>
    <w:p w14:paraId="00000002">
      <w:pPr>
        <w:tabs>
          <w:tab w:val="left" w:pos="0"/>
        </w:tabs>
        <w:spacing w:after="0" w:line="240" w:lineRule="auto"/>
        <w:jc w:val="center"/>
        <w:rPr>
          <w:rFonts w:ascii="Arial" w:hAnsi="Arial" w:eastAsia="Arial" w:cs="Arial"/>
          <w:sz w:val="24"/>
          <w:szCs w:val="24"/>
        </w:rPr>
      </w:pPr>
    </w:p>
    <w:p w14:paraId="00000003">
      <w:pPr>
        <w:numPr>
          <w:ilvl w:val="0"/>
          <w:numId w:val="1"/>
        </w:numPr>
        <w:pBdr>
          <w:top w:val="none" w:color="000000" w:sz="0" w:space="0"/>
          <w:left w:val="none" w:color="000000" w:sz="0" w:space="0"/>
          <w:bottom w:val="none" w:color="000000" w:sz="0" w:space="0"/>
          <w:right w:val="none" w:color="000000" w:sz="0" w:space="0"/>
          <w:between w:val="none" w:color="000000" w:sz="0" w:space="0"/>
        </w:pBdr>
        <w:shd w:val="clear" w:fill="E7E6E6"/>
        <w:tabs>
          <w:tab w:val="left" w:pos="0"/>
        </w:tabs>
        <w:ind w:left="284" w:hanging="284"/>
        <w:jc w:val="both"/>
        <w:rPr>
          <w:rFonts w:ascii="Arial" w:hAnsi="Arial" w:eastAsia="Arial" w:cs="Arial"/>
          <w:color w:val="000000"/>
          <w:sz w:val="24"/>
          <w:szCs w:val="24"/>
        </w:rPr>
      </w:pPr>
      <w:r>
        <w:rPr>
          <w:rFonts w:ascii="Arial" w:hAnsi="Arial" w:eastAsia="Arial" w:cs="Arial"/>
          <w:b/>
          <w:color w:val="000000"/>
          <w:sz w:val="24"/>
          <w:szCs w:val="24"/>
          <w:rtl w:val="0"/>
        </w:rPr>
        <w:t>DO OBJETO</w:t>
      </w:r>
    </w:p>
    <w:p w14:paraId="00000004">
      <w:pPr>
        <w:tabs>
          <w:tab w:val="left" w:pos="0"/>
        </w:tabs>
        <w:spacing w:line="360" w:lineRule="auto"/>
        <w:ind w:firstLine="1134"/>
        <w:jc w:val="both"/>
        <w:rPr>
          <w:rFonts w:ascii="Arial" w:hAnsi="Arial" w:eastAsia="Arial" w:cs="Arial"/>
          <w:sz w:val="24"/>
          <w:szCs w:val="24"/>
        </w:rPr>
      </w:pPr>
      <w:bookmarkStart w:id="0" w:name="_heading=h.ajxghdbhfpk8" w:colFirst="0" w:colLast="0"/>
      <w:bookmarkEnd w:id="0"/>
      <w:r>
        <w:rPr>
          <w:rFonts w:ascii="Arial" w:hAnsi="Arial" w:eastAsia="Arial" w:cs="Arial"/>
          <w:b/>
          <w:sz w:val="24"/>
          <w:szCs w:val="24"/>
          <w:rtl w:val="0"/>
        </w:rPr>
        <w:t>Contratação de empresa especializada na prestação de serviços técnicos de assessoria para operacionalização da Lei n. 14.399/2022 Política Nacional Aldir Blanc de fomento à Cultura – PNAB, conforme especificado, de acordo com as necessidades da Secretaria Municipal de Educação, cultura, esporte e lazer, do Município de Macururé-BA</w:t>
      </w:r>
      <w:r>
        <w:rPr>
          <w:rFonts w:ascii="Arial" w:hAnsi="Arial" w:eastAsia="Arial" w:cs="Arial"/>
          <w:sz w:val="24"/>
          <w:szCs w:val="24"/>
          <w:rtl w:val="0"/>
        </w:rPr>
        <w:t>, conforme especificações, quantitativos e condições estabelecidas neste termo de referência.</w:t>
      </w:r>
    </w:p>
    <w:p w14:paraId="00000005">
      <w:pPr>
        <w:numPr>
          <w:ilvl w:val="0"/>
          <w:numId w:val="1"/>
        </w:numPr>
        <w:pBdr>
          <w:top w:val="none" w:color="000000" w:sz="0" w:space="0"/>
          <w:left w:val="none" w:color="000000" w:sz="0" w:space="0"/>
          <w:bottom w:val="none" w:color="000000" w:sz="0" w:space="0"/>
          <w:right w:val="none" w:color="000000" w:sz="0" w:space="0"/>
          <w:between w:val="none" w:color="000000" w:sz="0" w:space="0"/>
        </w:pBdr>
        <w:shd w:val="clear" w:fill="E7E6E6"/>
        <w:tabs>
          <w:tab w:val="left" w:pos="0"/>
        </w:tabs>
        <w:ind w:left="284" w:hanging="284"/>
        <w:jc w:val="both"/>
        <w:rPr>
          <w:rFonts w:ascii="Arial" w:hAnsi="Arial" w:eastAsia="Arial" w:cs="Arial"/>
          <w:color w:val="000000"/>
          <w:sz w:val="24"/>
          <w:szCs w:val="24"/>
        </w:rPr>
      </w:pPr>
      <w:r>
        <w:rPr>
          <w:rFonts w:ascii="Arial" w:hAnsi="Arial" w:eastAsia="Arial" w:cs="Arial"/>
          <w:b/>
          <w:color w:val="000000"/>
          <w:sz w:val="24"/>
          <w:szCs w:val="24"/>
          <w:rtl w:val="0"/>
        </w:rPr>
        <w:t>DA JUSTIFICATIVA</w:t>
      </w:r>
    </w:p>
    <w:p w14:paraId="00000006">
      <w:pPr>
        <w:spacing w:before="240" w:after="0" w:line="360" w:lineRule="auto"/>
        <w:ind w:firstLine="1133"/>
        <w:jc w:val="both"/>
        <w:rPr>
          <w:rFonts w:ascii="Arial Narrow" w:hAnsi="Arial Narrow" w:eastAsia="Arial Narrow" w:cs="Arial Narrow"/>
          <w:sz w:val="24"/>
          <w:szCs w:val="24"/>
        </w:rPr>
      </w:pPr>
      <w:r>
        <w:rPr>
          <w:rFonts w:ascii="Arial Narrow" w:hAnsi="Arial Narrow" w:eastAsia="Arial Narrow" w:cs="Arial Narrow"/>
          <w:sz w:val="24"/>
          <w:szCs w:val="24"/>
          <w:rtl w:val="0"/>
        </w:rPr>
        <w:t xml:space="preserve">A contratação de empresa para consultoria e assessoria da Lei Paulo Gustavo tem como principal objetivo a operacionalização dos recursos recebidos pelo município, tornando assim possível a contratação de consultorias estipulando o valor, no art. 17 do referido decreto, de até 5% do valor total percebido pelo Município. Porém, não existe obrigatoriedade de o município contratar mão de obra especializada, podendo assim de forma individual desenvolver todas as suas atividades internas referentes às leis de incentivo. </w:t>
      </w:r>
    </w:p>
    <w:p w14:paraId="00000007">
      <w:pPr>
        <w:spacing w:before="240" w:after="0" w:line="360" w:lineRule="auto"/>
        <w:ind w:firstLine="1134"/>
        <w:jc w:val="both"/>
        <w:rPr>
          <w:rFonts w:ascii="Arial Narrow" w:hAnsi="Arial Narrow" w:eastAsia="Arial Narrow" w:cs="Arial Narrow"/>
          <w:sz w:val="24"/>
          <w:szCs w:val="24"/>
        </w:rPr>
      </w:pPr>
      <w:r>
        <w:rPr>
          <w:rFonts w:ascii="Arial Narrow" w:hAnsi="Arial Narrow" w:eastAsia="Arial Narrow" w:cs="Arial Narrow"/>
          <w:sz w:val="24"/>
          <w:szCs w:val="24"/>
          <w:rtl w:val="0"/>
        </w:rPr>
        <w:t xml:space="preserve">No entanto, a contratação de um profissional especializado e com vasta experiência em atividades desta natureza, pode oferecer ao município suporte técnico especializado do início ao fim do desenvolvimento de todas as atividades relacionadas a esta demanda, contribuindo de forma significativa para que o recurso disponibilizado ao Ente federativo, possa alcançar de maneira eficiente seus destinatários. Assim, diante de toda demanda e responsabilidade que o trabalho de consultoria exige, bem como o objetivo de cada Ente federativo, com o intuito de ser assertivo e auxiliar no procedimento interno do município, para que o recurso possa atingir com eficiência sua finalidade. Desta maneira, o município opta pela efetiva contratação de consultoria, em capacitação e desenvolvimento de oficinas (para sua equipe de gestores), sendo que na apresentação da proposta deverá contemplar esta possibilidade. Vale ressaltar ainda, que toda fundamentação legal a que se refere os 5% e a efetiva contratação, encontram-se nos art. 17 e 18 e seus incisos, dA Contratação de empresa para consultoria e assessoria da Lei Paulo Gustavo tem como principal objetivo a operacionalização dos recursos recebidos pelo município, tornando assim possível a contratação de consultorias estipulando o valor, no art. 17 do referido decreto, de até 5% do valor total percebido pelo Município. Porém, não existe obrigatoriedade de o município contratar mão de obra especializada, podendo assim de forma individual desenvolver todas as suas atividades internas referentes às leis de incentivo. </w:t>
      </w:r>
    </w:p>
    <w:p w14:paraId="00000008">
      <w:pPr>
        <w:spacing w:before="240" w:after="0" w:line="360" w:lineRule="auto"/>
        <w:ind w:firstLine="1134"/>
        <w:jc w:val="both"/>
        <w:rPr>
          <w:rFonts w:ascii="Arial Narrow" w:hAnsi="Arial Narrow" w:eastAsia="Arial Narrow" w:cs="Arial Narrow"/>
          <w:sz w:val="24"/>
          <w:szCs w:val="24"/>
        </w:rPr>
      </w:pPr>
      <w:r>
        <w:rPr>
          <w:rFonts w:ascii="Arial Narrow" w:hAnsi="Arial Narrow" w:eastAsia="Arial Narrow" w:cs="Arial Narrow"/>
          <w:sz w:val="24"/>
          <w:szCs w:val="24"/>
          <w:rtl w:val="0"/>
        </w:rPr>
        <w:t>No entanto, a contratação de uma profissional especializada e com vasta experiência em atividades desta natureza, pode oferecer ao município suporte técnico especializado do início ao fim do desenvolvimento de todas as atividades relacionadas a esta demanda, contribuindo de forma significativa para que o recurso disponibilizado ao Ente federativo, possa alcançar de maneira eficiente seus destinatários. Assim, diante de toda demanda e responsabilidade que o trabalho de consultoria exige, bem como o objetivo de cada Ente federativo, com o intuito de ser assertivo e auxiliar no procedimento interno do município, para que o recurso possa atingir com eficiência sua finalidade. Desta maneira, o município opta pela efetiva contratação de consultoria, em capacitação e desenvolvimento de oficinas (para sua equipe de gestores), sendo que na apresentação da proposta deverá contemplar esta possibilidade. Vale ressaltar ainda, que toda fundamentação legal a que se refere os 5% e a efetiva contratação, encontram-se nos art. 17 e 18 e seus incisos, do DECRETO Nº 11.525, de 11 de maio de 2023.</w:t>
      </w:r>
    </w:p>
    <w:p w14:paraId="00000009">
      <w:pPr>
        <w:spacing w:after="0" w:line="240" w:lineRule="auto"/>
        <w:jc w:val="both"/>
        <w:rPr>
          <w:rFonts w:ascii="Arial" w:hAnsi="Arial" w:eastAsia="Arial" w:cs="Arial"/>
          <w:sz w:val="24"/>
          <w:szCs w:val="24"/>
        </w:rPr>
      </w:pPr>
    </w:p>
    <w:p w14:paraId="0000000A">
      <w:pPr>
        <w:spacing w:after="0" w:line="240" w:lineRule="auto"/>
        <w:jc w:val="both"/>
        <w:rPr>
          <w:rFonts w:ascii="Arial" w:hAnsi="Arial" w:eastAsia="Arial" w:cs="Arial"/>
          <w:sz w:val="24"/>
          <w:szCs w:val="24"/>
        </w:rPr>
      </w:pPr>
    </w:p>
    <w:p w14:paraId="0000000B">
      <w:pPr>
        <w:numPr>
          <w:ilvl w:val="0"/>
          <w:numId w:val="1"/>
        </w:numPr>
        <w:pBdr>
          <w:top w:val="none" w:color="000000" w:sz="0" w:space="0"/>
          <w:left w:val="none" w:color="000000" w:sz="0" w:space="0"/>
          <w:bottom w:val="none" w:color="000000" w:sz="0" w:space="0"/>
          <w:right w:val="none" w:color="000000" w:sz="0" w:space="0"/>
          <w:between w:val="none" w:color="000000" w:sz="0" w:space="0"/>
        </w:pBdr>
        <w:shd w:val="clear" w:fill="D9D9D9"/>
        <w:spacing w:after="221" w:line="239" w:lineRule="auto"/>
        <w:ind w:left="284" w:right="3" w:hanging="284"/>
        <w:jc w:val="both"/>
        <w:rPr>
          <w:rFonts w:ascii="Arial" w:hAnsi="Arial" w:eastAsia="Arial" w:cs="Arial"/>
          <w:color w:val="000000"/>
          <w:sz w:val="24"/>
          <w:szCs w:val="24"/>
        </w:rPr>
      </w:pPr>
      <w:r>
        <w:rPr>
          <w:rFonts w:ascii="Arial" w:hAnsi="Arial" w:eastAsia="Arial" w:cs="Arial"/>
          <w:b/>
          <w:sz w:val="24"/>
          <w:szCs w:val="24"/>
          <w:rtl w:val="0"/>
        </w:rPr>
        <w:t>FUNDAMENTAÇÃO</w:t>
      </w:r>
      <w:r>
        <w:rPr>
          <w:rFonts w:ascii="Arial" w:hAnsi="Arial" w:eastAsia="Arial" w:cs="Arial"/>
          <w:b/>
          <w:color w:val="000000"/>
          <w:sz w:val="24"/>
          <w:szCs w:val="24"/>
          <w:rtl w:val="0"/>
        </w:rPr>
        <w:t xml:space="preserve"> JURÍDICA.</w:t>
      </w:r>
    </w:p>
    <w:p w14:paraId="0000000C">
      <w:pPr>
        <w:shd w:val="clear" w:fill="FFFFFF"/>
        <w:tabs>
          <w:tab w:val="left" w:pos="7655"/>
        </w:tabs>
        <w:spacing w:after="0" w:line="240" w:lineRule="auto"/>
        <w:ind w:firstLine="1134"/>
        <w:jc w:val="both"/>
        <w:rPr>
          <w:rFonts w:ascii="Arial" w:hAnsi="Arial" w:eastAsia="Arial" w:cs="Arial"/>
          <w:sz w:val="24"/>
          <w:szCs w:val="24"/>
        </w:rPr>
      </w:pPr>
    </w:p>
    <w:p w14:paraId="0000000D">
      <w:pPr>
        <w:shd w:val="clear" w:fill="FFFFFF"/>
        <w:tabs>
          <w:tab w:val="left" w:pos="7655"/>
        </w:tabs>
        <w:spacing w:after="0" w:line="240" w:lineRule="auto"/>
        <w:ind w:firstLine="1134"/>
        <w:jc w:val="both"/>
        <w:rPr>
          <w:rFonts w:ascii="Arial" w:hAnsi="Arial" w:eastAsia="Arial" w:cs="Arial"/>
          <w:sz w:val="24"/>
          <w:szCs w:val="24"/>
        </w:rPr>
      </w:pPr>
      <w:bookmarkStart w:id="1" w:name="_heading=h.gjdgxs" w:colFirst="0" w:colLast="0"/>
      <w:bookmarkEnd w:id="1"/>
      <w:r>
        <w:rPr>
          <w:rFonts w:ascii="Arial" w:hAnsi="Arial" w:eastAsia="Arial" w:cs="Arial"/>
          <w:sz w:val="24"/>
          <w:szCs w:val="24"/>
          <w:rtl w:val="0"/>
        </w:rPr>
        <w:t>A contratação, objeto deste Termo de Referência, deverá ocorrer por intermédio de dispensa, cujo tipo eletrônico será devidamente justificado pelo pregoeiro designado para o certame. Ademais tem amparo legal, integralmente, na Lei nº 14.133/2021 e demais legislações aplicáveis a este evento e nas condições e exigências descritas no Edital e nas demais prescrições legais aplicáveis às questões.</w:t>
      </w:r>
    </w:p>
    <w:p w14:paraId="0000000E">
      <w:pPr>
        <w:shd w:val="clear" w:fill="FFFFFF"/>
        <w:tabs>
          <w:tab w:val="left" w:pos="7655"/>
        </w:tabs>
        <w:spacing w:after="0" w:line="240" w:lineRule="auto"/>
        <w:ind w:firstLine="1134"/>
        <w:jc w:val="both"/>
        <w:rPr>
          <w:rFonts w:ascii="Arial" w:hAnsi="Arial" w:eastAsia="Arial" w:cs="Arial"/>
          <w:sz w:val="24"/>
          <w:szCs w:val="24"/>
        </w:rPr>
      </w:pPr>
    </w:p>
    <w:p w14:paraId="0000000F">
      <w:pPr>
        <w:shd w:val="clear" w:fill="FFFFFF"/>
        <w:tabs>
          <w:tab w:val="left" w:pos="7655"/>
        </w:tabs>
        <w:spacing w:after="0" w:line="240" w:lineRule="auto"/>
        <w:ind w:firstLine="1134"/>
        <w:jc w:val="both"/>
        <w:rPr>
          <w:rFonts w:ascii="Arial" w:hAnsi="Arial" w:eastAsia="Arial" w:cs="Arial"/>
          <w:sz w:val="24"/>
          <w:szCs w:val="24"/>
        </w:rPr>
      </w:pPr>
      <w:r>
        <w:rPr>
          <w:rFonts w:ascii="Arial" w:hAnsi="Arial" w:eastAsia="Arial" w:cs="Arial"/>
          <w:sz w:val="24"/>
          <w:szCs w:val="24"/>
          <w:rtl w:val="0"/>
        </w:rPr>
        <w:t xml:space="preserve">A Lei nº 14.133/2021 e suas alterações posteriores ao regulamentar o artigo 37, inciso XXI da Constituição Federal, estabelece normas gerais sobre licitações e contratos administrativos pertinentes à contratação de serviços e compras, locações no âmbito da esfera municipal e outros. </w:t>
      </w:r>
    </w:p>
    <w:p w14:paraId="00000010">
      <w:pPr>
        <w:shd w:val="clear" w:fill="FFFFFF"/>
        <w:tabs>
          <w:tab w:val="left" w:pos="7655"/>
        </w:tabs>
        <w:spacing w:after="0" w:line="240" w:lineRule="auto"/>
        <w:ind w:firstLine="1134"/>
        <w:jc w:val="both"/>
        <w:rPr>
          <w:rFonts w:ascii="Arial" w:hAnsi="Arial" w:eastAsia="Arial" w:cs="Arial"/>
          <w:sz w:val="24"/>
          <w:szCs w:val="24"/>
        </w:rPr>
      </w:pPr>
    </w:p>
    <w:p w14:paraId="00000011">
      <w:pPr>
        <w:shd w:val="clear" w:fill="FFFFFF"/>
        <w:tabs>
          <w:tab w:val="left" w:pos="7655"/>
        </w:tabs>
        <w:spacing w:after="0" w:line="240" w:lineRule="auto"/>
        <w:ind w:firstLine="1134"/>
        <w:jc w:val="both"/>
        <w:rPr>
          <w:rFonts w:ascii="Arial" w:hAnsi="Arial" w:eastAsia="Arial" w:cs="Arial"/>
          <w:sz w:val="24"/>
          <w:szCs w:val="24"/>
        </w:rPr>
      </w:pPr>
      <w:r>
        <w:rPr>
          <w:rFonts w:ascii="Arial" w:hAnsi="Arial" w:eastAsia="Arial" w:cs="Arial"/>
          <w:sz w:val="24"/>
          <w:szCs w:val="24"/>
          <w:rtl w:val="0"/>
        </w:rPr>
        <w:t>A licitação destina-se a garantir a observância do princípio constitucional da isonomia, a seleção da proposta mais vantajosa para a Administração, a promoção do desenvolvimento nacional sustentável, sendo processada e julgada em estrita conformidade com os princípios constitucionais e administrativos, a exemplo da legalidade e da vinculação ao instrumento convocatório, do julgamento objetivo e dos que lhes são correlatos.</w:t>
      </w:r>
    </w:p>
    <w:p w14:paraId="00000012">
      <w:pPr>
        <w:shd w:val="clear" w:fill="FFFFFF"/>
        <w:jc w:val="both"/>
        <w:rPr>
          <w:rFonts w:ascii="Arial" w:hAnsi="Arial" w:eastAsia="Arial" w:cs="Arial"/>
          <w:sz w:val="24"/>
          <w:szCs w:val="24"/>
        </w:rPr>
      </w:pPr>
    </w:p>
    <w:p w14:paraId="00000013">
      <w:pPr>
        <w:numPr>
          <w:ilvl w:val="0"/>
          <w:numId w:val="2"/>
        </w:numPr>
        <w:pBdr>
          <w:top w:val="none" w:color="000000" w:sz="0" w:space="0"/>
          <w:left w:val="none" w:color="000000" w:sz="0" w:space="0"/>
          <w:bottom w:val="none" w:color="000000" w:sz="0" w:space="0"/>
          <w:right w:val="none" w:color="000000" w:sz="0" w:space="0"/>
          <w:between w:val="none" w:color="000000" w:sz="0" w:space="0"/>
        </w:pBdr>
        <w:shd w:val="clear" w:fill="D9D9D9"/>
        <w:spacing w:after="0"/>
        <w:ind w:left="284" w:hanging="284"/>
        <w:jc w:val="both"/>
        <w:rPr>
          <w:rFonts w:ascii="Arial" w:hAnsi="Arial" w:eastAsia="Arial" w:cs="Arial"/>
          <w:color w:val="000000"/>
          <w:sz w:val="24"/>
          <w:szCs w:val="24"/>
        </w:rPr>
      </w:pPr>
      <w:r>
        <w:rPr>
          <w:rFonts w:ascii="Arial" w:hAnsi="Arial" w:eastAsia="Arial" w:cs="Arial"/>
          <w:b/>
          <w:color w:val="000000"/>
          <w:sz w:val="24"/>
          <w:szCs w:val="24"/>
          <w:rtl w:val="0"/>
        </w:rPr>
        <w:t>DETALHAMENTO, ESPECIFICAÇÕES E DAS CONDIÇÕES DE EXECUÇÃO:</w:t>
      </w:r>
    </w:p>
    <w:p w14:paraId="00000014">
      <w:pPr>
        <w:pBdr>
          <w:top w:val="none" w:color="000000" w:sz="0" w:space="0"/>
          <w:left w:val="none" w:color="000000" w:sz="0" w:space="0"/>
          <w:bottom w:val="none" w:color="000000" w:sz="0" w:space="0"/>
          <w:right w:val="none" w:color="000000" w:sz="0" w:space="0"/>
          <w:between w:val="none" w:color="000000" w:sz="0" w:space="0"/>
        </w:pBdr>
        <w:shd w:val="clear" w:fill="FFFFFF"/>
        <w:spacing w:after="0"/>
        <w:ind w:left="284" w:firstLine="0"/>
        <w:jc w:val="both"/>
        <w:rPr>
          <w:rFonts w:ascii="Arial" w:hAnsi="Arial" w:eastAsia="Arial" w:cs="Arial"/>
          <w:color w:val="000000"/>
          <w:sz w:val="24"/>
          <w:szCs w:val="24"/>
        </w:rPr>
      </w:pPr>
    </w:p>
    <w:p w14:paraId="00000015">
      <w:pPr>
        <w:numPr>
          <w:ilvl w:val="1"/>
          <w:numId w:val="2"/>
        </w:numPr>
        <w:pBdr>
          <w:top w:val="none" w:color="000000" w:sz="0" w:space="0"/>
          <w:left w:val="none" w:color="000000" w:sz="0" w:space="0"/>
          <w:bottom w:val="none" w:color="000000" w:sz="0" w:space="0"/>
          <w:right w:val="none" w:color="000000" w:sz="0" w:space="0"/>
          <w:between w:val="none" w:color="000000" w:sz="0" w:space="0"/>
        </w:pBdr>
        <w:ind w:left="1080" w:hanging="720"/>
        <w:jc w:val="both"/>
        <w:rPr>
          <w:rFonts w:ascii="Arial" w:hAnsi="Arial" w:eastAsia="Arial" w:cs="Arial"/>
          <w:color w:val="000000"/>
          <w:sz w:val="24"/>
          <w:szCs w:val="24"/>
        </w:rPr>
      </w:pPr>
      <w:r>
        <w:rPr>
          <w:rFonts w:ascii="Arial" w:hAnsi="Arial" w:eastAsia="Arial" w:cs="Arial"/>
          <w:b/>
          <w:color w:val="000000"/>
          <w:sz w:val="24"/>
          <w:szCs w:val="24"/>
          <w:rtl w:val="0"/>
        </w:rPr>
        <w:t>DETALHAMENTO E ESPECIFICAÇÕES:</w:t>
      </w:r>
    </w:p>
    <w:tbl>
      <w:tblPr>
        <w:tblStyle w:val="27"/>
        <w:tblW w:w="1063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11"/>
        <w:gridCol w:w="3769"/>
        <w:gridCol w:w="1031"/>
        <w:gridCol w:w="2287"/>
        <w:gridCol w:w="2438"/>
      </w:tblGrid>
      <w:tr w14:paraId="59381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016">
            <w:pPr>
              <w:widowControl w:val="0"/>
              <w:spacing w:after="0" w:line="240" w:lineRule="auto"/>
              <w:ind w:right="-81"/>
              <w:jc w:val="center"/>
              <w:rPr>
                <w:rFonts w:ascii="Arial" w:hAnsi="Arial" w:eastAsia="Arial" w:cs="Arial"/>
                <w:b/>
                <w:sz w:val="24"/>
                <w:szCs w:val="24"/>
                <w:u w:val="single"/>
              </w:rPr>
            </w:pPr>
            <w:r>
              <w:rPr>
                <w:rFonts w:ascii="Arial" w:hAnsi="Arial" w:eastAsia="Arial" w:cs="Arial"/>
                <w:b/>
                <w:sz w:val="24"/>
                <w:szCs w:val="24"/>
                <w:rtl w:val="0"/>
              </w:rPr>
              <w:t>ITEM</w:t>
            </w: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017">
            <w:pPr>
              <w:widowControl w:val="0"/>
              <w:spacing w:after="0" w:line="240" w:lineRule="auto"/>
              <w:ind w:right="-81"/>
              <w:jc w:val="center"/>
              <w:rPr>
                <w:rFonts w:ascii="Arial" w:hAnsi="Arial" w:eastAsia="Arial" w:cs="Arial"/>
                <w:b/>
                <w:sz w:val="24"/>
                <w:szCs w:val="24"/>
                <w:u w:val="single"/>
              </w:rPr>
            </w:pPr>
            <w:r>
              <w:rPr>
                <w:rFonts w:ascii="Arial" w:hAnsi="Arial" w:eastAsia="Arial" w:cs="Arial"/>
                <w:b/>
                <w:sz w:val="24"/>
                <w:szCs w:val="24"/>
                <w:rtl w:val="0"/>
              </w:rPr>
              <w:t>OBJETO</w:t>
            </w:r>
            <w:r>
              <w:rPr>
                <w:rFonts w:ascii="Arial" w:hAnsi="Arial" w:eastAsia="Arial" w:cs="Arial"/>
                <w:b/>
                <w:sz w:val="24"/>
                <w:szCs w:val="24"/>
                <w:u w:val="single"/>
                <w:rtl w:val="0"/>
              </w:rPr>
              <w:t xml:space="preserve"> </w:t>
            </w: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018">
            <w:pPr>
              <w:widowControl w:val="0"/>
              <w:spacing w:after="0" w:line="240" w:lineRule="auto"/>
              <w:ind w:right="-81"/>
              <w:jc w:val="center"/>
              <w:rPr>
                <w:rFonts w:ascii="Arial" w:hAnsi="Arial" w:eastAsia="Arial" w:cs="Arial"/>
                <w:b/>
                <w:sz w:val="24"/>
                <w:szCs w:val="24"/>
                <w:u w:val="single"/>
              </w:rPr>
            </w:pPr>
            <w:r>
              <w:rPr>
                <w:rFonts w:ascii="Arial" w:hAnsi="Arial" w:eastAsia="Arial" w:cs="Arial"/>
                <w:b/>
                <w:sz w:val="24"/>
                <w:szCs w:val="24"/>
                <w:rtl w:val="0"/>
              </w:rPr>
              <w:t>QTD</w:t>
            </w: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019">
            <w:pPr>
              <w:widowControl w:val="0"/>
              <w:spacing w:after="0" w:line="240" w:lineRule="auto"/>
              <w:ind w:right="-81"/>
              <w:jc w:val="center"/>
              <w:rPr>
                <w:rFonts w:ascii="Arial" w:hAnsi="Arial" w:eastAsia="Arial" w:cs="Arial"/>
                <w:b/>
                <w:sz w:val="24"/>
                <w:szCs w:val="24"/>
                <w:u w:val="single"/>
              </w:rPr>
            </w:pPr>
            <w:r>
              <w:rPr>
                <w:rFonts w:ascii="Arial" w:hAnsi="Arial" w:eastAsia="Arial" w:cs="Arial"/>
                <w:b/>
                <w:sz w:val="24"/>
                <w:szCs w:val="24"/>
                <w:rtl w:val="0"/>
              </w:rPr>
              <w:t>V. UNITÁRIO R$</w:t>
            </w: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01A">
            <w:pPr>
              <w:widowControl w:val="0"/>
              <w:spacing w:after="0" w:line="240" w:lineRule="auto"/>
              <w:ind w:right="-81"/>
              <w:jc w:val="center"/>
              <w:rPr>
                <w:rFonts w:ascii="Arial" w:hAnsi="Arial" w:eastAsia="Arial" w:cs="Arial"/>
                <w:b/>
                <w:sz w:val="24"/>
                <w:szCs w:val="24"/>
                <w:u w:val="single"/>
              </w:rPr>
            </w:pPr>
            <w:r>
              <w:rPr>
                <w:rFonts w:ascii="Arial" w:hAnsi="Arial" w:eastAsia="Arial" w:cs="Arial"/>
                <w:b/>
                <w:sz w:val="24"/>
                <w:szCs w:val="24"/>
                <w:rtl w:val="0"/>
              </w:rPr>
              <w:t>V. TOTAL R$</w:t>
            </w:r>
          </w:p>
        </w:tc>
      </w:tr>
      <w:tr w14:paraId="2E657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01B">
            <w:pPr>
              <w:widowControl w:val="0"/>
              <w:spacing w:after="0" w:line="240" w:lineRule="auto"/>
              <w:ind w:right="-81" w:firstLine="140"/>
              <w:jc w:val="both"/>
              <w:rPr>
                <w:rFonts w:ascii="Arial" w:hAnsi="Arial" w:eastAsia="Arial" w:cs="Arial"/>
                <w:sz w:val="24"/>
                <w:szCs w:val="24"/>
                <w:u w:val="single"/>
              </w:rPr>
            </w:pPr>
          </w:p>
          <w:p w14:paraId="0000001C">
            <w:pPr>
              <w:widowControl w:val="0"/>
              <w:spacing w:after="0" w:line="240" w:lineRule="auto"/>
              <w:ind w:right="-81" w:firstLine="140"/>
              <w:jc w:val="both"/>
              <w:rPr>
                <w:rFonts w:ascii="Arial" w:hAnsi="Arial" w:eastAsia="Arial" w:cs="Arial"/>
                <w:sz w:val="24"/>
                <w:szCs w:val="24"/>
                <w:u w:val="single"/>
              </w:rPr>
            </w:pPr>
          </w:p>
          <w:p w14:paraId="0000001D">
            <w:pPr>
              <w:widowControl w:val="0"/>
              <w:spacing w:after="0" w:line="240" w:lineRule="auto"/>
              <w:ind w:left="279" w:right="-81" w:firstLine="140"/>
              <w:jc w:val="both"/>
              <w:rPr>
                <w:rFonts w:ascii="Arial" w:hAnsi="Arial" w:eastAsia="Arial" w:cs="Arial"/>
                <w:sz w:val="24"/>
                <w:szCs w:val="24"/>
              </w:rPr>
            </w:pPr>
            <w:r>
              <w:rPr>
                <w:rFonts w:ascii="Arial" w:hAnsi="Arial" w:eastAsia="Arial" w:cs="Arial"/>
                <w:sz w:val="24"/>
                <w:szCs w:val="24"/>
                <w:u w:val="single"/>
                <w:rtl w:val="0"/>
              </w:rPr>
              <w:br w:type="textWrapping"/>
            </w:r>
            <w:r>
              <w:rPr>
                <w:rFonts w:ascii="Arial" w:hAnsi="Arial" w:eastAsia="Arial" w:cs="Arial"/>
                <w:sz w:val="24"/>
                <w:szCs w:val="24"/>
                <w:rtl w:val="0"/>
              </w:rPr>
              <w:t>1</w:t>
            </w: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01E">
            <w:pPr>
              <w:widowControl w:val="0"/>
              <w:spacing w:after="0" w:line="240" w:lineRule="auto"/>
              <w:ind w:right="-81"/>
              <w:jc w:val="both"/>
              <w:rPr>
                <w:rFonts w:ascii="Arial" w:hAnsi="Arial" w:eastAsia="Arial" w:cs="Arial"/>
                <w:sz w:val="24"/>
                <w:szCs w:val="24"/>
                <w:u w:val="single"/>
              </w:rPr>
            </w:pPr>
            <w:r>
              <w:rPr>
                <w:rFonts w:ascii="Arial" w:hAnsi="Arial" w:eastAsia="Arial" w:cs="Arial"/>
                <w:sz w:val="20"/>
                <w:szCs w:val="20"/>
                <w:rtl w:val="0"/>
              </w:rPr>
              <w:t>Contratação de empresa especializada na prestação de serviços técnicos de assessoria para operacionalização da Lei n. 14.399/2022 Política Nacional Aldir Blanc de fomento à Cultura – PNAB, conforme especificado, de acordo com as necessidades da Secretaria Municipal de Educação, cultura, esporte e lazer, do Município de Macururé-Ba</w:t>
            </w: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01F">
            <w:pPr>
              <w:widowControl w:val="0"/>
              <w:spacing w:after="0" w:line="240" w:lineRule="auto"/>
              <w:ind w:right="-81"/>
              <w:jc w:val="both"/>
              <w:rPr>
                <w:rFonts w:ascii="Arial" w:hAnsi="Arial" w:eastAsia="Arial" w:cs="Arial"/>
                <w:sz w:val="24"/>
                <w:szCs w:val="24"/>
                <w:u w:val="single"/>
              </w:rPr>
            </w:pPr>
          </w:p>
          <w:p w14:paraId="00000020">
            <w:pPr>
              <w:widowControl w:val="0"/>
              <w:spacing w:after="0" w:line="240" w:lineRule="auto"/>
              <w:ind w:right="-81"/>
              <w:jc w:val="both"/>
              <w:rPr>
                <w:rFonts w:ascii="Arial" w:hAnsi="Arial" w:eastAsia="Arial" w:cs="Arial"/>
                <w:sz w:val="24"/>
                <w:szCs w:val="24"/>
                <w:u w:val="single"/>
              </w:rPr>
            </w:pPr>
          </w:p>
          <w:p w14:paraId="00000021">
            <w:pPr>
              <w:widowControl w:val="0"/>
              <w:spacing w:after="0" w:line="240" w:lineRule="auto"/>
              <w:ind w:right="-81" w:firstLine="280"/>
              <w:jc w:val="both"/>
              <w:rPr>
                <w:rFonts w:ascii="Arial" w:hAnsi="Arial" w:eastAsia="Arial" w:cs="Arial"/>
                <w:sz w:val="24"/>
                <w:szCs w:val="24"/>
              </w:rPr>
            </w:pPr>
            <w:r>
              <w:rPr>
                <w:rFonts w:ascii="Arial" w:hAnsi="Arial" w:eastAsia="Arial" w:cs="Arial"/>
                <w:sz w:val="24"/>
                <w:szCs w:val="24"/>
                <w:rtl w:val="0"/>
              </w:rPr>
              <w:t>1</w:t>
            </w: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022">
            <w:pPr>
              <w:widowControl w:val="0"/>
              <w:spacing w:after="0" w:line="240" w:lineRule="auto"/>
              <w:ind w:right="-81"/>
              <w:jc w:val="center"/>
              <w:rPr>
                <w:rFonts w:ascii="Arial" w:hAnsi="Arial" w:eastAsia="Arial" w:cs="Arial"/>
                <w:sz w:val="24"/>
                <w:szCs w:val="24"/>
                <w:u w:val="single"/>
              </w:rPr>
            </w:pPr>
          </w:p>
          <w:p w14:paraId="00000023">
            <w:pPr>
              <w:widowControl w:val="0"/>
              <w:spacing w:after="0" w:line="240" w:lineRule="auto"/>
              <w:ind w:right="-81"/>
              <w:jc w:val="center"/>
              <w:rPr>
                <w:rFonts w:ascii="Arial" w:hAnsi="Arial" w:eastAsia="Arial" w:cs="Arial"/>
                <w:sz w:val="24"/>
                <w:szCs w:val="24"/>
                <w:u w:val="single"/>
              </w:rPr>
            </w:pPr>
          </w:p>
          <w:p w14:paraId="00000024">
            <w:pPr>
              <w:spacing w:after="0" w:line="240" w:lineRule="auto"/>
              <w:jc w:val="center"/>
              <w:rPr>
                <w:rFonts w:ascii="Arial" w:hAnsi="Arial" w:eastAsia="Arial" w:cs="Arial"/>
                <w:sz w:val="20"/>
                <w:szCs w:val="20"/>
              </w:rPr>
            </w:pPr>
            <w:r>
              <w:rPr>
                <w:rFonts w:ascii="Arial" w:hAnsi="Arial" w:eastAsia="Arial" w:cs="Arial"/>
                <w:sz w:val="24"/>
                <w:szCs w:val="24"/>
                <w:rtl w:val="0"/>
              </w:rPr>
              <w:t xml:space="preserve">R$ </w:t>
            </w:r>
            <w:r>
              <w:rPr>
                <w:rFonts w:ascii="Arial" w:hAnsi="Arial" w:eastAsia="Arial" w:cs="Arial"/>
                <w:b/>
                <w:color w:val="000000"/>
                <w:sz w:val="20"/>
                <w:szCs w:val="20"/>
                <w:rtl w:val="0"/>
              </w:rPr>
              <w:t>6.153,33</w:t>
            </w:r>
          </w:p>
          <w:p w14:paraId="00000025">
            <w:pPr>
              <w:widowControl w:val="0"/>
              <w:spacing w:after="0" w:line="240" w:lineRule="auto"/>
              <w:ind w:right="-81" w:firstLine="140"/>
              <w:jc w:val="center"/>
              <w:rPr>
                <w:rFonts w:ascii="Arial" w:hAnsi="Arial" w:eastAsia="Arial" w:cs="Arial"/>
                <w:sz w:val="24"/>
                <w:szCs w:val="24"/>
                <w:u w:val="single"/>
              </w:rPr>
            </w:pP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026">
            <w:pPr>
              <w:widowControl w:val="0"/>
              <w:spacing w:after="0" w:line="240" w:lineRule="auto"/>
              <w:ind w:right="-81"/>
              <w:jc w:val="center"/>
              <w:rPr>
                <w:rFonts w:ascii="Arial" w:hAnsi="Arial" w:eastAsia="Arial" w:cs="Arial"/>
                <w:sz w:val="24"/>
                <w:szCs w:val="24"/>
                <w:u w:val="single"/>
              </w:rPr>
            </w:pPr>
          </w:p>
          <w:p w14:paraId="00000027">
            <w:pPr>
              <w:widowControl w:val="0"/>
              <w:spacing w:after="0" w:line="240" w:lineRule="auto"/>
              <w:ind w:right="-81"/>
              <w:jc w:val="center"/>
              <w:rPr>
                <w:rFonts w:ascii="Arial" w:hAnsi="Arial" w:eastAsia="Arial" w:cs="Arial"/>
                <w:sz w:val="24"/>
                <w:szCs w:val="24"/>
                <w:u w:val="single"/>
              </w:rPr>
            </w:pPr>
          </w:p>
          <w:p w14:paraId="00000028">
            <w:pPr>
              <w:widowControl w:val="0"/>
              <w:spacing w:after="0" w:line="240" w:lineRule="auto"/>
              <w:ind w:right="-81"/>
              <w:jc w:val="center"/>
              <w:rPr>
                <w:rFonts w:ascii="Arial" w:hAnsi="Arial" w:eastAsia="Arial" w:cs="Arial"/>
                <w:sz w:val="24"/>
                <w:szCs w:val="24"/>
                <w:u w:val="single"/>
              </w:rPr>
            </w:pPr>
            <w:r>
              <w:rPr>
                <w:rFonts w:ascii="Arial" w:hAnsi="Arial" w:eastAsia="Arial" w:cs="Arial"/>
                <w:sz w:val="24"/>
                <w:szCs w:val="24"/>
                <w:rtl w:val="0"/>
              </w:rPr>
              <w:t xml:space="preserve">R$ </w:t>
            </w:r>
            <w:r>
              <w:rPr>
                <w:rFonts w:ascii="Arial" w:hAnsi="Arial" w:eastAsia="Arial" w:cs="Arial"/>
                <w:b/>
                <w:color w:val="000000"/>
                <w:sz w:val="20"/>
                <w:szCs w:val="20"/>
                <w:rtl w:val="0"/>
              </w:rPr>
              <w:t>6.153,33</w:t>
            </w:r>
          </w:p>
        </w:tc>
      </w:tr>
      <w:tr w14:paraId="02A9D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gridSpan w:val="4"/>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029">
            <w:pPr>
              <w:widowControl w:val="0"/>
              <w:spacing w:after="0" w:line="240" w:lineRule="auto"/>
              <w:ind w:right="-81" w:firstLine="3780"/>
              <w:jc w:val="both"/>
              <w:rPr>
                <w:rFonts w:ascii="Arial" w:hAnsi="Arial" w:eastAsia="Arial" w:cs="Arial"/>
                <w:b/>
                <w:sz w:val="24"/>
                <w:szCs w:val="24"/>
                <w:u w:val="single"/>
              </w:rPr>
            </w:pPr>
            <w:r>
              <w:rPr>
                <w:rFonts w:ascii="Arial" w:hAnsi="Arial" w:eastAsia="Arial" w:cs="Arial"/>
                <w:b/>
                <w:sz w:val="24"/>
                <w:szCs w:val="24"/>
                <w:rtl w:val="0"/>
              </w:rPr>
              <w:t xml:space="preserve">Valor total </w:t>
            </w:r>
          </w:p>
        </w:tc>
        <w:tc>
          <w:tcPr>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000002D">
            <w:pPr>
              <w:widowControl w:val="0"/>
              <w:spacing w:after="0" w:line="240" w:lineRule="auto"/>
              <w:ind w:right="-81"/>
              <w:jc w:val="center"/>
              <w:rPr>
                <w:rFonts w:ascii="Arial" w:hAnsi="Arial" w:eastAsia="Arial" w:cs="Arial"/>
                <w:b/>
                <w:sz w:val="24"/>
                <w:szCs w:val="24"/>
                <w:u w:val="single"/>
              </w:rPr>
            </w:pPr>
            <w:r>
              <w:rPr>
                <w:rFonts w:ascii="Arial" w:hAnsi="Arial" w:eastAsia="Arial" w:cs="Arial"/>
                <w:b/>
                <w:sz w:val="24"/>
                <w:szCs w:val="24"/>
                <w:rtl w:val="0"/>
              </w:rPr>
              <w:t xml:space="preserve">R$ </w:t>
            </w:r>
            <w:r>
              <w:rPr>
                <w:rFonts w:ascii="Arial" w:hAnsi="Arial" w:eastAsia="Arial" w:cs="Arial"/>
                <w:b/>
                <w:color w:val="000000"/>
                <w:sz w:val="20"/>
                <w:szCs w:val="20"/>
                <w:rtl w:val="0"/>
              </w:rPr>
              <w:t>6.153,33</w:t>
            </w:r>
          </w:p>
        </w:tc>
      </w:tr>
    </w:tbl>
    <w:p w14:paraId="0000002E">
      <w:pPr>
        <w:numPr>
          <w:ilvl w:val="1"/>
          <w:numId w:val="2"/>
        </w:numPr>
        <w:pBdr>
          <w:top w:val="none" w:color="000000" w:sz="0" w:space="0"/>
          <w:left w:val="none" w:color="000000" w:sz="0" w:space="0"/>
          <w:bottom w:val="none" w:color="000000" w:sz="0" w:space="0"/>
          <w:right w:val="none" w:color="000000" w:sz="0" w:space="0"/>
          <w:between w:val="none" w:color="000000" w:sz="0" w:space="0"/>
        </w:pBdr>
        <w:ind w:left="1080" w:hanging="720"/>
        <w:jc w:val="both"/>
        <w:rPr>
          <w:rFonts w:ascii="Arial" w:hAnsi="Arial" w:eastAsia="Arial" w:cs="Arial"/>
          <w:color w:val="000000"/>
          <w:sz w:val="24"/>
          <w:szCs w:val="24"/>
        </w:rPr>
      </w:pPr>
      <w:r>
        <w:rPr>
          <w:rFonts w:ascii="Arial" w:hAnsi="Arial" w:eastAsia="Arial" w:cs="Arial"/>
          <w:sz w:val="24"/>
          <w:szCs w:val="24"/>
          <w:rtl w:val="0"/>
        </w:rPr>
        <w:t>Contratação de empresa especializada na prestação de serviços técnicos de assessoria para operacionalização da Lei n. 14.399/2022 Política Nacional Aldir Blanc</w:t>
      </w:r>
    </w:p>
    <w:p w14:paraId="0000002F">
      <w:pPr>
        <w:numPr>
          <w:ilvl w:val="1"/>
          <w:numId w:val="2"/>
        </w:numPr>
        <w:pBdr>
          <w:top w:val="none" w:color="000000" w:sz="0" w:space="0"/>
          <w:left w:val="none" w:color="000000" w:sz="0" w:space="0"/>
          <w:bottom w:val="none" w:color="000000" w:sz="0" w:space="0"/>
          <w:right w:val="none" w:color="000000" w:sz="0" w:space="0"/>
          <w:between w:val="none" w:color="000000" w:sz="0" w:space="0"/>
        </w:pBdr>
        <w:spacing w:after="0"/>
        <w:ind w:left="1080" w:hanging="720"/>
        <w:jc w:val="both"/>
        <w:rPr>
          <w:rFonts w:ascii="Arial" w:hAnsi="Arial" w:eastAsia="Arial" w:cs="Arial"/>
          <w:color w:val="000000"/>
          <w:sz w:val="24"/>
          <w:szCs w:val="24"/>
        </w:rPr>
      </w:pPr>
      <w:r>
        <w:rPr>
          <w:rFonts w:ascii="Arial" w:hAnsi="Arial" w:eastAsia="Arial" w:cs="Arial"/>
          <w:sz w:val="24"/>
          <w:szCs w:val="24"/>
          <w:rtl w:val="0"/>
        </w:rPr>
        <w:t>O item objeto do presente serviço está dentro da padronização seguida pelo órgão, conforme especificações técnicas e requisitos de desempenho.</w:t>
      </w:r>
    </w:p>
    <w:p w14:paraId="00000030">
      <w:pPr>
        <w:pBdr>
          <w:top w:val="none" w:color="000000" w:sz="0" w:space="0"/>
          <w:left w:val="none" w:color="000000" w:sz="0" w:space="0"/>
          <w:bottom w:val="none" w:color="000000" w:sz="0" w:space="0"/>
          <w:right w:val="none" w:color="000000" w:sz="0" w:space="0"/>
          <w:between w:val="none" w:color="000000" w:sz="0" w:space="0"/>
        </w:pBdr>
        <w:spacing w:after="0"/>
        <w:ind w:left="0" w:firstLine="0"/>
        <w:jc w:val="both"/>
        <w:rPr>
          <w:rFonts w:ascii="Arial" w:hAnsi="Arial" w:eastAsia="Arial" w:cs="Arial"/>
          <w:sz w:val="24"/>
          <w:szCs w:val="24"/>
        </w:rPr>
      </w:pPr>
    </w:p>
    <w:p w14:paraId="00000031">
      <w:pPr>
        <w:numPr>
          <w:ilvl w:val="1"/>
          <w:numId w:val="2"/>
        </w:numPr>
        <w:pBdr>
          <w:top w:val="none" w:color="000000" w:sz="0" w:space="0"/>
          <w:left w:val="none" w:color="000000" w:sz="0" w:space="0"/>
          <w:bottom w:val="none" w:color="000000" w:sz="0" w:space="0"/>
          <w:right w:val="none" w:color="000000" w:sz="0" w:space="0"/>
          <w:between w:val="none" w:color="000000" w:sz="0" w:space="0"/>
        </w:pBdr>
        <w:spacing w:after="0"/>
        <w:ind w:left="1080" w:hanging="720"/>
        <w:jc w:val="both"/>
        <w:rPr>
          <w:rFonts w:ascii="Arial" w:hAnsi="Arial" w:eastAsia="Arial" w:cs="Arial"/>
          <w:color w:val="000000"/>
          <w:sz w:val="24"/>
          <w:szCs w:val="24"/>
          <w:highlight w:val="none"/>
        </w:rPr>
      </w:pPr>
      <w:r>
        <w:rPr>
          <w:rFonts w:ascii="Arial" w:hAnsi="Arial" w:eastAsia="Arial" w:cs="Arial"/>
          <w:sz w:val="24"/>
          <w:szCs w:val="24"/>
          <w:highlight w:val="none"/>
          <w:rtl w:val="0"/>
        </w:rPr>
        <w:t xml:space="preserve"> A empresa deverá iniciar a prestação do serviço dentro do prazo máximo de 02 (dois) dias úteis contados do recebimento da Ordem de Serviço, emitido pela secretaria solicitante; </w:t>
      </w:r>
    </w:p>
    <w:p w14:paraId="00000032">
      <w:pPr>
        <w:numPr>
          <w:ilvl w:val="1"/>
          <w:numId w:val="2"/>
        </w:numPr>
        <w:pBdr>
          <w:top w:val="none" w:color="000000" w:sz="0" w:space="0"/>
          <w:left w:val="none" w:color="000000" w:sz="0" w:space="0"/>
          <w:bottom w:val="none" w:color="000000" w:sz="0" w:space="0"/>
          <w:right w:val="none" w:color="000000" w:sz="0" w:space="0"/>
          <w:between w:val="none" w:color="000000" w:sz="0" w:space="0"/>
        </w:pBdr>
        <w:spacing w:after="0"/>
        <w:ind w:left="1080" w:hanging="720"/>
        <w:jc w:val="both"/>
        <w:rPr>
          <w:rFonts w:ascii="Arial" w:hAnsi="Arial" w:eastAsia="Arial" w:cs="Arial"/>
          <w:color w:val="000000"/>
          <w:sz w:val="24"/>
          <w:szCs w:val="24"/>
          <w:highlight w:val="none"/>
        </w:rPr>
      </w:pPr>
      <w:r>
        <w:rPr>
          <w:rFonts w:ascii="Arial" w:hAnsi="Arial" w:eastAsia="Arial" w:cs="Arial"/>
          <w:sz w:val="24"/>
          <w:szCs w:val="24"/>
          <w:highlight w:val="none"/>
          <w:rtl w:val="0"/>
        </w:rPr>
        <w:t xml:space="preserve">A contratada fornecerá todo o serviço de consultoria à contratante de forma online e presencial, em dias úteis e horário comercial, na Casa da Cultura, mediante acordo entre as partes; </w:t>
      </w:r>
    </w:p>
    <w:p w14:paraId="00000033">
      <w:pPr>
        <w:numPr>
          <w:ilvl w:val="1"/>
          <w:numId w:val="2"/>
        </w:numPr>
        <w:pBdr>
          <w:top w:val="none" w:color="000000" w:sz="0" w:space="0"/>
          <w:left w:val="none" w:color="000000" w:sz="0" w:space="0"/>
          <w:bottom w:val="none" w:color="000000" w:sz="0" w:space="0"/>
          <w:right w:val="none" w:color="000000" w:sz="0" w:space="0"/>
          <w:between w:val="none" w:color="000000" w:sz="0" w:space="0"/>
        </w:pBdr>
        <w:spacing w:after="0"/>
        <w:ind w:left="1080" w:hanging="720"/>
        <w:jc w:val="both"/>
        <w:rPr>
          <w:rFonts w:ascii="Arial" w:hAnsi="Arial" w:eastAsia="Arial" w:cs="Arial"/>
          <w:color w:val="000000"/>
          <w:sz w:val="24"/>
          <w:szCs w:val="24"/>
          <w:highlight w:val="none"/>
        </w:rPr>
      </w:pPr>
      <w:r>
        <w:rPr>
          <w:rFonts w:ascii="Arial" w:hAnsi="Arial" w:eastAsia="Arial" w:cs="Arial"/>
          <w:sz w:val="24"/>
          <w:szCs w:val="24"/>
          <w:highlight w:val="none"/>
          <w:rtl w:val="0"/>
        </w:rPr>
        <w:t xml:space="preserve">Os encontros presenciais serão realizados em dois dias oportunos, em local, dia e horário a ser combinado com a secretaria solicitante, os momentos terá duração em média de 03 (três) horas cada encontro; </w:t>
      </w:r>
    </w:p>
    <w:p w14:paraId="00000034">
      <w:pPr>
        <w:spacing w:after="240"/>
        <w:ind w:left="1080" w:firstLine="0"/>
        <w:jc w:val="both"/>
        <w:rPr>
          <w:rFonts w:ascii="Arial" w:hAnsi="Arial" w:eastAsia="Arial" w:cs="Arial"/>
          <w:sz w:val="24"/>
          <w:szCs w:val="24"/>
          <w:highlight w:val="none"/>
        </w:rPr>
      </w:pPr>
      <w:r>
        <w:rPr>
          <w:rFonts w:ascii="Arial" w:hAnsi="Arial" w:eastAsia="Arial" w:cs="Arial"/>
          <w:sz w:val="24"/>
          <w:szCs w:val="24"/>
          <w:highlight w:val="none"/>
          <w:rtl w:val="0"/>
        </w:rPr>
        <w:t xml:space="preserve"> Os serviços que deverão ser prestados pela contratada, são:  </w:t>
      </w:r>
    </w:p>
    <w:p w14:paraId="00000035">
      <w:pPr>
        <w:spacing w:before="240" w:after="240"/>
        <w:jc w:val="both"/>
        <w:rPr>
          <w:rFonts w:ascii="Arial" w:hAnsi="Arial" w:eastAsia="Arial" w:cs="Arial"/>
          <w:sz w:val="24"/>
          <w:szCs w:val="24"/>
          <w:highlight w:val="none"/>
        </w:rPr>
      </w:pPr>
      <w:r>
        <w:rPr>
          <w:rFonts w:ascii="Arial" w:hAnsi="Arial" w:eastAsia="Arial" w:cs="Arial"/>
          <w:sz w:val="24"/>
          <w:szCs w:val="24"/>
          <w:highlight w:val="none"/>
          <w:rtl w:val="0"/>
        </w:rPr>
        <w:t xml:space="preserve">a) Atendimento via Whatsapp, em horário comercial e dias úteis; Reuniões (via meet), de esclarecimento e alinhamento dos trabalhos a serem desenvolvidos;  </w:t>
      </w:r>
    </w:p>
    <w:p w14:paraId="00000036">
      <w:pPr>
        <w:spacing w:before="240" w:after="240"/>
        <w:jc w:val="both"/>
        <w:rPr>
          <w:rFonts w:ascii="Arial" w:hAnsi="Arial" w:eastAsia="Arial" w:cs="Arial"/>
          <w:sz w:val="24"/>
          <w:szCs w:val="24"/>
          <w:highlight w:val="none"/>
        </w:rPr>
      </w:pPr>
      <w:r>
        <w:rPr>
          <w:rFonts w:ascii="Arial" w:hAnsi="Arial" w:eastAsia="Arial" w:cs="Arial"/>
          <w:sz w:val="24"/>
          <w:szCs w:val="24"/>
          <w:highlight w:val="none"/>
          <w:rtl w:val="0"/>
        </w:rPr>
        <w:t xml:space="preserve">b) Envio de Modelos de planos de ação; Orientações para realização das Oitivas; Orientações para adequação a LOA; </w:t>
      </w:r>
    </w:p>
    <w:p w14:paraId="00000037">
      <w:pPr>
        <w:spacing w:before="240" w:after="240"/>
        <w:jc w:val="both"/>
        <w:rPr>
          <w:rFonts w:ascii="Arial" w:hAnsi="Arial" w:eastAsia="Arial" w:cs="Arial"/>
          <w:sz w:val="24"/>
          <w:szCs w:val="24"/>
          <w:highlight w:val="none"/>
        </w:rPr>
      </w:pPr>
      <w:r>
        <w:rPr>
          <w:rFonts w:ascii="Arial" w:hAnsi="Arial" w:eastAsia="Arial" w:cs="Arial"/>
          <w:sz w:val="24"/>
          <w:szCs w:val="24"/>
          <w:highlight w:val="none"/>
          <w:rtl w:val="0"/>
        </w:rPr>
        <w:t xml:space="preserve">c) Acompanhamento e orientações sobre os editais da Lei Paulo Gustavo; Orientações para execução da LPG; </w:t>
      </w:r>
    </w:p>
    <w:p w14:paraId="00000038">
      <w:pPr>
        <w:spacing w:before="240" w:after="240"/>
        <w:jc w:val="both"/>
        <w:rPr>
          <w:rFonts w:ascii="Arial" w:hAnsi="Arial" w:eastAsia="Arial" w:cs="Arial"/>
          <w:sz w:val="24"/>
          <w:szCs w:val="24"/>
          <w:highlight w:val="none"/>
        </w:rPr>
      </w:pPr>
      <w:r>
        <w:rPr>
          <w:rFonts w:ascii="Arial" w:hAnsi="Arial" w:eastAsia="Arial" w:cs="Arial"/>
          <w:sz w:val="24"/>
          <w:szCs w:val="24"/>
          <w:highlight w:val="none"/>
          <w:rtl w:val="0"/>
        </w:rPr>
        <w:t xml:space="preserve">d) Auxílio e acompanhamento para a prestação de contas da Lei Paulo Gustavo (período máximo de 1 ano); </w:t>
      </w:r>
    </w:p>
    <w:p w14:paraId="00000039">
      <w:pPr>
        <w:spacing w:before="240" w:after="240"/>
        <w:jc w:val="both"/>
        <w:rPr>
          <w:rFonts w:ascii="Arial" w:hAnsi="Arial" w:eastAsia="Arial" w:cs="Arial"/>
          <w:sz w:val="24"/>
          <w:szCs w:val="24"/>
          <w:highlight w:val="none"/>
        </w:rPr>
      </w:pPr>
      <w:r>
        <w:rPr>
          <w:rFonts w:ascii="Arial" w:hAnsi="Arial" w:eastAsia="Arial" w:cs="Arial"/>
          <w:sz w:val="24"/>
          <w:szCs w:val="24"/>
          <w:highlight w:val="none"/>
          <w:rtl w:val="0"/>
        </w:rPr>
        <w:t xml:space="preserve">e) Envio de relatório mensal sobre o andamento dos trabalhos. </w:t>
      </w:r>
    </w:p>
    <w:p w14:paraId="0000003A">
      <w:pPr>
        <w:spacing w:before="240" w:after="240"/>
        <w:jc w:val="both"/>
        <w:rPr>
          <w:rFonts w:ascii="Arial" w:hAnsi="Arial" w:eastAsia="Arial" w:cs="Arial"/>
          <w:sz w:val="24"/>
          <w:szCs w:val="24"/>
          <w:highlight w:val="none"/>
        </w:rPr>
      </w:pPr>
      <w:r>
        <w:rPr>
          <w:rFonts w:ascii="Arial" w:hAnsi="Arial" w:eastAsia="Arial" w:cs="Arial"/>
          <w:sz w:val="24"/>
          <w:szCs w:val="24"/>
          <w:highlight w:val="none"/>
          <w:rtl w:val="0"/>
        </w:rPr>
        <w:t xml:space="preserve">4.7. O requerimento mencionado no subitem anterior deverá conter as seguintes informações: </w:t>
      </w:r>
    </w:p>
    <w:p w14:paraId="0000003B">
      <w:pPr>
        <w:spacing w:before="240" w:after="240"/>
        <w:jc w:val="both"/>
        <w:rPr>
          <w:rFonts w:ascii="Arial" w:hAnsi="Arial" w:eastAsia="Arial" w:cs="Arial"/>
          <w:sz w:val="24"/>
          <w:szCs w:val="24"/>
          <w:highlight w:val="none"/>
        </w:rPr>
      </w:pPr>
      <w:r>
        <w:rPr>
          <w:rFonts w:ascii="Arial" w:hAnsi="Arial" w:eastAsia="Arial" w:cs="Arial"/>
          <w:sz w:val="24"/>
          <w:szCs w:val="24"/>
          <w:highlight w:val="none"/>
          <w:rtl w:val="0"/>
        </w:rPr>
        <w:t xml:space="preserve">Identificação da Secretaria Municipal solicitante; </w:t>
      </w:r>
    </w:p>
    <w:p w14:paraId="0000003C">
      <w:pPr>
        <w:spacing w:before="240" w:after="240"/>
        <w:jc w:val="both"/>
        <w:rPr>
          <w:rFonts w:ascii="Arial" w:hAnsi="Arial" w:eastAsia="Arial" w:cs="Arial"/>
          <w:sz w:val="24"/>
          <w:szCs w:val="24"/>
          <w:highlight w:val="none"/>
        </w:rPr>
      </w:pPr>
      <w:r>
        <w:rPr>
          <w:rFonts w:ascii="Arial" w:hAnsi="Arial" w:eastAsia="Arial" w:cs="Arial"/>
          <w:sz w:val="24"/>
          <w:szCs w:val="24"/>
          <w:highlight w:val="none"/>
          <w:rtl w:val="0"/>
        </w:rPr>
        <w:t xml:space="preserve">Discriminação do serviço a ser prestado; </w:t>
      </w:r>
    </w:p>
    <w:p w14:paraId="0000003D">
      <w:pPr>
        <w:spacing w:before="240" w:after="240"/>
        <w:jc w:val="both"/>
        <w:rPr>
          <w:rFonts w:ascii="Arial" w:hAnsi="Arial" w:eastAsia="Arial" w:cs="Arial"/>
          <w:sz w:val="24"/>
          <w:szCs w:val="24"/>
          <w:highlight w:val="none"/>
        </w:rPr>
      </w:pPr>
      <w:r>
        <w:rPr>
          <w:rFonts w:ascii="Arial" w:hAnsi="Arial" w:eastAsia="Arial" w:cs="Arial"/>
          <w:sz w:val="24"/>
          <w:szCs w:val="24"/>
          <w:highlight w:val="none"/>
          <w:rtl w:val="0"/>
        </w:rPr>
        <w:t xml:space="preserve">Local ou meio eletrônico onde serão realizados a consultoria/assessoria; </w:t>
      </w:r>
    </w:p>
    <w:p w14:paraId="0000003E">
      <w:pPr>
        <w:spacing w:before="240" w:after="240"/>
        <w:jc w:val="both"/>
        <w:rPr>
          <w:rFonts w:ascii="Arial" w:hAnsi="Arial" w:eastAsia="Arial" w:cs="Arial"/>
          <w:sz w:val="24"/>
          <w:szCs w:val="24"/>
          <w:highlight w:val="none"/>
        </w:rPr>
      </w:pPr>
      <w:r>
        <w:rPr>
          <w:rFonts w:ascii="Arial" w:hAnsi="Arial" w:eastAsia="Arial" w:cs="Arial"/>
          <w:sz w:val="24"/>
          <w:szCs w:val="24"/>
          <w:highlight w:val="none"/>
          <w:rtl w:val="0"/>
        </w:rPr>
        <w:t xml:space="preserve">Prazo para execução dos serviços; </w:t>
      </w:r>
    </w:p>
    <w:p w14:paraId="0000003F">
      <w:pPr>
        <w:spacing w:before="240" w:after="240"/>
        <w:jc w:val="both"/>
        <w:rPr>
          <w:rFonts w:ascii="Arial" w:hAnsi="Arial" w:eastAsia="Arial" w:cs="Arial"/>
          <w:sz w:val="24"/>
          <w:szCs w:val="24"/>
          <w:highlight w:val="none"/>
        </w:rPr>
      </w:pPr>
      <w:r>
        <w:rPr>
          <w:rFonts w:ascii="Arial" w:hAnsi="Arial" w:eastAsia="Arial" w:cs="Arial"/>
          <w:sz w:val="24"/>
          <w:szCs w:val="24"/>
          <w:highlight w:val="none"/>
          <w:rtl w:val="0"/>
        </w:rPr>
        <w:t xml:space="preserve">Quantidade e medidas do material, quando for o caso; </w:t>
      </w:r>
    </w:p>
    <w:p w14:paraId="00000040">
      <w:pPr>
        <w:spacing w:before="240" w:after="240"/>
        <w:jc w:val="both"/>
        <w:rPr>
          <w:rFonts w:ascii="Arial" w:hAnsi="Arial" w:eastAsia="Arial" w:cs="Arial"/>
          <w:sz w:val="24"/>
          <w:szCs w:val="24"/>
          <w:highlight w:val="none"/>
        </w:rPr>
      </w:pPr>
      <w:r>
        <w:rPr>
          <w:rFonts w:ascii="Arial" w:hAnsi="Arial" w:eastAsia="Arial" w:cs="Arial"/>
          <w:sz w:val="24"/>
          <w:szCs w:val="24"/>
          <w:highlight w:val="none"/>
          <w:rtl w:val="0"/>
        </w:rPr>
        <w:t xml:space="preserve">Assinatura do Secretário Municipal solicitante. </w:t>
      </w:r>
    </w:p>
    <w:p w14:paraId="00000041">
      <w:pPr>
        <w:spacing w:before="240" w:after="240"/>
        <w:ind w:left="0" w:firstLine="0"/>
        <w:jc w:val="both"/>
        <w:rPr>
          <w:rFonts w:ascii="Arial" w:hAnsi="Arial" w:eastAsia="Arial" w:cs="Arial"/>
          <w:sz w:val="24"/>
          <w:szCs w:val="24"/>
          <w:highlight w:val="none"/>
        </w:rPr>
      </w:pPr>
      <w:r>
        <w:rPr>
          <w:rFonts w:ascii="Arial" w:hAnsi="Arial" w:eastAsia="Arial" w:cs="Arial"/>
          <w:sz w:val="24"/>
          <w:szCs w:val="24"/>
          <w:highlight w:val="none"/>
          <w:rtl w:val="0"/>
        </w:rPr>
        <w:t xml:space="preserve">4.8. A orientação no que tange às deliberações para que o município execute a Lei Paulo Gustavo em todo o seu teor, se dará nos seguintes itens:  </w:t>
      </w:r>
    </w:p>
    <w:p w14:paraId="00000042">
      <w:pPr>
        <w:spacing w:before="240" w:after="240"/>
        <w:jc w:val="both"/>
        <w:rPr>
          <w:rFonts w:ascii="Arial" w:hAnsi="Arial" w:eastAsia="Arial" w:cs="Arial"/>
          <w:sz w:val="24"/>
          <w:szCs w:val="24"/>
          <w:highlight w:val="none"/>
        </w:rPr>
      </w:pPr>
      <w:r>
        <w:rPr>
          <w:rFonts w:ascii="Arial" w:hAnsi="Arial" w:eastAsia="Arial" w:cs="Arial"/>
          <w:sz w:val="24"/>
          <w:szCs w:val="24"/>
          <w:highlight w:val="none"/>
          <w:rtl w:val="0"/>
        </w:rPr>
        <w:t xml:space="preserve">a) Captação de recursos desta lei complementar;  </w:t>
      </w:r>
    </w:p>
    <w:p w14:paraId="00000043">
      <w:pPr>
        <w:spacing w:before="240" w:after="240"/>
        <w:jc w:val="both"/>
        <w:rPr>
          <w:rFonts w:ascii="Arial" w:hAnsi="Arial" w:eastAsia="Arial" w:cs="Arial"/>
          <w:sz w:val="24"/>
          <w:szCs w:val="24"/>
          <w:highlight w:val="none"/>
        </w:rPr>
      </w:pPr>
      <w:r>
        <w:rPr>
          <w:rFonts w:ascii="Arial" w:hAnsi="Arial" w:eastAsia="Arial" w:cs="Arial"/>
          <w:sz w:val="24"/>
          <w:szCs w:val="24"/>
          <w:highlight w:val="none"/>
          <w:rtl w:val="0"/>
        </w:rPr>
        <w:t xml:space="preserve">b) Adequação à LOA e execução da referida lei; </w:t>
      </w:r>
    </w:p>
    <w:p w14:paraId="00000044">
      <w:pPr>
        <w:spacing w:before="240" w:after="240"/>
        <w:jc w:val="both"/>
        <w:rPr>
          <w:rFonts w:ascii="Arial" w:hAnsi="Arial" w:eastAsia="Arial" w:cs="Arial"/>
          <w:sz w:val="24"/>
          <w:szCs w:val="24"/>
          <w:highlight w:val="none"/>
        </w:rPr>
      </w:pPr>
      <w:r>
        <w:rPr>
          <w:rFonts w:ascii="Arial" w:hAnsi="Arial" w:eastAsia="Arial" w:cs="Arial"/>
          <w:sz w:val="24"/>
          <w:szCs w:val="24"/>
          <w:highlight w:val="none"/>
          <w:rtl w:val="0"/>
        </w:rPr>
        <w:t xml:space="preserve">c) Prestação de contas - sendo todas estas etapas de cunho da contratante com as </w:t>
      </w:r>
    </w:p>
    <w:p w14:paraId="00000045">
      <w:pPr>
        <w:spacing w:before="240" w:after="240"/>
        <w:jc w:val="both"/>
        <w:rPr>
          <w:rFonts w:ascii="Arial" w:hAnsi="Arial" w:eastAsia="Arial" w:cs="Arial"/>
          <w:sz w:val="24"/>
          <w:szCs w:val="24"/>
          <w:highlight w:val="none"/>
        </w:rPr>
      </w:pPr>
      <w:r>
        <w:rPr>
          <w:rFonts w:ascii="Arial" w:hAnsi="Arial" w:eastAsia="Arial" w:cs="Arial"/>
          <w:sz w:val="24"/>
          <w:szCs w:val="24"/>
          <w:highlight w:val="none"/>
          <w:rtl w:val="0"/>
        </w:rPr>
        <w:t xml:space="preserve">devidas orientações por parte da contratada. </w:t>
      </w:r>
    </w:p>
    <w:p w14:paraId="00000046">
      <w:pPr>
        <w:spacing w:before="240" w:after="240"/>
        <w:jc w:val="both"/>
        <w:rPr>
          <w:rFonts w:ascii="Arial" w:hAnsi="Arial" w:eastAsia="Arial" w:cs="Arial"/>
          <w:sz w:val="24"/>
          <w:szCs w:val="24"/>
          <w:highlight w:val="none"/>
        </w:rPr>
      </w:pPr>
      <w:r>
        <w:rPr>
          <w:rFonts w:ascii="Arial" w:hAnsi="Arial" w:eastAsia="Arial" w:cs="Arial"/>
          <w:sz w:val="24"/>
          <w:szCs w:val="24"/>
          <w:highlight w:val="none"/>
          <w:rtl w:val="0"/>
        </w:rPr>
        <w:t>4.9. A contratada deverá orientar os servidores que farão parte da comissão quanto à regulamentação da Lei Paulo Gustavo;</w:t>
      </w:r>
    </w:p>
    <w:p w14:paraId="00000047">
      <w:pPr>
        <w:spacing w:before="120" w:after="120" w:line="360" w:lineRule="auto"/>
        <w:jc w:val="both"/>
        <w:rPr>
          <w:rFonts w:ascii="Arial" w:hAnsi="Arial" w:eastAsia="Arial" w:cs="Arial"/>
          <w:sz w:val="24"/>
          <w:szCs w:val="24"/>
          <w:highlight w:val="none"/>
        </w:rPr>
      </w:pPr>
      <w:r>
        <w:rPr>
          <w:rFonts w:ascii="Arial" w:hAnsi="Arial" w:eastAsia="Arial" w:cs="Arial"/>
          <w:sz w:val="24"/>
          <w:szCs w:val="24"/>
          <w:highlight w:val="none"/>
          <w:rtl w:val="0"/>
        </w:rPr>
        <w:t xml:space="preserve">4.10. No recebimento e aceitação dos serviços será observada, no que couber, as disposições da Lei Federal nº 14.133/21 e suas alterações. </w:t>
      </w:r>
    </w:p>
    <w:p w14:paraId="00000048">
      <w:pPr>
        <w:spacing w:before="120" w:after="120" w:line="360" w:lineRule="auto"/>
        <w:ind w:left="284" w:firstLine="0"/>
        <w:jc w:val="both"/>
        <w:rPr>
          <w:rFonts w:ascii="Arial" w:hAnsi="Arial" w:eastAsia="Arial" w:cs="Arial"/>
          <w:sz w:val="24"/>
          <w:szCs w:val="24"/>
          <w:highlight w:val="none"/>
        </w:rPr>
      </w:pPr>
      <w:r>
        <w:rPr>
          <w:rFonts w:ascii="Arial" w:hAnsi="Arial" w:eastAsia="Arial" w:cs="Arial"/>
          <w:sz w:val="24"/>
          <w:szCs w:val="24"/>
          <w:highlight w:val="none"/>
          <w:rtl w:val="0"/>
        </w:rPr>
        <w:t xml:space="preserve">4.11.  O objeto da presente licitação será recebido pela respectiva Secretaria, que emitirá Termo de Recebimento dos Serviços, e, somente após, o Município poderá emitir o respectivo pagamento à CONTRATADA. </w:t>
      </w:r>
    </w:p>
    <w:p w14:paraId="00000049">
      <w:pPr>
        <w:spacing w:before="120" w:after="120" w:line="360" w:lineRule="auto"/>
        <w:ind w:left="284" w:firstLine="0"/>
        <w:jc w:val="both"/>
        <w:rPr>
          <w:rFonts w:ascii="Arial" w:hAnsi="Arial" w:eastAsia="Arial" w:cs="Arial"/>
          <w:sz w:val="24"/>
          <w:szCs w:val="24"/>
          <w:highlight w:val="none"/>
        </w:rPr>
      </w:pPr>
      <w:r>
        <w:rPr>
          <w:rFonts w:ascii="Arial" w:hAnsi="Arial" w:eastAsia="Arial" w:cs="Arial"/>
          <w:b/>
          <w:sz w:val="24"/>
          <w:szCs w:val="24"/>
          <w:highlight w:val="none"/>
          <w:rtl w:val="0"/>
        </w:rPr>
        <w:t>4.12.</w:t>
      </w:r>
      <w:r>
        <w:rPr>
          <w:rFonts w:ascii="Arial" w:hAnsi="Arial" w:eastAsia="Arial" w:cs="Arial"/>
          <w:sz w:val="24"/>
          <w:szCs w:val="24"/>
          <w:highlight w:val="none"/>
          <w:rtl w:val="0"/>
        </w:rPr>
        <w:t xml:space="preserve"> Os serviços deverão estar de acordo com as exigências do Código de Defesa do Consumidor, especialmente no tocante aos vícios de qualidade ou quantidade que os tornem impróprios ou inadequados ao uso a que se destinam ou lhes diminuam o valor, conforme diploma legal. </w:t>
      </w:r>
    </w:p>
    <w:p w14:paraId="0000004A">
      <w:pPr>
        <w:spacing w:before="120" w:after="120" w:line="360" w:lineRule="auto"/>
        <w:ind w:left="284" w:firstLine="0"/>
        <w:jc w:val="both"/>
        <w:rPr>
          <w:rFonts w:ascii="Arial" w:hAnsi="Arial" w:eastAsia="Arial" w:cs="Arial"/>
          <w:sz w:val="24"/>
          <w:szCs w:val="24"/>
          <w:highlight w:val="none"/>
        </w:rPr>
      </w:pPr>
      <w:r>
        <w:rPr>
          <w:rFonts w:ascii="Arial" w:hAnsi="Arial" w:eastAsia="Arial" w:cs="Arial"/>
          <w:b/>
          <w:sz w:val="24"/>
          <w:szCs w:val="24"/>
          <w:highlight w:val="none"/>
          <w:rtl w:val="0"/>
        </w:rPr>
        <w:t>4.13.</w:t>
      </w:r>
      <w:r>
        <w:rPr>
          <w:rFonts w:ascii="Arial" w:hAnsi="Arial" w:eastAsia="Arial" w:cs="Arial"/>
          <w:sz w:val="24"/>
          <w:szCs w:val="24"/>
          <w:highlight w:val="none"/>
          <w:rtl w:val="0"/>
        </w:rPr>
        <w:t xml:space="preserve"> Após a execução dos serviços, caso esteja comprovado o não cumprimento das especificações do mesmo, o município reserva–se o direito de substituí-los, complementá-los ou devolvê-los. </w:t>
      </w:r>
    </w:p>
    <w:p w14:paraId="0000004B">
      <w:pPr>
        <w:spacing w:before="120" w:after="120" w:line="360" w:lineRule="auto"/>
        <w:ind w:left="284" w:firstLine="0"/>
        <w:jc w:val="both"/>
        <w:rPr>
          <w:rFonts w:ascii="Arial" w:hAnsi="Arial" w:eastAsia="Arial" w:cs="Arial"/>
          <w:sz w:val="24"/>
          <w:szCs w:val="24"/>
          <w:highlight w:val="none"/>
        </w:rPr>
      </w:pPr>
      <w:r>
        <w:rPr>
          <w:rFonts w:ascii="Arial" w:hAnsi="Arial" w:eastAsia="Arial" w:cs="Arial"/>
          <w:sz w:val="24"/>
          <w:szCs w:val="24"/>
          <w:highlight w:val="none"/>
          <w:rtl w:val="0"/>
        </w:rPr>
        <w:t xml:space="preserve">4.14. Ocorrendo a rejeição dos serviços, a CONTRATADA será notificada pela Secretaria ordenadora da despesa, para a retirada dos mesmos dentro do prazo que lhe será fixado, cabendo-lhe efetuar as correções cabíveis. </w:t>
      </w:r>
    </w:p>
    <w:p w14:paraId="0000004C">
      <w:pPr>
        <w:spacing w:before="120" w:after="120" w:line="360" w:lineRule="auto"/>
        <w:ind w:left="284" w:firstLine="0"/>
        <w:jc w:val="both"/>
        <w:rPr>
          <w:rFonts w:ascii="Arial" w:hAnsi="Arial" w:eastAsia="Arial" w:cs="Arial"/>
          <w:sz w:val="24"/>
          <w:szCs w:val="24"/>
          <w:highlight w:val="none"/>
        </w:rPr>
      </w:pPr>
      <w:r>
        <w:rPr>
          <w:rFonts w:ascii="Arial" w:hAnsi="Arial" w:eastAsia="Arial" w:cs="Arial"/>
          <w:sz w:val="24"/>
          <w:szCs w:val="24"/>
          <w:highlight w:val="none"/>
          <w:rtl w:val="0"/>
        </w:rPr>
        <w:t>4.15. A recusa da CONTRATADA em atender o estabelecido no item anterior implicará na aplicação das sanções previstas no presente edital.</w:t>
      </w:r>
    </w:p>
    <w:p w14:paraId="0000004D">
      <w:pPr>
        <w:spacing w:before="120" w:after="120" w:line="360" w:lineRule="auto"/>
        <w:ind w:left="284" w:firstLine="0"/>
        <w:jc w:val="both"/>
        <w:rPr>
          <w:rFonts w:ascii="Arial" w:hAnsi="Arial" w:eastAsia="Arial" w:cs="Arial"/>
          <w:sz w:val="24"/>
          <w:szCs w:val="24"/>
          <w:highlight w:val="none"/>
        </w:rPr>
      </w:pPr>
      <w:r>
        <w:rPr>
          <w:rFonts w:ascii="Arial" w:hAnsi="Arial" w:eastAsia="Arial" w:cs="Arial"/>
          <w:b/>
          <w:sz w:val="24"/>
          <w:szCs w:val="24"/>
          <w:highlight w:val="none"/>
          <w:rtl w:val="0"/>
        </w:rPr>
        <w:t>4.16.</w:t>
      </w:r>
      <w:r>
        <w:rPr>
          <w:rFonts w:ascii="Arial" w:hAnsi="Arial" w:eastAsia="Arial" w:cs="Arial"/>
          <w:sz w:val="24"/>
          <w:szCs w:val="24"/>
          <w:highlight w:val="none"/>
          <w:rtl w:val="0"/>
        </w:rPr>
        <w:t xml:space="preserve"> O município reserva-se o direito de avaliar, a qualquer momento, a qualidade do serviço prestado pela licitante vencedora, a fim de evidenciar o cumprimento das exigências contratadas, podendo, quando necessário, solicitar documentos comprobatórios para fins de verificação. </w:t>
      </w:r>
    </w:p>
    <w:p w14:paraId="0000004E">
      <w:pPr>
        <w:spacing w:before="120" w:after="120" w:line="360" w:lineRule="auto"/>
        <w:ind w:left="284" w:firstLine="0"/>
        <w:jc w:val="both"/>
        <w:rPr>
          <w:rFonts w:ascii="Arial" w:hAnsi="Arial" w:eastAsia="Arial" w:cs="Arial"/>
          <w:sz w:val="24"/>
          <w:szCs w:val="24"/>
          <w:highlight w:val="none"/>
        </w:rPr>
      </w:pPr>
      <w:r>
        <w:rPr>
          <w:rFonts w:ascii="Arial" w:hAnsi="Arial" w:eastAsia="Arial" w:cs="Arial"/>
          <w:b/>
          <w:sz w:val="24"/>
          <w:szCs w:val="24"/>
          <w:highlight w:val="none"/>
          <w:rtl w:val="0"/>
        </w:rPr>
        <w:t>4.17.</w:t>
      </w:r>
      <w:r>
        <w:rPr>
          <w:rFonts w:ascii="Arial" w:hAnsi="Arial" w:eastAsia="Arial" w:cs="Arial"/>
          <w:sz w:val="24"/>
          <w:szCs w:val="24"/>
          <w:highlight w:val="none"/>
          <w:rtl w:val="0"/>
        </w:rPr>
        <w:t xml:space="preserve"> O objeto desta aquisição não se enquadra como sendo de bem de luxo, conforme Decreto nº 10.818, de 27 de setembro de 2021. </w:t>
      </w:r>
    </w:p>
    <w:p w14:paraId="0000004F">
      <w:pPr>
        <w:spacing w:before="120" w:after="120" w:line="360" w:lineRule="auto"/>
        <w:ind w:left="284" w:firstLine="0"/>
        <w:jc w:val="both"/>
        <w:rPr>
          <w:rFonts w:ascii="Arial" w:hAnsi="Arial" w:eastAsia="Arial" w:cs="Arial"/>
          <w:sz w:val="24"/>
          <w:szCs w:val="24"/>
          <w:highlight w:val="none"/>
        </w:rPr>
      </w:pPr>
      <w:r>
        <w:rPr>
          <w:rFonts w:ascii="Arial" w:hAnsi="Arial" w:eastAsia="Arial" w:cs="Arial"/>
          <w:b/>
          <w:sz w:val="24"/>
          <w:szCs w:val="24"/>
          <w:highlight w:val="none"/>
          <w:rtl w:val="0"/>
        </w:rPr>
        <w:t>4.18.</w:t>
      </w:r>
      <w:r>
        <w:rPr>
          <w:rFonts w:ascii="Arial" w:hAnsi="Arial" w:eastAsia="Arial" w:cs="Arial"/>
          <w:sz w:val="24"/>
          <w:szCs w:val="24"/>
          <w:highlight w:val="none"/>
          <w:rtl w:val="0"/>
        </w:rPr>
        <w:t xml:space="preserve"> O prazo de vigência da contratação é de </w:t>
      </w:r>
      <w:r>
        <w:rPr>
          <w:rFonts w:ascii="Arial" w:hAnsi="Arial" w:eastAsia="Arial" w:cs="Arial"/>
          <w:b/>
          <w:sz w:val="24"/>
          <w:szCs w:val="24"/>
          <w:highlight w:val="none"/>
          <w:rtl w:val="0"/>
        </w:rPr>
        <w:t>90 (noventa) dias</w:t>
      </w:r>
      <w:r>
        <w:rPr>
          <w:rFonts w:ascii="Arial" w:hAnsi="Arial" w:eastAsia="Arial" w:cs="Arial"/>
          <w:sz w:val="24"/>
          <w:szCs w:val="24"/>
          <w:highlight w:val="none"/>
          <w:rtl w:val="0"/>
        </w:rPr>
        <w:t xml:space="preserve"> contados da publicação no Portal Nacional de Contratações Públicas (PNCP), podendo ser prorrogado, na forma do artigo 105 da Lei n° 14.133, de 2021.</w:t>
      </w:r>
    </w:p>
    <w:p w14:paraId="00000050">
      <w:pPr>
        <w:spacing w:before="120" w:after="120" w:line="360" w:lineRule="auto"/>
        <w:ind w:left="284" w:firstLine="0"/>
        <w:jc w:val="both"/>
        <w:rPr>
          <w:rFonts w:ascii="Arial" w:hAnsi="Arial" w:eastAsia="Arial" w:cs="Arial"/>
          <w:sz w:val="24"/>
          <w:szCs w:val="24"/>
          <w:highlight w:val="none"/>
        </w:rPr>
      </w:pPr>
      <w:r>
        <w:rPr>
          <w:rFonts w:ascii="Arial" w:hAnsi="Arial" w:eastAsia="Arial" w:cs="Arial"/>
          <w:b/>
          <w:sz w:val="24"/>
          <w:szCs w:val="24"/>
          <w:highlight w:val="none"/>
          <w:rtl w:val="0"/>
        </w:rPr>
        <w:t>4.19.</w:t>
      </w:r>
      <w:r>
        <w:rPr>
          <w:rFonts w:ascii="Arial" w:hAnsi="Arial" w:eastAsia="Arial" w:cs="Arial"/>
          <w:sz w:val="24"/>
          <w:szCs w:val="24"/>
          <w:highlight w:val="none"/>
          <w:rtl w:val="0"/>
        </w:rPr>
        <w:t xml:space="preserve"> O contrato oferece maior detalhamento das regras que serão aplicadas em relação à vigência da contratação.</w:t>
      </w:r>
    </w:p>
    <w:p w14:paraId="00000051">
      <w:pPr>
        <w:pBdr>
          <w:top w:val="none" w:color="000000" w:sz="0" w:space="0"/>
          <w:left w:val="none" w:color="000000" w:sz="0" w:space="0"/>
          <w:bottom w:val="none" w:color="000000" w:sz="0" w:space="0"/>
          <w:right w:val="none" w:color="000000" w:sz="0" w:space="0"/>
          <w:between w:val="none" w:color="000000" w:sz="0" w:space="0"/>
        </w:pBdr>
        <w:spacing w:after="0"/>
        <w:ind w:left="0" w:firstLine="0"/>
        <w:jc w:val="both"/>
        <w:rPr>
          <w:rFonts w:ascii="Arial" w:hAnsi="Arial" w:eastAsia="Arial" w:cs="Arial"/>
          <w:sz w:val="24"/>
          <w:szCs w:val="24"/>
        </w:rPr>
      </w:pPr>
    </w:p>
    <w:p w14:paraId="00000052">
      <w:pPr>
        <w:numPr>
          <w:ilvl w:val="0"/>
          <w:numId w:val="2"/>
        </w:numPr>
        <w:pBdr>
          <w:top w:val="none" w:color="000000" w:sz="0" w:space="0"/>
          <w:left w:val="none" w:color="000000" w:sz="0" w:space="0"/>
          <w:bottom w:val="none" w:color="000000" w:sz="0" w:space="0"/>
          <w:right w:val="none" w:color="000000" w:sz="0" w:space="0"/>
          <w:between w:val="none" w:color="000000" w:sz="0" w:space="0"/>
        </w:pBdr>
        <w:shd w:val="clear" w:fill="D9D9D9"/>
        <w:spacing w:after="0"/>
        <w:ind w:left="720" w:hanging="360"/>
        <w:jc w:val="both"/>
        <w:rPr>
          <w:rFonts w:ascii="Arial" w:hAnsi="Arial" w:eastAsia="Arial" w:cs="Arial"/>
          <w:b/>
          <w:color w:val="000000"/>
          <w:sz w:val="24"/>
          <w:szCs w:val="24"/>
        </w:rPr>
      </w:pPr>
      <w:r>
        <w:rPr>
          <w:rFonts w:ascii="Arial" w:hAnsi="Arial" w:eastAsia="Arial" w:cs="Arial"/>
          <w:b/>
          <w:color w:val="000000"/>
          <w:sz w:val="24"/>
          <w:szCs w:val="24"/>
          <w:rtl w:val="0"/>
        </w:rPr>
        <w:t>FUNDAMENTAÇÃO E DESCRIÇÃO DA NECESSIDADE DA CONTRATAÇÃO</w:t>
      </w:r>
    </w:p>
    <w:p w14:paraId="00000053">
      <w:pPr>
        <w:pBdr>
          <w:top w:val="none" w:color="000000" w:sz="0" w:space="0"/>
          <w:left w:val="none" w:color="000000" w:sz="0" w:space="0"/>
          <w:bottom w:val="none" w:color="000000" w:sz="0" w:space="0"/>
          <w:right w:val="none" w:color="000000" w:sz="0" w:space="0"/>
          <w:between w:val="none" w:color="000000" w:sz="0" w:space="0"/>
        </w:pBdr>
        <w:spacing w:after="0"/>
        <w:ind w:left="720" w:firstLine="0"/>
        <w:jc w:val="both"/>
        <w:rPr>
          <w:rFonts w:ascii="Arial" w:hAnsi="Arial" w:eastAsia="Arial" w:cs="Arial"/>
          <w:b/>
          <w:sz w:val="24"/>
          <w:szCs w:val="24"/>
        </w:rPr>
      </w:pPr>
    </w:p>
    <w:p w14:paraId="00000054">
      <w:pPr>
        <w:numPr>
          <w:ilvl w:val="1"/>
          <w:numId w:val="2"/>
        </w:numPr>
        <w:pBdr>
          <w:top w:val="none" w:color="000000" w:sz="0" w:space="0"/>
          <w:left w:val="none" w:color="000000" w:sz="0" w:space="0"/>
          <w:bottom w:val="none" w:color="000000" w:sz="0" w:space="0"/>
          <w:right w:val="none" w:color="000000" w:sz="0" w:space="0"/>
          <w:between w:val="none" w:color="000000" w:sz="0" w:space="0"/>
        </w:pBdr>
        <w:spacing w:after="0"/>
        <w:ind w:left="1080" w:hanging="720"/>
        <w:jc w:val="both"/>
        <w:rPr>
          <w:rFonts w:ascii="Arial" w:hAnsi="Arial" w:eastAsia="Arial" w:cs="Arial"/>
          <w:color w:val="000000"/>
          <w:sz w:val="24"/>
          <w:szCs w:val="24"/>
        </w:rPr>
      </w:pPr>
      <w:r>
        <w:rPr>
          <w:rFonts w:ascii="Arial" w:hAnsi="Arial" w:eastAsia="Arial" w:cs="Arial"/>
          <w:color w:val="000000"/>
          <w:sz w:val="24"/>
          <w:szCs w:val="24"/>
          <w:rtl w:val="0"/>
        </w:rPr>
        <w:t>A Fundamentação da Contratação e de seus quantitativos encontra-se pormenorizada em Tópico específico dos Estudos Técnicos Preliminares, apêndice deste Termo de Referência.</w:t>
      </w:r>
    </w:p>
    <w:p w14:paraId="00000055">
      <w:pPr>
        <w:numPr>
          <w:ilvl w:val="1"/>
          <w:numId w:val="2"/>
        </w:numPr>
        <w:pBdr>
          <w:top w:val="none" w:color="000000" w:sz="0" w:space="0"/>
          <w:left w:val="none" w:color="000000" w:sz="0" w:space="0"/>
          <w:bottom w:val="none" w:color="000000" w:sz="0" w:space="0"/>
          <w:right w:val="none" w:color="000000" w:sz="0" w:space="0"/>
          <w:between w:val="none" w:color="000000" w:sz="0" w:space="0"/>
        </w:pBdr>
        <w:ind w:left="1080" w:hanging="720"/>
        <w:jc w:val="both"/>
        <w:rPr>
          <w:rFonts w:ascii="Arial" w:hAnsi="Arial" w:eastAsia="Arial" w:cs="Arial"/>
          <w:color w:val="000000"/>
          <w:sz w:val="24"/>
          <w:szCs w:val="24"/>
        </w:rPr>
      </w:pPr>
      <w:r>
        <w:rPr>
          <w:rFonts w:ascii="Arial" w:hAnsi="Arial" w:eastAsia="Arial" w:cs="Arial"/>
          <w:color w:val="000000"/>
          <w:sz w:val="24"/>
          <w:szCs w:val="24"/>
          <w:rtl w:val="0"/>
        </w:rPr>
        <w:t>O objeto da contratação está previsto no Plano de Contratações Anual de 202</w:t>
      </w:r>
      <w:r>
        <w:rPr>
          <w:rFonts w:ascii="Arial" w:hAnsi="Arial" w:eastAsia="Arial" w:cs="Arial"/>
          <w:sz w:val="24"/>
          <w:szCs w:val="24"/>
          <w:rtl w:val="0"/>
        </w:rPr>
        <w:t>5.</w:t>
      </w:r>
    </w:p>
    <w:p w14:paraId="00000056">
      <w:pPr>
        <w:numPr>
          <w:ilvl w:val="0"/>
          <w:numId w:val="2"/>
        </w:numPr>
        <w:pBdr>
          <w:top w:val="none" w:color="000000" w:sz="0" w:space="0"/>
          <w:left w:val="none" w:color="000000" w:sz="0" w:space="0"/>
          <w:bottom w:val="none" w:color="000000" w:sz="0" w:space="0"/>
          <w:right w:val="none" w:color="000000" w:sz="0" w:space="0"/>
          <w:between w:val="none" w:color="000000" w:sz="0" w:space="0"/>
        </w:pBdr>
        <w:shd w:val="clear" w:fill="D9D9D9"/>
        <w:ind w:left="720" w:hanging="360"/>
        <w:jc w:val="both"/>
        <w:rPr>
          <w:rFonts w:ascii="Arial" w:hAnsi="Arial" w:eastAsia="Arial" w:cs="Arial"/>
          <w:b/>
          <w:color w:val="000000"/>
          <w:sz w:val="24"/>
          <w:szCs w:val="24"/>
        </w:rPr>
      </w:pPr>
      <w:r>
        <w:rPr>
          <w:rFonts w:ascii="Arial" w:hAnsi="Arial" w:eastAsia="Arial" w:cs="Arial"/>
          <w:b/>
          <w:color w:val="000000"/>
          <w:sz w:val="24"/>
          <w:szCs w:val="24"/>
          <w:rtl w:val="0"/>
        </w:rPr>
        <w:t>DESCRIÇÃO DA SOLUÇÃO COMO UM TODO CONSIDERADO O CICLO DE VIDA DO OBJETO E ESPECIFICAÇÃO DO PRODUTO.</w:t>
      </w:r>
    </w:p>
    <w:p w14:paraId="00000057">
      <w:pPr>
        <w:jc w:val="both"/>
        <w:rPr>
          <w:rFonts w:ascii="Arial" w:hAnsi="Arial" w:eastAsia="Arial" w:cs="Arial"/>
          <w:sz w:val="24"/>
          <w:szCs w:val="24"/>
        </w:rPr>
      </w:pPr>
      <w:r>
        <w:rPr>
          <w:rFonts w:ascii="Arial" w:hAnsi="Arial" w:eastAsia="Arial" w:cs="Arial"/>
          <w:sz w:val="24"/>
          <w:szCs w:val="24"/>
          <w:rtl w:val="0"/>
        </w:rPr>
        <w:t xml:space="preserve">6.1. A descrição da solução como um todo encontra-se neste Termo de Referência. </w:t>
      </w:r>
    </w:p>
    <w:p w14:paraId="00000058">
      <w:pPr>
        <w:numPr>
          <w:ilvl w:val="0"/>
          <w:numId w:val="3"/>
        </w:numPr>
        <w:pBdr>
          <w:top w:val="none" w:color="000000" w:sz="0" w:space="0"/>
          <w:left w:val="none" w:color="000000" w:sz="0" w:space="0"/>
          <w:bottom w:val="none" w:color="000000" w:sz="0" w:space="0"/>
          <w:right w:val="none" w:color="000000" w:sz="0" w:space="0"/>
          <w:between w:val="none" w:color="000000" w:sz="0" w:space="0"/>
        </w:pBdr>
        <w:shd w:val="clear" w:fill="D9D9D9"/>
        <w:spacing w:after="0"/>
        <w:ind w:left="720" w:hanging="360"/>
        <w:jc w:val="both"/>
        <w:rPr>
          <w:rFonts w:ascii="Arial" w:hAnsi="Arial" w:eastAsia="Arial" w:cs="Arial"/>
          <w:b/>
          <w:color w:val="000000"/>
          <w:sz w:val="24"/>
          <w:szCs w:val="24"/>
        </w:rPr>
      </w:pPr>
      <w:r>
        <w:rPr>
          <w:rFonts w:ascii="Arial" w:hAnsi="Arial" w:eastAsia="Arial" w:cs="Arial"/>
          <w:b/>
          <w:color w:val="000000"/>
          <w:sz w:val="24"/>
          <w:szCs w:val="24"/>
          <w:rtl w:val="0"/>
        </w:rPr>
        <w:t>REQUISITOS DA CONTRATAÇÃO</w:t>
      </w:r>
    </w:p>
    <w:p w14:paraId="00000059">
      <w:pPr>
        <w:pBdr>
          <w:top w:val="none" w:color="000000" w:sz="0" w:space="0"/>
          <w:left w:val="none" w:color="000000" w:sz="0" w:space="0"/>
          <w:bottom w:val="none" w:color="000000" w:sz="0" w:space="0"/>
          <w:right w:val="none" w:color="000000" w:sz="0" w:space="0"/>
          <w:between w:val="none" w:color="000000" w:sz="0" w:space="0"/>
        </w:pBdr>
        <w:ind w:left="1080" w:firstLine="0"/>
        <w:jc w:val="both"/>
        <w:rPr>
          <w:rFonts w:ascii="Arial" w:hAnsi="Arial" w:eastAsia="Arial" w:cs="Arial"/>
          <w:color w:val="000000"/>
          <w:sz w:val="24"/>
          <w:szCs w:val="24"/>
        </w:rPr>
      </w:pPr>
    </w:p>
    <w:p w14:paraId="0000005A">
      <w:pPr>
        <w:jc w:val="both"/>
        <w:rPr>
          <w:rFonts w:ascii="Arial" w:hAnsi="Arial" w:eastAsia="Arial" w:cs="Arial"/>
          <w:b/>
          <w:sz w:val="24"/>
          <w:szCs w:val="24"/>
        </w:rPr>
      </w:pPr>
      <w:r>
        <w:rPr>
          <w:rFonts w:ascii="Arial" w:hAnsi="Arial" w:eastAsia="Arial" w:cs="Arial"/>
          <w:b/>
          <w:sz w:val="24"/>
          <w:szCs w:val="24"/>
          <w:rtl w:val="0"/>
        </w:rPr>
        <w:t>Subcontratação</w:t>
      </w:r>
    </w:p>
    <w:p w14:paraId="0000005B">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Não é admitida a subcontratação do objeto contratual.</w:t>
      </w:r>
    </w:p>
    <w:p w14:paraId="0000005C">
      <w:pPr>
        <w:numPr>
          <w:ilvl w:val="1"/>
          <w:numId w:val="3"/>
        </w:numPr>
        <w:pBdr>
          <w:top w:val="none" w:color="000000" w:sz="0" w:space="0"/>
          <w:left w:val="none" w:color="000000" w:sz="0" w:space="0"/>
          <w:bottom w:val="none" w:color="000000" w:sz="0" w:space="0"/>
          <w:right w:val="none" w:color="000000" w:sz="0" w:space="0"/>
          <w:between w:val="none" w:color="000000" w:sz="0" w:space="0"/>
        </w:pBdr>
        <w:ind w:left="2040" w:hanging="720"/>
        <w:jc w:val="both"/>
        <w:rPr>
          <w:rFonts w:ascii="Arial" w:hAnsi="Arial" w:eastAsia="Arial" w:cs="Arial"/>
          <w:color w:val="000000"/>
          <w:sz w:val="24"/>
          <w:szCs w:val="24"/>
        </w:rPr>
      </w:pPr>
      <w:r>
        <w:rPr>
          <w:rFonts w:ascii="Arial" w:hAnsi="Arial" w:eastAsia="Arial" w:cs="Arial"/>
          <w:color w:val="000000"/>
          <w:sz w:val="24"/>
          <w:szCs w:val="24"/>
          <w:rtl w:val="0"/>
        </w:rPr>
        <w:t xml:space="preserve">O contrato oferece maior detalhamento das regras que serão aplicadas em relação à subcontratação, caso admitida. </w:t>
      </w:r>
    </w:p>
    <w:p w14:paraId="0000005D">
      <w:pPr>
        <w:jc w:val="both"/>
        <w:rPr>
          <w:rFonts w:ascii="Arial" w:hAnsi="Arial" w:eastAsia="Arial" w:cs="Arial"/>
          <w:b/>
          <w:sz w:val="24"/>
          <w:szCs w:val="24"/>
        </w:rPr>
      </w:pPr>
      <w:r>
        <w:rPr>
          <w:rFonts w:ascii="Arial" w:hAnsi="Arial" w:eastAsia="Arial" w:cs="Arial"/>
          <w:b/>
          <w:sz w:val="24"/>
          <w:szCs w:val="24"/>
          <w:rtl w:val="0"/>
        </w:rPr>
        <w:t xml:space="preserve">Garantia da contratação </w:t>
      </w:r>
    </w:p>
    <w:p w14:paraId="0000005E">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Não haverá exigência da garantia da contratação dos artigos 96 e seguintes da Lei nº 14.133, de 2021, pelas razões constantes do Estudo Técnico Preliminar.</w:t>
      </w:r>
    </w:p>
    <w:p w14:paraId="0000005F">
      <w:pPr>
        <w:pBdr>
          <w:top w:val="none" w:color="000000" w:sz="0" w:space="0"/>
          <w:left w:val="none" w:color="000000" w:sz="0" w:space="0"/>
          <w:bottom w:val="none" w:color="000000" w:sz="0" w:space="0"/>
          <w:right w:val="none" w:color="000000" w:sz="0" w:space="0"/>
          <w:between w:val="none" w:color="000000" w:sz="0" w:space="0"/>
        </w:pBdr>
        <w:spacing w:after="0"/>
        <w:ind w:left="1080" w:firstLine="0"/>
        <w:jc w:val="both"/>
        <w:rPr>
          <w:rFonts w:ascii="Arial" w:hAnsi="Arial" w:eastAsia="Arial" w:cs="Arial"/>
          <w:color w:val="000000"/>
          <w:sz w:val="24"/>
          <w:szCs w:val="24"/>
        </w:rPr>
      </w:pPr>
    </w:p>
    <w:p w14:paraId="00000060">
      <w:pPr>
        <w:numPr>
          <w:ilvl w:val="0"/>
          <w:numId w:val="3"/>
        </w:numPr>
        <w:pBdr>
          <w:top w:val="none" w:color="000000" w:sz="0" w:space="0"/>
          <w:left w:val="none" w:color="000000" w:sz="0" w:space="0"/>
          <w:bottom w:val="none" w:color="000000" w:sz="0" w:space="0"/>
          <w:right w:val="none" w:color="000000" w:sz="0" w:space="0"/>
          <w:between w:val="none" w:color="000000" w:sz="0" w:space="0"/>
        </w:pBdr>
        <w:shd w:val="clear" w:fill="D9D9D9"/>
        <w:ind w:left="720" w:hanging="360"/>
        <w:jc w:val="both"/>
        <w:rPr>
          <w:rFonts w:ascii="Arial" w:hAnsi="Arial" w:eastAsia="Arial" w:cs="Arial"/>
          <w:b/>
          <w:color w:val="000000"/>
          <w:sz w:val="24"/>
          <w:szCs w:val="24"/>
        </w:rPr>
      </w:pPr>
      <w:r>
        <w:rPr>
          <w:rFonts w:ascii="Arial" w:hAnsi="Arial" w:eastAsia="Arial" w:cs="Arial"/>
          <w:b/>
          <w:color w:val="000000"/>
          <w:sz w:val="24"/>
          <w:szCs w:val="24"/>
          <w:rtl w:val="0"/>
        </w:rPr>
        <w:t xml:space="preserve">DA EXECUÇÃO DO OBJETO </w:t>
      </w:r>
    </w:p>
    <w:p w14:paraId="00000061">
      <w:pPr>
        <w:jc w:val="both"/>
        <w:rPr>
          <w:rFonts w:ascii="Arial" w:hAnsi="Arial" w:eastAsia="Arial" w:cs="Arial"/>
          <w:b/>
          <w:sz w:val="24"/>
          <w:szCs w:val="24"/>
        </w:rPr>
      </w:pPr>
      <w:r>
        <w:rPr>
          <w:rFonts w:ascii="Arial" w:hAnsi="Arial" w:eastAsia="Arial" w:cs="Arial"/>
          <w:b/>
          <w:sz w:val="24"/>
          <w:szCs w:val="24"/>
          <w:rtl w:val="0"/>
        </w:rPr>
        <w:t>Condições de Entrega</w:t>
      </w:r>
    </w:p>
    <w:p w14:paraId="00000062">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sz w:val="24"/>
          <w:szCs w:val="24"/>
          <w:rtl w:val="0"/>
        </w:rPr>
        <w:t xml:space="preserve">O prazo de prestação  dos serviços será de 30 (trinta) dias corridos, contados do recebimento da respectiva ordem de serviço. </w:t>
      </w:r>
    </w:p>
    <w:p w14:paraId="00000063">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sz w:val="24"/>
          <w:szCs w:val="24"/>
          <w:rtl w:val="0"/>
        </w:rPr>
        <w:t>Os serviços deverão ser executados no seguinte endereço/local: Praça Municipal, sn, Centro- Macururé-BA, ou de forma remota e também poderá ser em um outro local designado pela Secretaria Municipal de Educação, cultura, esporte e lazer</w:t>
      </w:r>
    </w:p>
    <w:p w14:paraId="00000064">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sz w:val="24"/>
          <w:szCs w:val="24"/>
          <w:rtl w:val="0"/>
        </w:rPr>
        <w:t>Os serviços serão prestados provisoriamente por ocasião da sua efetiva entrega, pelo(a) responsável pelo acompanhamento e fiscalização do contrato, para efeito de posterior verificação de sua conformidade com as especificações constantes neste Termo de Referência e na proposta.</w:t>
      </w:r>
    </w:p>
    <w:p w14:paraId="00000065">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sz w:val="24"/>
          <w:szCs w:val="24"/>
          <w:rtl w:val="0"/>
        </w:rPr>
        <w:t>Os serviços poderão ser rejeitados, no todo ou em parte, quando em desacordo com as especificações constantes neste Termo de Referência e na proposta, devendo ser substituídos no prazo de 15 (quinze) dias, a contar da notificação do contratado, às suas custas, sem prejuízo da aplicação das penalidades.</w:t>
      </w:r>
    </w:p>
    <w:p w14:paraId="00000066">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sz w:val="24"/>
          <w:szCs w:val="24"/>
          <w:rtl w:val="0"/>
        </w:rPr>
        <w:t>O Contratado deverá ter disponibilidade e capacidade de entregar o objeto nos endereços relacionados neste Termo de Referência e/ou ordem de serviço, conforme as condições e as necessidades do licitante.</w:t>
      </w:r>
    </w:p>
    <w:p w14:paraId="00000067">
      <w:pPr>
        <w:pBdr>
          <w:top w:val="none" w:color="000000" w:sz="0" w:space="0"/>
          <w:left w:val="none" w:color="000000" w:sz="0" w:space="0"/>
          <w:bottom w:val="none" w:color="000000" w:sz="0" w:space="0"/>
          <w:right w:val="none" w:color="000000" w:sz="0" w:space="0"/>
          <w:between w:val="none" w:color="000000" w:sz="0" w:space="0"/>
        </w:pBdr>
        <w:spacing w:after="0"/>
        <w:ind w:left="1080" w:firstLine="0"/>
        <w:jc w:val="both"/>
        <w:rPr>
          <w:rFonts w:ascii="Arial" w:hAnsi="Arial" w:eastAsia="Arial" w:cs="Arial"/>
          <w:sz w:val="24"/>
          <w:szCs w:val="24"/>
        </w:rPr>
      </w:pPr>
    </w:p>
    <w:p w14:paraId="00000068">
      <w:pPr>
        <w:numPr>
          <w:ilvl w:val="0"/>
          <w:numId w:val="3"/>
        </w:numPr>
        <w:pBdr>
          <w:top w:val="none" w:color="000000" w:sz="0" w:space="0"/>
          <w:left w:val="none" w:color="000000" w:sz="0" w:space="0"/>
          <w:bottom w:val="none" w:color="000000" w:sz="0" w:space="0"/>
          <w:right w:val="none" w:color="000000" w:sz="0" w:space="0"/>
          <w:between w:val="none" w:color="000000" w:sz="0" w:space="0"/>
        </w:pBdr>
        <w:shd w:val="clear" w:fill="D9D9D9"/>
        <w:spacing w:after="0"/>
        <w:ind w:left="720" w:hanging="360"/>
        <w:jc w:val="both"/>
        <w:rPr>
          <w:rFonts w:ascii="Arial" w:hAnsi="Arial" w:eastAsia="Arial" w:cs="Arial"/>
          <w:b/>
          <w:color w:val="000000"/>
          <w:sz w:val="24"/>
          <w:szCs w:val="24"/>
        </w:rPr>
      </w:pPr>
      <w:r>
        <w:rPr>
          <w:rFonts w:ascii="Arial" w:hAnsi="Arial" w:eastAsia="Arial" w:cs="Arial"/>
          <w:b/>
          <w:color w:val="000000"/>
          <w:sz w:val="24"/>
          <w:szCs w:val="24"/>
          <w:rtl w:val="0"/>
        </w:rPr>
        <w:t>DE GESTÃO DO CONTRATO</w:t>
      </w:r>
    </w:p>
    <w:p w14:paraId="00000069">
      <w:pPr>
        <w:pBdr>
          <w:top w:val="none" w:color="000000" w:sz="0" w:space="0"/>
          <w:left w:val="none" w:color="000000" w:sz="0" w:space="0"/>
          <w:bottom w:val="none" w:color="000000" w:sz="0" w:space="0"/>
          <w:right w:val="none" w:color="000000" w:sz="0" w:space="0"/>
          <w:between w:val="none" w:color="000000" w:sz="0" w:space="0"/>
        </w:pBdr>
        <w:spacing w:after="0"/>
        <w:ind w:left="720" w:firstLine="0"/>
        <w:jc w:val="both"/>
        <w:rPr>
          <w:rFonts w:ascii="Arial" w:hAnsi="Arial" w:eastAsia="Arial" w:cs="Arial"/>
          <w:b/>
          <w:color w:val="000000"/>
          <w:sz w:val="24"/>
          <w:szCs w:val="24"/>
        </w:rPr>
      </w:pPr>
    </w:p>
    <w:p w14:paraId="0000006A">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O contrato deverá ser executado fielmente pelas partes, de acordo com as cláusulas avençadas e as normas da Lei nº 14.133, de 2021, e cada parte responderá pelas consequências de sua inexecução total ou parcial.</w:t>
      </w:r>
    </w:p>
    <w:p w14:paraId="0000006B">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Em caso de impedimento, ordem de paralisação ou suspensão do contrato, o cronograma de execução será prorrogado automaticamente pelo tempo correspondente, anotadas tais circunstâncias mediante simples apostila.</w:t>
      </w:r>
    </w:p>
    <w:p w14:paraId="0000006C">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As comunicações entre o órgão ou entidade e a contratada devem ser realizadas por escrito sempre que o ato exigir tal formalidade, admitindo-se o uso de mensagem eletrônica para esse fim.</w:t>
      </w:r>
    </w:p>
    <w:p w14:paraId="0000006D">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O órgão ou entidade poderá convocar representante da empresa para adoção de providências que devam ser cumpridas de imediato.</w:t>
      </w:r>
    </w:p>
    <w:p w14:paraId="0000006E">
      <w:pPr>
        <w:numPr>
          <w:ilvl w:val="1"/>
          <w:numId w:val="3"/>
        </w:numPr>
        <w:pBdr>
          <w:top w:val="none" w:color="000000" w:sz="0" w:space="0"/>
          <w:left w:val="none" w:color="000000" w:sz="0" w:space="0"/>
          <w:bottom w:val="none" w:color="000000" w:sz="0" w:space="0"/>
          <w:right w:val="none" w:color="000000" w:sz="0" w:space="0"/>
          <w:between w:val="none" w:color="000000" w:sz="0" w:space="0"/>
        </w:pBdr>
        <w:ind w:left="2040" w:hanging="720"/>
        <w:jc w:val="both"/>
        <w:rPr>
          <w:rFonts w:ascii="Arial" w:hAnsi="Arial" w:eastAsia="Arial" w:cs="Arial"/>
          <w:color w:val="000000"/>
          <w:sz w:val="24"/>
          <w:szCs w:val="24"/>
        </w:rPr>
      </w:pPr>
      <w:r>
        <w:rPr>
          <w:rFonts w:ascii="Arial" w:hAnsi="Arial" w:eastAsia="Arial" w:cs="Arial"/>
          <w:color w:val="000000"/>
          <w:sz w:val="24"/>
          <w:szCs w:val="24"/>
          <w:rtl w:val="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000006F">
      <w:pPr>
        <w:jc w:val="both"/>
        <w:rPr>
          <w:rFonts w:ascii="Arial" w:hAnsi="Arial" w:eastAsia="Arial" w:cs="Arial"/>
          <w:b/>
          <w:sz w:val="24"/>
          <w:szCs w:val="24"/>
        </w:rPr>
      </w:pPr>
      <w:r>
        <w:rPr>
          <w:rFonts w:ascii="Arial" w:hAnsi="Arial" w:eastAsia="Arial" w:cs="Arial"/>
          <w:b/>
          <w:sz w:val="24"/>
          <w:szCs w:val="24"/>
          <w:rtl w:val="0"/>
        </w:rPr>
        <w:t>Fiscalização</w:t>
      </w:r>
    </w:p>
    <w:p w14:paraId="00000070">
      <w:pPr>
        <w:numPr>
          <w:ilvl w:val="1"/>
          <w:numId w:val="3"/>
        </w:numPr>
        <w:pBdr>
          <w:top w:val="none" w:color="000000" w:sz="0" w:space="0"/>
          <w:left w:val="none" w:color="000000" w:sz="0" w:space="0"/>
          <w:bottom w:val="none" w:color="000000" w:sz="0" w:space="0"/>
          <w:right w:val="none" w:color="000000" w:sz="0" w:space="0"/>
          <w:between w:val="none" w:color="000000" w:sz="0" w:space="0"/>
        </w:pBdr>
        <w:ind w:left="2040" w:hanging="720"/>
        <w:jc w:val="both"/>
        <w:rPr>
          <w:rFonts w:ascii="Arial" w:hAnsi="Arial" w:eastAsia="Arial" w:cs="Arial"/>
          <w:color w:val="000000"/>
          <w:sz w:val="24"/>
          <w:szCs w:val="24"/>
        </w:rPr>
      </w:pPr>
      <w:r>
        <w:rPr>
          <w:rFonts w:ascii="Arial" w:hAnsi="Arial" w:eastAsia="Arial" w:cs="Arial"/>
          <w:color w:val="000000"/>
          <w:sz w:val="24"/>
          <w:szCs w:val="24"/>
          <w:rtl w:val="0"/>
        </w:rPr>
        <w:t xml:space="preserve">A execução do contrato deverá ser acompanhada e fiscalizada </w:t>
      </w:r>
      <w:r>
        <w:rPr>
          <w:rFonts w:ascii="Arial" w:hAnsi="Arial" w:eastAsia="Arial" w:cs="Arial"/>
          <w:sz w:val="24"/>
          <w:szCs w:val="24"/>
          <w:rtl w:val="0"/>
        </w:rPr>
        <w:t xml:space="preserve">pelo </w:t>
      </w:r>
      <w:r>
        <w:rPr>
          <w:rFonts w:ascii="Arial" w:hAnsi="Arial" w:eastAsia="Arial" w:cs="Arial"/>
          <w:b/>
          <w:sz w:val="24"/>
          <w:szCs w:val="24"/>
          <w:rtl w:val="0"/>
        </w:rPr>
        <w:t>Sr. Lucas Ribeiro Barros</w:t>
      </w:r>
      <w:r>
        <w:rPr>
          <w:rFonts w:ascii="Arial" w:hAnsi="Arial" w:eastAsia="Arial" w:cs="Arial"/>
          <w:sz w:val="24"/>
          <w:szCs w:val="24"/>
          <w:rtl w:val="0"/>
        </w:rPr>
        <w:t>,</w:t>
      </w:r>
      <w:r>
        <w:rPr>
          <w:rFonts w:ascii="Arial" w:hAnsi="Arial" w:eastAsia="Arial" w:cs="Arial"/>
          <w:color w:val="000000"/>
          <w:sz w:val="24"/>
          <w:szCs w:val="24"/>
          <w:rtl w:val="0"/>
        </w:rPr>
        <w:t xml:space="preserve"> ou pelos respectivos substitutos (Lei nº 14.133, de 2021, art. 117, caput).</w:t>
      </w:r>
    </w:p>
    <w:p w14:paraId="00000071">
      <w:pPr>
        <w:jc w:val="both"/>
        <w:rPr>
          <w:rFonts w:ascii="Arial" w:hAnsi="Arial" w:eastAsia="Arial" w:cs="Arial"/>
          <w:b/>
          <w:sz w:val="24"/>
          <w:szCs w:val="24"/>
        </w:rPr>
      </w:pPr>
      <w:r>
        <w:rPr>
          <w:rFonts w:ascii="Arial" w:hAnsi="Arial" w:eastAsia="Arial" w:cs="Arial"/>
          <w:b/>
          <w:sz w:val="24"/>
          <w:szCs w:val="24"/>
          <w:rtl w:val="0"/>
        </w:rPr>
        <w:t>Fiscalização Técnica</w:t>
      </w:r>
    </w:p>
    <w:p w14:paraId="00000072">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O fiscal técnico do contrato acompanhará a execução do contrato, para que sejam cumpridas todas as condições estabelecidas, de modo a assegurar os melhores resultados para a Administração. (Decreto nº 11.246, de 2022, art. 22, VI);</w:t>
      </w:r>
    </w:p>
    <w:p w14:paraId="00000073">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00000074">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Identificada qualquer inexatidão ou irregularidade, o fiscal técnico do contrato emitirá notificações para a correção da execução do contrato, determinando prazo para a correção. (Decreto nº 11.246, de 2022, art. 22, III);</w:t>
      </w:r>
    </w:p>
    <w:p w14:paraId="00000075">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 xml:space="preserve">O fiscal técnico do contrato informará ao gestor do </w:t>
      </w:r>
      <w:r>
        <w:rPr>
          <w:rFonts w:ascii="Arial" w:hAnsi="Arial" w:eastAsia="Arial" w:cs="Arial"/>
          <w:sz w:val="24"/>
          <w:szCs w:val="24"/>
          <w:rtl w:val="0"/>
        </w:rPr>
        <w:t>contrato</w:t>
      </w:r>
      <w:r>
        <w:rPr>
          <w:rFonts w:ascii="Arial" w:hAnsi="Arial" w:eastAsia="Arial" w:cs="Arial"/>
          <w:color w:val="000000"/>
          <w:sz w:val="24"/>
          <w:szCs w:val="24"/>
          <w:rtl w:val="0"/>
        </w:rPr>
        <w:t>, em tempo hábil, a situação que demandar decisão ou adoção de medidas que ultrapassem sua competência, para que adote as medidas necessárias e saneadoras, se for o caso. (Decreto nº 11.246, de 2022, art. 22, IV).</w:t>
      </w:r>
    </w:p>
    <w:p w14:paraId="00000076">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No caso de ocorrências que possam inviabilizar a execução do contrato nas datas aprazadas, o fiscal técnico do contrato comunicará o fato imediatamente ao gestor do contrato. (Decreto nº 11.246, de 2022, art. 22, V).</w:t>
      </w:r>
    </w:p>
    <w:p w14:paraId="00000077">
      <w:pPr>
        <w:numPr>
          <w:ilvl w:val="1"/>
          <w:numId w:val="3"/>
        </w:numPr>
        <w:pBdr>
          <w:top w:val="none" w:color="000000" w:sz="0" w:space="0"/>
          <w:left w:val="none" w:color="000000" w:sz="0" w:space="0"/>
          <w:bottom w:val="none" w:color="000000" w:sz="0" w:space="0"/>
          <w:right w:val="none" w:color="000000" w:sz="0" w:space="0"/>
          <w:between w:val="none" w:color="000000" w:sz="0" w:space="0"/>
        </w:pBdr>
        <w:ind w:left="2040" w:hanging="720"/>
        <w:jc w:val="both"/>
        <w:rPr>
          <w:rFonts w:ascii="Arial" w:hAnsi="Arial" w:eastAsia="Arial" w:cs="Arial"/>
          <w:color w:val="000000"/>
          <w:sz w:val="24"/>
          <w:szCs w:val="24"/>
        </w:rPr>
      </w:pPr>
      <w:r>
        <w:rPr>
          <w:rFonts w:ascii="Arial" w:hAnsi="Arial" w:eastAsia="Arial" w:cs="Arial"/>
          <w:color w:val="000000"/>
          <w:sz w:val="24"/>
          <w:szCs w:val="24"/>
          <w:rtl w:val="0"/>
        </w:rPr>
        <w:t>O fiscal técnico do contrato comunicará ao gestor do contrato, em tempo hábil, o término do contrato sob sua responsabilidade, com vistas à renovação tempestiva ou à prorrogação contratual (Decreto nº 11.246, de 2022, art. 22, VII).</w:t>
      </w:r>
    </w:p>
    <w:p w14:paraId="00000078">
      <w:pPr>
        <w:jc w:val="both"/>
        <w:rPr>
          <w:rFonts w:ascii="Arial" w:hAnsi="Arial" w:eastAsia="Arial" w:cs="Arial"/>
          <w:b/>
          <w:sz w:val="24"/>
          <w:szCs w:val="24"/>
        </w:rPr>
      </w:pPr>
      <w:r>
        <w:rPr>
          <w:rFonts w:ascii="Arial" w:hAnsi="Arial" w:eastAsia="Arial" w:cs="Arial"/>
          <w:b/>
          <w:sz w:val="24"/>
          <w:szCs w:val="24"/>
          <w:rtl w:val="0"/>
        </w:rPr>
        <w:t>Fiscalização Administrativa</w:t>
      </w:r>
    </w:p>
    <w:p w14:paraId="00000079">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0000007A">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0000007B">
      <w:pPr>
        <w:jc w:val="both"/>
        <w:rPr>
          <w:rFonts w:ascii="Arial" w:hAnsi="Arial" w:eastAsia="Arial" w:cs="Arial"/>
          <w:b/>
          <w:sz w:val="24"/>
          <w:szCs w:val="24"/>
        </w:rPr>
      </w:pPr>
    </w:p>
    <w:p w14:paraId="0000007C">
      <w:pPr>
        <w:jc w:val="both"/>
        <w:rPr>
          <w:rFonts w:ascii="Arial" w:hAnsi="Arial" w:eastAsia="Arial" w:cs="Arial"/>
          <w:b/>
          <w:sz w:val="24"/>
          <w:szCs w:val="24"/>
        </w:rPr>
      </w:pPr>
      <w:r>
        <w:rPr>
          <w:rFonts w:ascii="Arial" w:hAnsi="Arial" w:eastAsia="Arial" w:cs="Arial"/>
          <w:b/>
          <w:sz w:val="24"/>
          <w:szCs w:val="24"/>
          <w:rtl w:val="0"/>
        </w:rPr>
        <w:t>Gestor do Contrato</w:t>
      </w:r>
    </w:p>
    <w:p w14:paraId="0000007D">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0000007E">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0000007F">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 xml:space="preserve">O gestor do contrato acompanhará a manutenção das condições de habilitação da contratada, para fins de empenho de despesa e pagamento, e anotará os problemas que </w:t>
      </w:r>
      <w:r>
        <w:rPr>
          <w:rFonts w:ascii="Arial" w:hAnsi="Arial" w:eastAsia="Arial" w:cs="Arial"/>
          <w:sz w:val="24"/>
          <w:szCs w:val="24"/>
          <w:rtl w:val="0"/>
        </w:rPr>
        <w:t>obstam</w:t>
      </w:r>
      <w:r>
        <w:rPr>
          <w:rFonts w:ascii="Arial" w:hAnsi="Arial" w:eastAsia="Arial" w:cs="Arial"/>
          <w:color w:val="000000"/>
          <w:sz w:val="24"/>
          <w:szCs w:val="24"/>
          <w:rtl w:val="0"/>
        </w:rPr>
        <w:t xml:space="preserve"> o fluxo normal da liquidação e do pagamento da despesa no relatório de riscos eventuais. (Decreto nº 11.246, de 2022, art. 21, III).</w:t>
      </w:r>
    </w:p>
    <w:p w14:paraId="00000080">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00000081">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00000082">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14:paraId="00000083">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O gestor do contrato deverá enviar a documentação pertinente ao setor de contratos para a formalização dos procedimentos de liquidação e pagamento, no valor dimensionado pela fiscalização e gestão nos termos do contrato.</w:t>
      </w:r>
    </w:p>
    <w:p w14:paraId="00000084">
      <w:pPr>
        <w:pBdr>
          <w:top w:val="none" w:color="000000" w:sz="0" w:space="0"/>
          <w:left w:val="none" w:color="000000" w:sz="0" w:space="0"/>
          <w:bottom w:val="none" w:color="000000" w:sz="0" w:space="0"/>
          <w:right w:val="none" w:color="000000" w:sz="0" w:space="0"/>
          <w:between w:val="none" w:color="000000" w:sz="0" w:space="0"/>
        </w:pBdr>
        <w:spacing w:after="0"/>
        <w:ind w:left="1080" w:firstLine="0"/>
        <w:jc w:val="both"/>
        <w:rPr>
          <w:rFonts w:ascii="Arial" w:hAnsi="Arial" w:eastAsia="Arial" w:cs="Arial"/>
          <w:color w:val="000000"/>
          <w:sz w:val="24"/>
          <w:szCs w:val="24"/>
        </w:rPr>
      </w:pPr>
    </w:p>
    <w:p w14:paraId="00000085">
      <w:pPr>
        <w:numPr>
          <w:ilvl w:val="0"/>
          <w:numId w:val="3"/>
        </w:numPr>
        <w:pBdr>
          <w:top w:val="none" w:color="000000" w:sz="0" w:space="0"/>
          <w:left w:val="none" w:color="000000" w:sz="0" w:space="0"/>
          <w:bottom w:val="none" w:color="000000" w:sz="0" w:space="0"/>
          <w:right w:val="none" w:color="000000" w:sz="0" w:space="0"/>
          <w:between w:val="none" w:color="000000" w:sz="0" w:space="0"/>
        </w:pBdr>
        <w:shd w:val="clear" w:fill="D9D9D9"/>
        <w:ind w:left="720" w:hanging="360"/>
        <w:jc w:val="both"/>
        <w:rPr>
          <w:rFonts w:ascii="Arial" w:hAnsi="Arial" w:eastAsia="Arial" w:cs="Arial"/>
          <w:b/>
          <w:color w:val="000000"/>
          <w:sz w:val="24"/>
          <w:szCs w:val="24"/>
        </w:rPr>
      </w:pPr>
      <w:r>
        <w:rPr>
          <w:rFonts w:ascii="Arial" w:hAnsi="Arial" w:eastAsia="Arial" w:cs="Arial"/>
          <w:b/>
          <w:color w:val="000000"/>
          <w:sz w:val="24"/>
          <w:szCs w:val="24"/>
          <w:rtl w:val="0"/>
        </w:rPr>
        <w:t>CRITÉRIOS DE PAGAMENTO</w:t>
      </w:r>
    </w:p>
    <w:p w14:paraId="00000086">
      <w:pPr>
        <w:jc w:val="both"/>
        <w:rPr>
          <w:rFonts w:ascii="Arial" w:hAnsi="Arial" w:eastAsia="Arial" w:cs="Arial"/>
          <w:b/>
          <w:sz w:val="24"/>
          <w:szCs w:val="24"/>
        </w:rPr>
      </w:pPr>
      <w:r>
        <w:rPr>
          <w:rFonts w:ascii="Arial" w:hAnsi="Arial" w:eastAsia="Arial" w:cs="Arial"/>
          <w:b/>
          <w:sz w:val="24"/>
          <w:szCs w:val="24"/>
          <w:rtl w:val="0"/>
        </w:rPr>
        <w:t>Recebimento</w:t>
      </w:r>
    </w:p>
    <w:p w14:paraId="00000087">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sz w:val="24"/>
          <w:szCs w:val="24"/>
          <w:rtl w:val="0"/>
        </w:rPr>
        <w:t>O pagamento de cada fatura deverá ser realizada em um prazo não superior a 30 (trinta) dias contados a partir do atesto da Nota Fiscal, após comprovado o adimplemento do Contratado em todas as suas obrigações, já deduzidas as glosas e notas de débitos e mediante verificação do Certificado de Regularidade Fiscal (CRF), destinado a comprovar a regularidade com os Fiscos Federal, Estadual e Municipal, com o FGTS, e negativa de débitos trabalhistas (CNDT), observadas as disposições do Termo de Referência.</w:t>
      </w:r>
    </w:p>
    <w:p w14:paraId="00000088">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sz w:val="24"/>
          <w:szCs w:val="24"/>
          <w:rtl w:val="0"/>
        </w:rPr>
        <w:t>Nenhum pagamento será efetuado sem a apresentação dos documentos exigidos, bem como enquanto não forem sanadas irregularidades eventualmente constatadas na nota fiscal, no fornecimento dos bens ou no cumprimento de obrigações contratuais.</w:t>
      </w:r>
    </w:p>
    <w:p w14:paraId="00000089">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sz w:val="24"/>
          <w:szCs w:val="24"/>
          <w:rtl w:val="0"/>
        </w:rPr>
        <w:t>Os pagamentos ficarão condicionados à prévia informação pelo credor, dos dados da conta corrente bancária de titularidade do Contratado.</w:t>
      </w:r>
    </w:p>
    <w:p w14:paraId="0000008A">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sz w:val="24"/>
          <w:szCs w:val="24"/>
          <w:rtl w:val="0"/>
        </w:rPr>
        <w:t>As notas fiscais devem ser emitidas em nome do Município Contratante, devendo constar ainda número da licitação, lote/item e validado dos produtos, para fins de rastreabilidade em estoque.</w:t>
      </w:r>
    </w:p>
    <w:p w14:paraId="0000008B">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0000008C">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000008D">
      <w:pPr>
        <w:numPr>
          <w:ilvl w:val="1"/>
          <w:numId w:val="3"/>
        </w:numPr>
        <w:pBdr>
          <w:top w:val="none" w:color="000000" w:sz="0" w:space="0"/>
          <w:left w:val="none" w:color="000000" w:sz="0" w:space="0"/>
          <w:bottom w:val="none" w:color="000000" w:sz="0" w:space="0"/>
          <w:right w:val="none" w:color="000000" w:sz="0" w:space="0"/>
          <w:between w:val="none" w:color="000000" w:sz="0" w:space="0"/>
        </w:pBdr>
        <w:ind w:left="2040" w:hanging="720"/>
        <w:jc w:val="both"/>
        <w:rPr>
          <w:rFonts w:ascii="Arial" w:hAnsi="Arial" w:eastAsia="Arial" w:cs="Arial"/>
          <w:color w:val="000000"/>
          <w:sz w:val="24"/>
          <w:szCs w:val="24"/>
        </w:rPr>
      </w:pPr>
      <w:r>
        <w:rPr>
          <w:rFonts w:ascii="Arial" w:hAnsi="Arial" w:eastAsia="Arial" w:cs="Arial"/>
          <w:color w:val="000000"/>
          <w:sz w:val="24"/>
          <w:szCs w:val="24"/>
          <w:rtl w:val="0"/>
        </w:rPr>
        <w:t>O recebimento provisório ou definitivo não excluirá a responsabilidade civil pela solidez e pela segurança dos gêneros nem a responsabilidade ético-profissional pela perfeita execução do contrato.</w:t>
      </w:r>
    </w:p>
    <w:p w14:paraId="0000008E">
      <w:pPr>
        <w:jc w:val="both"/>
        <w:rPr>
          <w:rFonts w:ascii="Arial" w:hAnsi="Arial" w:eastAsia="Arial" w:cs="Arial"/>
          <w:b/>
          <w:sz w:val="24"/>
          <w:szCs w:val="24"/>
        </w:rPr>
      </w:pPr>
      <w:r>
        <w:rPr>
          <w:rFonts w:ascii="Arial" w:hAnsi="Arial" w:eastAsia="Arial" w:cs="Arial"/>
          <w:b/>
          <w:sz w:val="24"/>
          <w:szCs w:val="24"/>
          <w:rtl w:val="0"/>
        </w:rPr>
        <w:t>Liquidação</w:t>
      </w:r>
    </w:p>
    <w:p w14:paraId="0000008F">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Recebida a Nota Fiscal ou documento de cobrança equivalente, correrá o prazo de dez dias úteis para fins de liquidação, na forma desta seção, prorrogáveis por igual período, nos termos do art. 7º, §3º da Instrução Normativa SEGES/ME nº 77/2022.</w:t>
      </w:r>
    </w:p>
    <w:p w14:paraId="00000090">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 xml:space="preserve">Para fins de liquidação, o setor competente deverá verificar se a nota fiscal ou instrumento de cobrança equivalente apresentado expressa os elementos necessários e essenciais do documento, tais como: </w:t>
      </w:r>
    </w:p>
    <w:p w14:paraId="00000091">
      <w:pPr>
        <w:numPr>
          <w:ilvl w:val="2"/>
          <w:numId w:val="3"/>
        </w:numPr>
        <w:pBdr>
          <w:top w:val="none" w:color="000000" w:sz="0" w:space="0"/>
          <w:left w:val="none" w:color="000000" w:sz="0" w:space="0"/>
          <w:bottom w:val="none" w:color="000000" w:sz="0" w:space="0"/>
          <w:right w:val="none" w:color="000000" w:sz="0" w:space="0"/>
          <w:between w:val="none" w:color="000000" w:sz="0" w:space="0"/>
        </w:pBdr>
        <w:spacing w:after="0"/>
        <w:ind w:left="1701" w:hanging="567"/>
        <w:jc w:val="both"/>
        <w:rPr>
          <w:rFonts w:ascii="Arial" w:hAnsi="Arial" w:eastAsia="Arial" w:cs="Arial"/>
          <w:color w:val="000000"/>
          <w:sz w:val="24"/>
          <w:szCs w:val="24"/>
        </w:rPr>
      </w:pPr>
      <w:r>
        <w:rPr>
          <w:rFonts w:ascii="Arial" w:hAnsi="Arial" w:eastAsia="Arial" w:cs="Arial"/>
          <w:color w:val="000000"/>
          <w:sz w:val="24"/>
          <w:szCs w:val="24"/>
          <w:rtl w:val="0"/>
        </w:rPr>
        <w:t>o prazo de validade;</w:t>
      </w:r>
    </w:p>
    <w:p w14:paraId="00000092">
      <w:pPr>
        <w:numPr>
          <w:ilvl w:val="2"/>
          <w:numId w:val="3"/>
        </w:numPr>
        <w:pBdr>
          <w:top w:val="none" w:color="000000" w:sz="0" w:space="0"/>
          <w:left w:val="none" w:color="000000" w:sz="0" w:space="0"/>
          <w:bottom w:val="none" w:color="000000" w:sz="0" w:space="0"/>
          <w:right w:val="none" w:color="000000" w:sz="0" w:space="0"/>
          <w:between w:val="none" w:color="000000" w:sz="0" w:space="0"/>
        </w:pBdr>
        <w:spacing w:after="0"/>
        <w:ind w:left="1701" w:hanging="567"/>
        <w:jc w:val="both"/>
        <w:rPr>
          <w:rFonts w:ascii="Arial" w:hAnsi="Arial" w:eastAsia="Arial" w:cs="Arial"/>
          <w:color w:val="000000"/>
          <w:sz w:val="24"/>
          <w:szCs w:val="24"/>
        </w:rPr>
      </w:pPr>
      <w:r>
        <w:rPr>
          <w:rFonts w:ascii="Arial" w:hAnsi="Arial" w:eastAsia="Arial" w:cs="Arial"/>
          <w:color w:val="000000"/>
          <w:sz w:val="24"/>
          <w:szCs w:val="24"/>
          <w:rtl w:val="0"/>
        </w:rPr>
        <w:t xml:space="preserve">a data da emissão; </w:t>
      </w:r>
    </w:p>
    <w:p w14:paraId="00000093">
      <w:pPr>
        <w:numPr>
          <w:ilvl w:val="2"/>
          <w:numId w:val="3"/>
        </w:numPr>
        <w:pBdr>
          <w:top w:val="none" w:color="000000" w:sz="0" w:space="0"/>
          <w:left w:val="none" w:color="000000" w:sz="0" w:space="0"/>
          <w:bottom w:val="none" w:color="000000" w:sz="0" w:space="0"/>
          <w:right w:val="none" w:color="000000" w:sz="0" w:space="0"/>
          <w:between w:val="none" w:color="000000" w:sz="0" w:space="0"/>
        </w:pBdr>
        <w:spacing w:after="0"/>
        <w:ind w:left="1701" w:hanging="567"/>
        <w:jc w:val="both"/>
        <w:rPr>
          <w:rFonts w:ascii="Arial" w:hAnsi="Arial" w:eastAsia="Arial" w:cs="Arial"/>
          <w:color w:val="000000"/>
          <w:sz w:val="24"/>
          <w:szCs w:val="24"/>
        </w:rPr>
      </w:pPr>
      <w:r>
        <w:rPr>
          <w:rFonts w:ascii="Arial" w:hAnsi="Arial" w:eastAsia="Arial" w:cs="Arial"/>
          <w:color w:val="000000"/>
          <w:sz w:val="24"/>
          <w:szCs w:val="24"/>
          <w:rtl w:val="0"/>
        </w:rPr>
        <w:t xml:space="preserve">os dados do contrato e do órgão contratante; </w:t>
      </w:r>
    </w:p>
    <w:p w14:paraId="00000094">
      <w:pPr>
        <w:numPr>
          <w:ilvl w:val="2"/>
          <w:numId w:val="3"/>
        </w:numPr>
        <w:pBdr>
          <w:top w:val="none" w:color="000000" w:sz="0" w:space="0"/>
          <w:left w:val="none" w:color="000000" w:sz="0" w:space="0"/>
          <w:bottom w:val="none" w:color="000000" w:sz="0" w:space="0"/>
          <w:right w:val="none" w:color="000000" w:sz="0" w:space="0"/>
          <w:between w:val="none" w:color="000000" w:sz="0" w:space="0"/>
        </w:pBdr>
        <w:spacing w:after="0"/>
        <w:ind w:left="1701" w:hanging="567"/>
        <w:jc w:val="both"/>
        <w:rPr>
          <w:rFonts w:ascii="Arial" w:hAnsi="Arial" w:eastAsia="Arial" w:cs="Arial"/>
          <w:color w:val="000000"/>
          <w:sz w:val="24"/>
          <w:szCs w:val="24"/>
        </w:rPr>
      </w:pPr>
      <w:r>
        <w:rPr>
          <w:rFonts w:ascii="Arial" w:hAnsi="Arial" w:eastAsia="Arial" w:cs="Arial"/>
          <w:color w:val="000000"/>
          <w:sz w:val="24"/>
          <w:szCs w:val="24"/>
          <w:rtl w:val="0"/>
        </w:rPr>
        <w:t>o período respectivo de execução do contrato;</w:t>
      </w:r>
    </w:p>
    <w:p w14:paraId="00000095">
      <w:pPr>
        <w:numPr>
          <w:ilvl w:val="2"/>
          <w:numId w:val="3"/>
        </w:numPr>
        <w:pBdr>
          <w:top w:val="none" w:color="000000" w:sz="0" w:space="0"/>
          <w:left w:val="none" w:color="000000" w:sz="0" w:space="0"/>
          <w:bottom w:val="none" w:color="000000" w:sz="0" w:space="0"/>
          <w:right w:val="none" w:color="000000" w:sz="0" w:space="0"/>
          <w:between w:val="none" w:color="000000" w:sz="0" w:space="0"/>
        </w:pBdr>
        <w:spacing w:after="0"/>
        <w:ind w:left="1701" w:hanging="567"/>
        <w:jc w:val="both"/>
        <w:rPr>
          <w:rFonts w:ascii="Arial" w:hAnsi="Arial" w:eastAsia="Arial" w:cs="Arial"/>
          <w:color w:val="000000"/>
          <w:sz w:val="24"/>
          <w:szCs w:val="24"/>
        </w:rPr>
      </w:pPr>
      <w:r>
        <w:rPr>
          <w:rFonts w:ascii="Arial" w:hAnsi="Arial" w:eastAsia="Arial" w:cs="Arial"/>
          <w:color w:val="000000"/>
          <w:sz w:val="24"/>
          <w:szCs w:val="24"/>
          <w:rtl w:val="0"/>
        </w:rPr>
        <w:t xml:space="preserve">o valor a pagar; e </w:t>
      </w:r>
    </w:p>
    <w:p w14:paraId="00000096">
      <w:pPr>
        <w:numPr>
          <w:ilvl w:val="2"/>
          <w:numId w:val="3"/>
        </w:numPr>
        <w:pBdr>
          <w:top w:val="none" w:color="000000" w:sz="0" w:space="0"/>
          <w:left w:val="none" w:color="000000" w:sz="0" w:space="0"/>
          <w:bottom w:val="none" w:color="000000" w:sz="0" w:space="0"/>
          <w:right w:val="none" w:color="000000" w:sz="0" w:space="0"/>
          <w:between w:val="none" w:color="000000" w:sz="0" w:space="0"/>
        </w:pBdr>
        <w:spacing w:after="0"/>
        <w:ind w:left="1701" w:hanging="567"/>
        <w:jc w:val="both"/>
        <w:rPr>
          <w:rFonts w:ascii="Arial" w:hAnsi="Arial" w:eastAsia="Arial" w:cs="Arial"/>
          <w:color w:val="000000"/>
          <w:sz w:val="24"/>
          <w:szCs w:val="24"/>
        </w:rPr>
      </w:pPr>
      <w:r>
        <w:rPr>
          <w:rFonts w:ascii="Arial" w:hAnsi="Arial" w:eastAsia="Arial" w:cs="Arial"/>
          <w:color w:val="000000"/>
          <w:sz w:val="24"/>
          <w:szCs w:val="24"/>
          <w:rtl w:val="0"/>
        </w:rPr>
        <w:t>eventual destaque do valor de retenções tributárias cabíveis.</w:t>
      </w:r>
    </w:p>
    <w:p w14:paraId="00000097">
      <w:pPr>
        <w:pBdr>
          <w:top w:val="none" w:color="000000" w:sz="0" w:space="0"/>
          <w:left w:val="none" w:color="000000" w:sz="0" w:space="0"/>
          <w:bottom w:val="none" w:color="000000" w:sz="0" w:space="0"/>
          <w:right w:val="none" w:color="000000" w:sz="0" w:space="0"/>
          <w:between w:val="none" w:color="000000" w:sz="0" w:space="0"/>
        </w:pBdr>
        <w:spacing w:after="0"/>
        <w:ind w:left="1701" w:firstLine="0"/>
        <w:jc w:val="both"/>
        <w:rPr>
          <w:rFonts w:ascii="Arial" w:hAnsi="Arial" w:eastAsia="Arial" w:cs="Arial"/>
          <w:color w:val="000000"/>
          <w:sz w:val="24"/>
          <w:szCs w:val="24"/>
        </w:rPr>
      </w:pPr>
    </w:p>
    <w:p w14:paraId="00000098">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0000099">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A nota fiscal ou instrumento de cobrança equivalente deverá ser obrigatoriamente acompanhado da comprovação da regularidade fiscal, mediante consulta aos sítios eletrônicos oficiais ou à documentação mencionada no art. 68 da Lei nº 14.133, de 2021.</w:t>
      </w:r>
    </w:p>
    <w:p w14:paraId="0000009A">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0000009B">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000009C">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000009D">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Persistindo a irregularidade, o contratante deverá adotar as medidas necessárias à rescisão contratual nos autos do processo administrativo correspondente, assegurada ao contratado a ampla defesa.</w:t>
      </w:r>
    </w:p>
    <w:p w14:paraId="0000009E">
      <w:pPr>
        <w:numPr>
          <w:ilvl w:val="1"/>
          <w:numId w:val="3"/>
        </w:numPr>
        <w:pBdr>
          <w:top w:val="none" w:color="000000" w:sz="0" w:space="0"/>
          <w:left w:val="none" w:color="000000" w:sz="0" w:space="0"/>
          <w:bottom w:val="none" w:color="000000" w:sz="0" w:space="0"/>
          <w:right w:val="none" w:color="000000" w:sz="0" w:space="0"/>
          <w:between w:val="none" w:color="000000" w:sz="0" w:space="0"/>
        </w:pBdr>
        <w:ind w:left="2040" w:hanging="720"/>
        <w:jc w:val="both"/>
        <w:rPr>
          <w:rFonts w:ascii="Arial" w:hAnsi="Arial" w:eastAsia="Arial" w:cs="Arial"/>
          <w:color w:val="000000"/>
          <w:sz w:val="24"/>
          <w:szCs w:val="24"/>
        </w:rPr>
      </w:pPr>
      <w:r>
        <w:rPr>
          <w:rFonts w:ascii="Arial" w:hAnsi="Arial" w:eastAsia="Arial" w:cs="Arial"/>
          <w:color w:val="000000"/>
          <w:sz w:val="24"/>
          <w:szCs w:val="24"/>
          <w:rtl w:val="0"/>
        </w:rPr>
        <w:t xml:space="preserve">Havendo a efetiva execução do objeto, os pagamentos serão realizados normalmente, até que se decida pela rescisão do contrato, caso o contratado não regularize sua situação.  </w:t>
      </w:r>
    </w:p>
    <w:p w14:paraId="0000009F">
      <w:pPr>
        <w:jc w:val="both"/>
        <w:rPr>
          <w:rFonts w:ascii="Arial" w:hAnsi="Arial" w:eastAsia="Arial" w:cs="Arial"/>
          <w:b/>
          <w:sz w:val="24"/>
          <w:szCs w:val="24"/>
        </w:rPr>
      </w:pPr>
      <w:r>
        <w:rPr>
          <w:rFonts w:ascii="Arial" w:hAnsi="Arial" w:eastAsia="Arial" w:cs="Arial"/>
          <w:b/>
          <w:sz w:val="24"/>
          <w:szCs w:val="24"/>
          <w:rtl w:val="0"/>
        </w:rPr>
        <w:t>Prazo de pagamento</w:t>
      </w:r>
    </w:p>
    <w:p w14:paraId="000000A0">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O pagamento será efetuado no prazo de até 10 (dez) dias úteis contados da finalização da liquidação da despesa, conforme seção anterior, nos termos da Instrução Normativa SEGES/ME nº 77, de 2022.</w:t>
      </w:r>
    </w:p>
    <w:p w14:paraId="000000A1">
      <w:pPr>
        <w:numPr>
          <w:ilvl w:val="1"/>
          <w:numId w:val="3"/>
        </w:numPr>
        <w:pBdr>
          <w:top w:val="none" w:color="000000" w:sz="0" w:space="0"/>
          <w:left w:val="none" w:color="000000" w:sz="0" w:space="0"/>
          <w:bottom w:val="none" w:color="000000" w:sz="0" w:space="0"/>
          <w:right w:val="none" w:color="000000" w:sz="0" w:space="0"/>
          <w:between w:val="none" w:color="000000" w:sz="0" w:space="0"/>
        </w:pBdr>
        <w:ind w:left="2040" w:hanging="720"/>
        <w:jc w:val="both"/>
        <w:rPr>
          <w:rFonts w:ascii="Arial" w:hAnsi="Arial" w:eastAsia="Arial" w:cs="Arial"/>
          <w:color w:val="000000"/>
          <w:sz w:val="24"/>
          <w:szCs w:val="24"/>
        </w:rPr>
      </w:pPr>
      <w:r>
        <w:rPr>
          <w:rFonts w:ascii="Arial" w:hAnsi="Arial" w:eastAsia="Arial" w:cs="Arial"/>
          <w:color w:val="000000"/>
          <w:sz w:val="24"/>
          <w:szCs w:val="24"/>
          <w:rtl w:val="0"/>
        </w:rPr>
        <w:t xml:space="preserve">No caso de atraso pelo Contratante, os valores devidos ao contratado serão atualizados monetariamente entre o termo final do prazo de pagamento até a data de sua efetiva realização, mediante aplicação do índice IPCA de correção monetária. </w:t>
      </w:r>
    </w:p>
    <w:p w14:paraId="000000A2">
      <w:pPr>
        <w:jc w:val="both"/>
        <w:rPr>
          <w:rFonts w:ascii="Arial" w:hAnsi="Arial" w:eastAsia="Arial" w:cs="Arial"/>
          <w:b/>
          <w:sz w:val="24"/>
          <w:szCs w:val="24"/>
        </w:rPr>
      </w:pPr>
      <w:r>
        <w:rPr>
          <w:rFonts w:ascii="Arial" w:hAnsi="Arial" w:eastAsia="Arial" w:cs="Arial"/>
          <w:b/>
          <w:sz w:val="24"/>
          <w:szCs w:val="24"/>
          <w:rtl w:val="0"/>
        </w:rPr>
        <w:t>Forma de pagamento</w:t>
      </w:r>
    </w:p>
    <w:p w14:paraId="000000A3">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O pagamento será realizado por meio de ordem bancária, para crédito em banco, agência e conta corrente indicados pelo contratado.</w:t>
      </w:r>
    </w:p>
    <w:p w14:paraId="000000A4">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Será considerada data do pagamento o dia em que constar como emitida a ordem bancária para pagamento.</w:t>
      </w:r>
    </w:p>
    <w:p w14:paraId="000000A5">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Quando do pagamento, será efetuada a retenção tributária prevista na legislação aplicável.</w:t>
      </w:r>
    </w:p>
    <w:p w14:paraId="000000A6">
      <w:pPr>
        <w:numPr>
          <w:ilvl w:val="2"/>
          <w:numId w:val="3"/>
        </w:numPr>
        <w:pBdr>
          <w:top w:val="none" w:color="000000" w:sz="0" w:space="0"/>
          <w:left w:val="none" w:color="000000" w:sz="0" w:space="0"/>
          <w:bottom w:val="none" w:color="000000" w:sz="0" w:space="0"/>
          <w:right w:val="none" w:color="000000" w:sz="0" w:space="0"/>
          <w:between w:val="none" w:color="000000" w:sz="0" w:space="0"/>
        </w:pBdr>
        <w:spacing w:after="0"/>
        <w:ind w:left="1701" w:hanging="567"/>
        <w:jc w:val="both"/>
        <w:rPr>
          <w:rFonts w:ascii="Arial" w:hAnsi="Arial" w:eastAsia="Arial" w:cs="Arial"/>
          <w:color w:val="000000"/>
          <w:sz w:val="24"/>
          <w:szCs w:val="24"/>
        </w:rPr>
      </w:pPr>
      <w:r>
        <w:rPr>
          <w:rFonts w:ascii="Arial" w:hAnsi="Arial" w:eastAsia="Arial" w:cs="Arial"/>
          <w:color w:val="000000"/>
          <w:sz w:val="24"/>
          <w:szCs w:val="24"/>
          <w:rtl w:val="0"/>
        </w:rPr>
        <w:t xml:space="preserve">Independentemente do percentual de tributo inserido na planilha, quando houver, serão retidos na fonte, quando da realização do pagamento, os percentuais estabelecidos na legislação vigente. </w:t>
      </w:r>
    </w:p>
    <w:p w14:paraId="000000A7">
      <w:pPr>
        <w:numPr>
          <w:ilvl w:val="1"/>
          <w:numId w:val="3"/>
        </w:numPr>
        <w:pBdr>
          <w:top w:val="none" w:color="000000" w:sz="0" w:space="0"/>
          <w:left w:val="none" w:color="000000" w:sz="0" w:space="0"/>
          <w:bottom w:val="none" w:color="000000" w:sz="0" w:space="0"/>
          <w:right w:val="none" w:color="000000" w:sz="0" w:space="0"/>
          <w:between w:val="none" w:color="000000" w:sz="0" w:space="0"/>
        </w:pBdr>
        <w:ind w:left="2040" w:hanging="720"/>
        <w:jc w:val="both"/>
        <w:rPr>
          <w:rFonts w:ascii="Arial" w:hAnsi="Arial" w:eastAsia="Arial" w:cs="Arial"/>
          <w:color w:val="000000"/>
          <w:sz w:val="24"/>
          <w:szCs w:val="24"/>
        </w:rPr>
      </w:pPr>
      <w:r>
        <w:rPr>
          <w:rFonts w:ascii="Arial" w:hAnsi="Arial" w:eastAsia="Arial" w:cs="Arial"/>
          <w:color w:val="000000"/>
          <w:sz w:val="24"/>
          <w:szCs w:val="24"/>
          <w:rtl w:val="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00000A8">
      <w:pPr>
        <w:pBdr>
          <w:top w:val="none" w:color="000000" w:sz="0" w:space="0"/>
          <w:left w:val="none" w:color="000000" w:sz="0" w:space="0"/>
          <w:bottom w:val="none" w:color="000000" w:sz="0" w:space="0"/>
          <w:right w:val="none" w:color="000000" w:sz="0" w:space="0"/>
          <w:between w:val="none" w:color="000000" w:sz="0" w:space="0"/>
        </w:pBdr>
        <w:spacing w:after="0"/>
        <w:jc w:val="both"/>
        <w:rPr>
          <w:rFonts w:ascii="Arial" w:hAnsi="Arial" w:eastAsia="Arial" w:cs="Arial"/>
          <w:color w:val="000000"/>
          <w:sz w:val="24"/>
          <w:szCs w:val="24"/>
        </w:rPr>
      </w:pPr>
    </w:p>
    <w:p w14:paraId="000000A9">
      <w:pPr>
        <w:numPr>
          <w:ilvl w:val="0"/>
          <w:numId w:val="3"/>
        </w:numPr>
        <w:pBdr>
          <w:top w:val="none" w:color="000000" w:sz="0" w:space="0"/>
          <w:left w:val="none" w:color="000000" w:sz="0" w:space="0"/>
          <w:bottom w:val="none" w:color="000000" w:sz="0" w:space="0"/>
          <w:right w:val="none" w:color="000000" w:sz="0" w:space="0"/>
          <w:between w:val="none" w:color="000000" w:sz="0" w:space="0"/>
        </w:pBdr>
        <w:shd w:val="clear" w:fill="D9D9D9"/>
        <w:ind w:left="284" w:hanging="284"/>
        <w:jc w:val="both"/>
        <w:rPr>
          <w:rFonts w:ascii="Arial" w:hAnsi="Arial" w:eastAsia="Arial" w:cs="Arial"/>
          <w:b/>
          <w:color w:val="000000"/>
          <w:sz w:val="24"/>
          <w:szCs w:val="24"/>
        </w:rPr>
      </w:pPr>
      <w:r>
        <w:rPr>
          <w:rFonts w:ascii="Arial" w:hAnsi="Arial" w:eastAsia="Arial" w:cs="Arial"/>
          <w:b/>
          <w:color w:val="000000"/>
          <w:sz w:val="24"/>
          <w:szCs w:val="24"/>
          <w:rtl w:val="0"/>
        </w:rPr>
        <w:t>FORMA E CRITÉRIOS DE SELEÇÃO DA PRESTAÇÃO DE SERVIÇOS</w:t>
      </w:r>
    </w:p>
    <w:p w14:paraId="000000AA">
      <w:pPr>
        <w:jc w:val="both"/>
        <w:rPr>
          <w:rFonts w:ascii="Arial" w:hAnsi="Arial" w:eastAsia="Arial" w:cs="Arial"/>
          <w:b/>
          <w:sz w:val="24"/>
          <w:szCs w:val="24"/>
        </w:rPr>
      </w:pPr>
    </w:p>
    <w:p w14:paraId="000000AB">
      <w:pPr>
        <w:jc w:val="both"/>
        <w:rPr>
          <w:rFonts w:ascii="Arial" w:hAnsi="Arial" w:eastAsia="Arial" w:cs="Arial"/>
          <w:b/>
          <w:sz w:val="24"/>
          <w:szCs w:val="24"/>
        </w:rPr>
      </w:pPr>
      <w:r>
        <w:rPr>
          <w:rFonts w:ascii="Arial" w:hAnsi="Arial" w:eastAsia="Arial" w:cs="Arial"/>
          <w:b/>
          <w:sz w:val="24"/>
          <w:szCs w:val="24"/>
          <w:rtl w:val="0"/>
        </w:rPr>
        <w:t>Forma de seleção e critério de julgamento da proposta</w:t>
      </w:r>
    </w:p>
    <w:p w14:paraId="000000AC">
      <w:pPr>
        <w:jc w:val="both"/>
        <w:rPr>
          <w:rFonts w:ascii="Arial" w:hAnsi="Arial" w:eastAsia="Arial" w:cs="Arial"/>
          <w:sz w:val="24"/>
          <w:szCs w:val="24"/>
        </w:rPr>
      </w:pPr>
      <w:r>
        <w:rPr>
          <w:rFonts w:ascii="Arial" w:hAnsi="Arial" w:eastAsia="Arial" w:cs="Arial"/>
          <w:sz w:val="24"/>
          <w:szCs w:val="24"/>
          <w:rtl w:val="0"/>
        </w:rPr>
        <w:t>11.1. Para a contratação de empresa especializada na prestação de serviços técnicos de assessoria para operacionalização da Lei n. 14.399/2022 Política Nacional Aldir Blanc  que se enquadra como serviço comum de fornecimento contínuo, será adotado a modalidade Dispensa de Licitação, e o critério de julgamento será o de Menor Preço Global</w:t>
      </w:r>
    </w:p>
    <w:p w14:paraId="000000AD">
      <w:pPr>
        <w:numPr>
          <w:ilvl w:val="0"/>
          <w:numId w:val="3"/>
        </w:numPr>
        <w:ind w:left="284" w:hanging="284"/>
        <w:jc w:val="both"/>
        <w:rPr>
          <w:rFonts w:ascii="Arial" w:hAnsi="Arial" w:eastAsia="Arial" w:cs="Arial"/>
          <w:b/>
          <w:color w:val="000000"/>
          <w:sz w:val="24"/>
          <w:szCs w:val="24"/>
        </w:rPr>
      </w:pPr>
      <w:r>
        <w:rPr>
          <w:rFonts w:ascii="Arial" w:hAnsi="Arial" w:eastAsia="Arial" w:cs="Arial"/>
          <w:b/>
          <w:color w:val="000000"/>
          <w:sz w:val="24"/>
          <w:szCs w:val="24"/>
          <w:rtl w:val="0"/>
        </w:rPr>
        <w:t>FORMA DE  EXECUÇÃO DOS SERVIÇOS</w:t>
      </w:r>
    </w:p>
    <w:p w14:paraId="000000AE">
      <w:pPr>
        <w:jc w:val="both"/>
        <w:rPr>
          <w:rFonts w:ascii="Arial" w:hAnsi="Arial" w:eastAsia="Arial" w:cs="Arial"/>
          <w:sz w:val="24"/>
          <w:szCs w:val="24"/>
        </w:rPr>
      </w:pPr>
      <w:r>
        <w:rPr>
          <w:rFonts w:ascii="Arial" w:hAnsi="Arial" w:eastAsia="Arial" w:cs="Arial"/>
          <w:sz w:val="24"/>
          <w:szCs w:val="24"/>
          <w:rtl w:val="0"/>
        </w:rPr>
        <w:t xml:space="preserve">12.1. Executar os serviços conforme especificações do Termo de Referência e de sua proposta, com os recursos necessários ao perfeito cumprimento das cláusulas contratuais; 6.2. Considerar as decisões ou sugestões da contratante, sempre que estas contribuírem de maneira significativa na qualificação dos trabalhos e na agilidade de sua execução; </w:t>
      </w:r>
    </w:p>
    <w:p w14:paraId="000000AF">
      <w:pPr>
        <w:numPr>
          <w:ilvl w:val="0"/>
          <w:numId w:val="3"/>
        </w:numPr>
        <w:pBdr>
          <w:top w:val="none" w:color="auto" w:sz="0" w:space="0"/>
          <w:left w:val="none" w:color="auto" w:sz="0" w:space="0"/>
          <w:bottom w:val="none" w:color="auto" w:sz="0" w:space="0"/>
          <w:right w:val="none" w:color="auto" w:sz="0" w:space="0"/>
          <w:between w:val="none" w:color="auto" w:sz="0" w:space="0"/>
        </w:pBdr>
        <w:spacing w:before="120" w:after="0" w:line="360" w:lineRule="auto"/>
        <w:ind w:left="284" w:hanging="284"/>
        <w:jc w:val="both"/>
        <w:rPr>
          <w:rFonts w:ascii="Arial" w:hAnsi="Arial" w:eastAsia="Arial" w:cs="Arial"/>
          <w:color w:val="000000"/>
          <w:sz w:val="24"/>
          <w:szCs w:val="24"/>
        </w:rPr>
      </w:pPr>
      <w:r>
        <w:rPr>
          <w:rFonts w:ascii="Arial" w:hAnsi="Arial" w:eastAsia="Arial" w:cs="Arial"/>
          <w:b/>
          <w:sz w:val="24"/>
          <w:szCs w:val="24"/>
          <w:rtl w:val="0"/>
        </w:rPr>
        <w:t>EXIGÊNCIAS</w:t>
      </w:r>
      <w:r>
        <w:rPr>
          <w:rFonts w:ascii="Arial" w:hAnsi="Arial" w:eastAsia="Arial" w:cs="Arial"/>
          <w:b/>
          <w:color w:val="000000"/>
          <w:sz w:val="24"/>
          <w:szCs w:val="24"/>
          <w:rtl w:val="0"/>
        </w:rPr>
        <w:t xml:space="preserve"> DE HABILITAÇÃO</w:t>
      </w:r>
    </w:p>
    <w:p w14:paraId="000000B0">
      <w:pPr>
        <w:pBdr>
          <w:top w:val="none" w:color="auto" w:sz="0" w:space="0"/>
          <w:left w:val="none" w:color="auto" w:sz="0" w:space="0"/>
          <w:bottom w:val="none" w:color="auto" w:sz="0" w:space="0"/>
          <w:right w:val="none" w:color="auto" w:sz="0" w:space="0"/>
          <w:between w:val="none" w:color="auto" w:sz="0" w:space="0"/>
        </w:pBdr>
        <w:spacing w:after="120" w:line="360" w:lineRule="auto"/>
        <w:ind w:left="235" w:firstLine="0"/>
        <w:jc w:val="both"/>
        <w:rPr>
          <w:rFonts w:ascii="Arial" w:hAnsi="Arial" w:eastAsia="Arial" w:cs="Arial"/>
          <w:color w:val="000000"/>
          <w:sz w:val="24"/>
          <w:szCs w:val="24"/>
        </w:rPr>
      </w:pPr>
      <w:r>
        <w:rPr>
          <w:rFonts w:ascii="Arial" w:hAnsi="Arial" w:eastAsia="Arial" w:cs="Arial"/>
          <w:b/>
          <w:color w:val="000000"/>
          <w:sz w:val="24"/>
          <w:szCs w:val="24"/>
          <w:rtl w:val="0"/>
        </w:rPr>
        <w:t xml:space="preserve">13.1 </w:t>
      </w:r>
      <w:r>
        <w:rPr>
          <w:rFonts w:ascii="Arial" w:hAnsi="Arial" w:eastAsia="Arial" w:cs="Arial"/>
          <w:color w:val="000000"/>
          <w:sz w:val="24"/>
          <w:szCs w:val="24"/>
          <w:rtl w:val="0"/>
        </w:rPr>
        <w:t>Os documentos a serem exigidos para fins de habilitação serão solicitados do fornecedor mais bem classificado da fase de lances.</w:t>
      </w:r>
    </w:p>
    <w:p w14:paraId="000000B1">
      <w:pPr>
        <w:spacing w:before="120" w:after="120" w:line="360" w:lineRule="auto"/>
        <w:jc w:val="both"/>
        <w:rPr>
          <w:rFonts w:ascii="Arial" w:hAnsi="Arial" w:eastAsia="Arial" w:cs="Arial"/>
          <w:b/>
          <w:sz w:val="24"/>
          <w:szCs w:val="24"/>
        </w:rPr>
      </w:pPr>
      <w:r>
        <w:rPr>
          <w:rFonts w:ascii="Arial" w:hAnsi="Arial" w:eastAsia="Arial" w:cs="Arial"/>
          <w:b/>
          <w:sz w:val="24"/>
          <w:szCs w:val="24"/>
          <w:rtl w:val="0"/>
        </w:rPr>
        <w:t>13.2.</w:t>
      </w:r>
      <w:r>
        <w:rPr>
          <w:rFonts w:ascii="Arial" w:hAnsi="Arial" w:eastAsia="Arial" w:cs="Arial"/>
          <w:b/>
          <w:sz w:val="24"/>
          <w:szCs w:val="24"/>
          <w:rtl w:val="0"/>
        </w:rPr>
        <w:tab/>
      </w:r>
      <w:r>
        <w:rPr>
          <w:rFonts w:ascii="Arial" w:hAnsi="Arial" w:eastAsia="Arial" w:cs="Arial"/>
          <w:sz w:val="24"/>
          <w:szCs w:val="24"/>
          <w:rtl w:val="0"/>
        </w:rPr>
        <w:t xml:space="preserve">Como </w:t>
      </w:r>
      <w:r>
        <w:rPr>
          <w:rFonts w:ascii="Arial" w:hAnsi="Arial" w:eastAsia="Arial" w:cs="Arial"/>
          <w:color w:val="000000"/>
          <w:sz w:val="24"/>
          <w:szCs w:val="24"/>
          <w:rtl w:val="0"/>
        </w:rPr>
        <w:t>condição</w:t>
      </w:r>
      <w:r>
        <w:rPr>
          <w:rFonts w:ascii="Arial" w:hAnsi="Arial" w:eastAsia="Arial" w:cs="Arial"/>
          <w:sz w:val="24"/>
          <w:szCs w:val="24"/>
          <w:rtl w:val="0"/>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consulta ao SICAF.</w:t>
      </w:r>
    </w:p>
    <w:p w14:paraId="000000B2">
      <w:pPr>
        <w:pBdr>
          <w:top w:val="none" w:color="auto" w:sz="0" w:space="0"/>
          <w:left w:val="none" w:color="auto" w:sz="0" w:space="0"/>
          <w:bottom w:val="none" w:color="auto" w:sz="0" w:space="0"/>
          <w:right w:val="none" w:color="auto" w:sz="0" w:space="0"/>
          <w:between w:val="none" w:color="auto" w:sz="0" w:space="0"/>
        </w:pBdr>
        <w:spacing w:before="120" w:after="0" w:line="360" w:lineRule="auto"/>
        <w:jc w:val="both"/>
        <w:rPr>
          <w:rFonts w:ascii="Arial" w:hAnsi="Arial" w:eastAsia="Arial" w:cs="Arial"/>
          <w:color w:val="000000"/>
          <w:sz w:val="24"/>
          <w:szCs w:val="24"/>
        </w:rPr>
      </w:pPr>
      <w:r>
        <w:rPr>
          <w:rFonts w:ascii="Arial" w:hAnsi="Arial" w:eastAsia="Arial" w:cs="Arial"/>
          <w:b/>
          <w:color w:val="000000"/>
          <w:sz w:val="24"/>
          <w:szCs w:val="24"/>
          <w:rtl w:val="0"/>
        </w:rPr>
        <w:t>13.2.1.</w:t>
      </w:r>
      <w:r>
        <w:rPr>
          <w:rFonts w:ascii="Arial" w:hAnsi="Arial" w:eastAsia="Arial" w:cs="Arial"/>
          <w:color w:val="000000"/>
          <w:sz w:val="24"/>
          <w:szCs w:val="24"/>
          <w:rtl w:val="0"/>
        </w:rPr>
        <w:t xml:space="preserve">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00000B3">
      <w:pPr>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Arial" w:hAnsi="Arial" w:eastAsia="Arial" w:cs="Arial"/>
          <w:color w:val="000000"/>
          <w:sz w:val="24"/>
          <w:szCs w:val="24"/>
        </w:rPr>
      </w:pPr>
      <w:r>
        <w:rPr>
          <w:rFonts w:ascii="Arial" w:hAnsi="Arial" w:eastAsia="Arial" w:cs="Arial"/>
          <w:b/>
          <w:color w:val="000000"/>
          <w:sz w:val="24"/>
          <w:szCs w:val="24"/>
          <w:rtl w:val="0"/>
        </w:rPr>
        <w:t>13.2.2.</w:t>
      </w:r>
      <w:r>
        <w:rPr>
          <w:rFonts w:ascii="Arial" w:hAnsi="Arial" w:eastAsia="Arial" w:cs="Arial"/>
          <w:b/>
          <w:color w:val="000000"/>
          <w:sz w:val="24"/>
          <w:szCs w:val="24"/>
          <w:rtl w:val="0"/>
        </w:rPr>
        <w:tab/>
      </w:r>
      <w:r>
        <w:rPr>
          <w:rFonts w:ascii="Arial" w:hAnsi="Arial" w:eastAsia="Arial" w:cs="Arial"/>
          <w:color w:val="000000"/>
          <w:sz w:val="24"/>
          <w:szCs w:val="24"/>
          <w:rtl w:val="0"/>
        </w:rPr>
        <w:t>Caso conste na Consulta de Situação do Fornecedor a existência de Ocorrências Impeditivas Indiretas, o gestor diligenciará para verificar se houve fraude por parte das empresas apontadas no Relatório de Ocorrências Impeditivas Indiretas.</w:t>
      </w:r>
    </w:p>
    <w:p w14:paraId="000000B4">
      <w:pPr>
        <w:pBdr>
          <w:top w:val="none" w:color="auto" w:sz="0" w:space="0"/>
          <w:left w:val="none" w:color="auto" w:sz="0" w:space="0"/>
          <w:bottom w:val="none" w:color="auto" w:sz="0" w:space="0"/>
          <w:right w:val="none" w:color="auto" w:sz="0" w:space="0"/>
          <w:between w:val="none" w:color="auto" w:sz="0" w:space="0"/>
        </w:pBdr>
        <w:spacing w:after="0" w:line="360" w:lineRule="auto"/>
        <w:jc w:val="both"/>
        <w:rPr>
          <w:rFonts w:ascii="Arial" w:hAnsi="Arial" w:eastAsia="Arial" w:cs="Arial"/>
          <w:color w:val="000000"/>
          <w:sz w:val="24"/>
          <w:szCs w:val="24"/>
        </w:rPr>
      </w:pPr>
      <w:r>
        <w:rPr>
          <w:rFonts w:ascii="Arial" w:hAnsi="Arial" w:eastAsia="Arial" w:cs="Arial"/>
          <w:b/>
          <w:color w:val="000000"/>
          <w:sz w:val="24"/>
          <w:szCs w:val="24"/>
          <w:rtl w:val="0"/>
        </w:rPr>
        <w:t xml:space="preserve">13.2.3. </w:t>
      </w:r>
      <w:r>
        <w:rPr>
          <w:rFonts w:ascii="Arial" w:hAnsi="Arial" w:eastAsia="Arial" w:cs="Arial"/>
          <w:color w:val="000000"/>
          <w:sz w:val="24"/>
          <w:szCs w:val="24"/>
          <w:rtl w:val="0"/>
        </w:rPr>
        <w:t>A tentativa de burla será verificada por meio dos vínculos societários, linhas de fornecimento similares, dentre outros.</w:t>
      </w:r>
    </w:p>
    <w:p w14:paraId="000000B5">
      <w:pPr>
        <w:numPr>
          <w:ilvl w:val="2"/>
          <w:numId w:val="4"/>
        </w:numPr>
        <w:pBdr>
          <w:top w:val="none" w:color="auto" w:sz="0" w:space="0"/>
          <w:left w:val="none" w:color="auto" w:sz="0" w:space="0"/>
          <w:bottom w:val="none" w:color="auto" w:sz="0" w:space="0"/>
          <w:right w:val="none" w:color="auto" w:sz="0" w:space="0"/>
          <w:between w:val="none" w:color="auto" w:sz="0" w:space="0"/>
        </w:pBdr>
        <w:spacing w:after="120" w:line="360" w:lineRule="auto"/>
        <w:ind w:left="720" w:hanging="720"/>
        <w:jc w:val="both"/>
        <w:rPr>
          <w:rFonts w:ascii="Arial" w:hAnsi="Arial" w:eastAsia="Arial" w:cs="Arial"/>
          <w:color w:val="000000"/>
          <w:sz w:val="24"/>
          <w:szCs w:val="24"/>
        </w:rPr>
      </w:pPr>
      <w:r>
        <w:rPr>
          <w:rFonts w:ascii="Arial" w:hAnsi="Arial" w:eastAsia="Arial" w:cs="Arial"/>
          <w:color w:val="000000"/>
          <w:sz w:val="24"/>
          <w:szCs w:val="24"/>
          <w:rtl w:val="0"/>
        </w:rPr>
        <w:t>O fornecedor será convocado para manifestação previamente à sua desclassificação.</w:t>
      </w:r>
    </w:p>
    <w:p w14:paraId="000000B6">
      <w:pPr>
        <w:spacing w:before="120" w:after="0" w:line="360" w:lineRule="auto"/>
        <w:jc w:val="both"/>
        <w:rPr>
          <w:rFonts w:ascii="Arial" w:hAnsi="Arial" w:eastAsia="Arial" w:cs="Arial"/>
          <w:sz w:val="24"/>
          <w:szCs w:val="24"/>
        </w:rPr>
      </w:pPr>
      <w:r>
        <w:rPr>
          <w:rFonts w:ascii="Arial" w:hAnsi="Arial" w:eastAsia="Arial" w:cs="Arial"/>
          <w:b/>
          <w:color w:val="000000"/>
          <w:sz w:val="24"/>
          <w:szCs w:val="24"/>
          <w:rtl w:val="0"/>
        </w:rPr>
        <w:t>13.2.5.</w:t>
      </w:r>
      <w:r>
        <w:rPr>
          <w:rFonts w:ascii="Arial" w:hAnsi="Arial" w:eastAsia="Arial" w:cs="Arial"/>
          <w:color w:val="000000"/>
          <w:sz w:val="24"/>
          <w:szCs w:val="24"/>
          <w:rtl w:val="0"/>
        </w:rPr>
        <w:t xml:space="preserve"> Constatada a existência de sanção, o fornecedor será reputado inabilitado, por falta de condição de participação.</w:t>
      </w:r>
    </w:p>
    <w:p w14:paraId="000000B7">
      <w:pPr>
        <w:spacing w:after="0" w:line="360" w:lineRule="auto"/>
        <w:jc w:val="both"/>
        <w:rPr>
          <w:rFonts w:ascii="Arial" w:hAnsi="Arial" w:eastAsia="Arial" w:cs="Arial"/>
          <w:color w:val="000000"/>
          <w:sz w:val="24"/>
          <w:szCs w:val="24"/>
        </w:rPr>
      </w:pPr>
      <w:r>
        <w:rPr>
          <w:rFonts w:ascii="Arial" w:hAnsi="Arial" w:eastAsia="Arial" w:cs="Arial"/>
          <w:b/>
          <w:sz w:val="24"/>
          <w:szCs w:val="24"/>
          <w:rtl w:val="0"/>
        </w:rPr>
        <w:t>13.2.6.</w:t>
      </w:r>
      <w:r>
        <w:rPr>
          <w:rFonts w:ascii="Arial" w:hAnsi="Arial" w:eastAsia="Arial" w:cs="Arial"/>
          <w:sz w:val="24"/>
          <w:szCs w:val="24"/>
          <w:rtl w:val="0"/>
        </w:rPr>
        <w:t xml:space="preserve"> </w:t>
      </w:r>
      <w:r>
        <w:rPr>
          <w:rFonts w:ascii="Arial" w:hAnsi="Arial" w:eastAsia="Arial" w:cs="Arial"/>
          <w:color w:val="000000"/>
          <w:sz w:val="24"/>
          <w:szCs w:val="24"/>
          <w:rtl w:val="0"/>
        </w:rPr>
        <w:t>É dever do fornecedor atualizar previamente as comprovações constantes do SICAF para que estejam vigentes na data da abertura da sessão pública, ou encaminhar, quando solicitado, a respectiva documentação atualizada.</w:t>
      </w:r>
    </w:p>
    <w:p w14:paraId="000000B8">
      <w:pPr>
        <w:spacing w:after="0" w:line="360" w:lineRule="auto"/>
        <w:jc w:val="both"/>
        <w:rPr>
          <w:rFonts w:ascii="Arial" w:hAnsi="Arial" w:eastAsia="Arial" w:cs="Arial"/>
          <w:color w:val="000000"/>
          <w:sz w:val="24"/>
          <w:szCs w:val="24"/>
        </w:rPr>
      </w:pPr>
      <w:r>
        <w:rPr>
          <w:rFonts w:ascii="Arial" w:hAnsi="Arial" w:eastAsia="Arial" w:cs="Arial"/>
          <w:b/>
          <w:color w:val="000000"/>
          <w:sz w:val="24"/>
          <w:szCs w:val="24"/>
          <w:rtl w:val="0"/>
        </w:rPr>
        <w:t>13.2.7.</w:t>
      </w:r>
      <w:r>
        <w:rPr>
          <w:rFonts w:ascii="Arial" w:hAnsi="Arial" w:eastAsia="Arial" w:cs="Arial"/>
          <w:color w:val="000000"/>
          <w:sz w:val="24"/>
          <w:szCs w:val="24"/>
          <w:rtl w:val="0"/>
        </w:rPr>
        <w:tab/>
      </w:r>
      <w:r>
        <w:rPr>
          <w:rFonts w:ascii="Arial" w:hAnsi="Arial" w:eastAsia="Arial" w:cs="Arial"/>
          <w:color w:val="000000"/>
          <w:sz w:val="24"/>
          <w:szCs w:val="24"/>
          <w:rtl w:val="0"/>
        </w:rPr>
        <w:t>O descumprimento do subitem acima implicará a inabilitação do fornecedor, exceto se a consulta aos sítios eletrônicos oficiais emissores de certidões lograr êxito em encontrar a(s) certidão(ões) válida(s).</w:t>
      </w:r>
    </w:p>
    <w:p w14:paraId="000000B9">
      <w:pPr>
        <w:spacing w:after="0" w:line="360" w:lineRule="auto"/>
        <w:jc w:val="both"/>
        <w:rPr>
          <w:rFonts w:ascii="Arial" w:hAnsi="Arial" w:eastAsia="Arial" w:cs="Arial"/>
          <w:color w:val="000000"/>
          <w:sz w:val="24"/>
          <w:szCs w:val="24"/>
        </w:rPr>
      </w:pPr>
      <w:r>
        <w:rPr>
          <w:rFonts w:ascii="Arial" w:hAnsi="Arial" w:eastAsia="Arial" w:cs="Arial"/>
          <w:b/>
          <w:color w:val="000000"/>
          <w:sz w:val="24"/>
          <w:szCs w:val="24"/>
          <w:rtl w:val="0"/>
        </w:rPr>
        <w:t>13.2.8.</w:t>
      </w:r>
      <w:r>
        <w:rPr>
          <w:rFonts w:ascii="Arial" w:hAnsi="Arial" w:eastAsia="Arial" w:cs="Arial"/>
          <w:color w:val="000000"/>
          <w:sz w:val="24"/>
          <w:szCs w:val="24"/>
          <w:rtl w:val="0"/>
        </w:rPr>
        <w:t xml:space="preserve"> Caso o Agente de Contratação avalie, considerando as normas deste edital e da legislação correspondente,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00000BA">
      <w:pPr>
        <w:spacing w:after="120" w:line="360" w:lineRule="auto"/>
        <w:jc w:val="both"/>
        <w:rPr>
          <w:rFonts w:ascii="Arial" w:hAnsi="Arial" w:eastAsia="Arial" w:cs="Arial"/>
          <w:color w:val="000000"/>
          <w:sz w:val="24"/>
          <w:szCs w:val="24"/>
        </w:rPr>
      </w:pPr>
      <w:r>
        <w:rPr>
          <w:rFonts w:ascii="Arial" w:hAnsi="Arial" w:eastAsia="Arial" w:cs="Arial"/>
          <w:b/>
          <w:color w:val="000000"/>
          <w:sz w:val="24"/>
          <w:szCs w:val="24"/>
          <w:rtl w:val="0"/>
        </w:rPr>
        <w:t>13.2.9.</w:t>
      </w:r>
      <w:r>
        <w:rPr>
          <w:rFonts w:ascii="Arial" w:hAnsi="Arial" w:eastAsia="Arial" w:cs="Arial"/>
          <w:color w:val="000000"/>
          <w:sz w:val="24"/>
          <w:szCs w:val="24"/>
          <w:rtl w:val="0"/>
        </w:rPr>
        <w:t xml:space="preserve"> Somente haverá a necessidade de comprovação do preenchimento de requisitos mediante apresentação dos documentos originais não-digitais quando houver dúvida em relação à integridade do documento digital.</w:t>
      </w:r>
    </w:p>
    <w:p w14:paraId="000000BB">
      <w:pPr>
        <w:pBdr>
          <w:top w:val="none" w:color="auto" w:sz="0" w:space="0"/>
          <w:left w:val="none" w:color="auto" w:sz="0" w:space="0"/>
          <w:bottom w:val="none" w:color="auto" w:sz="0" w:space="0"/>
          <w:right w:val="none" w:color="auto" w:sz="0" w:space="0"/>
          <w:between w:val="none" w:color="auto" w:sz="0" w:space="0"/>
        </w:pBdr>
        <w:spacing w:before="120" w:after="120" w:line="360" w:lineRule="auto"/>
        <w:jc w:val="both"/>
        <w:rPr>
          <w:rFonts w:ascii="Arial" w:hAnsi="Arial" w:eastAsia="Arial" w:cs="Arial"/>
          <w:color w:val="000000"/>
          <w:sz w:val="24"/>
          <w:szCs w:val="24"/>
        </w:rPr>
      </w:pPr>
      <w:r>
        <w:rPr>
          <w:rFonts w:ascii="Arial" w:hAnsi="Arial" w:eastAsia="Arial" w:cs="Arial"/>
          <w:b/>
          <w:color w:val="000000"/>
          <w:sz w:val="24"/>
          <w:szCs w:val="24"/>
          <w:rtl w:val="0"/>
        </w:rPr>
        <w:t>13.3.</w:t>
      </w:r>
      <w:r>
        <w:rPr>
          <w:rFonts w:ascii="Arial" w:hAnsi="Arial" w:eastAsia="Arial" w:cs="Arial"/>
          <w:b/>
          <w:color w:val="000000"/>
          <w:sz w:val="24"/>
          <w:szCs w:val="24"/>
          <w:rtl w:val="0"/>
        </w:rPr>
        <w:tab/>
      </w:r>
      <w:r>
        <w:rPr>
          <w:rFonts w:ascii="Arial" w:hAnsi="Arial" w:eastAsia="Arial" w:cs="Arial"/>
          <w:color w:val="000000"/>
          <w:sz w:val="24"/>
          <w:szCs w:val="24"/>
          <w:rtl w:val="0"/>
        </w:rPr>
        <w:t>Havendo necessidade de analisar minuciosamente os documentos exigidos, a sessão será suspensa, sendo informada a nova data e horário para a sua continuidade.</w:t>
      </w:r>
    </w:p>
    <w:p w14:paraId="000000BC">
      <w:pPr>
        <w:spacing w:before="120" w:after="120" w:line="360" w:lineRule="auto"/>
        <w:jc w:val="both"/>
        <w:rPr>
          <w:rFonts w:ascii="Arial" w:hAnsi="Arial" w:eastAsia="Arial" w:cs="Arial"/>
          <w:color w:val="000000"/>
          <w:sz w:val="24"/>
          <w:szCs w:val="24"/>
        </w:rPr>
      </w:pPr>
      <w:r>
        <w:rPr>
          <w:rFonts w:ascii="Arial" w:hAnsi="Arial" w:eastAsia="Arial" w:cs="Arial"/>
          <w:b/>
          <w:color w:val="000000"/>
          <w:sz w:val="24"/>
          <w:szCs w:val="24"/>
          <w:rtl w:val="0"/>
        </w:rPr>
        <w:t xml:space="preserve">13.4. </w:t>
      </w:r>
      <w:r>
        <w:rPr>
          <w:rFonts w:ascii="Arial" w:hAnsi="Arial" w:eastAsia="Arial" w:cs="Arial"/>
          <w:b/>
          <w:color w:val="000000"/>
          <w:sz w:val="24"/>
          <w:szCs w:val="24"/>
          <w:rtl w:val="0"/>
        </w:rPr>
        <w:tab/>
      </w:r>
      <w:r>
        <w:rPr>
          <w:rFonts w:ascii="Arial" w:hAnsi="Arial" w:eastAsia="Arial" w:cs="Arial"/>
          <w:color w:val="000000"/>
          <w:sz w:val="24"/>
          <w:szCs w:val="24"/>
          <w:rtl w:val="0"/>
        </w:rPr>
        <w:t xml:space="preserve">Será inabilitado o fornecedor que não comprovar sua habilitação, seja por não apresentar </w:t>
      </w:r>
      <w:r>
        <w:rPr>
          <w:rFonts w:ascii="Arial" w:hAnsi="Arial" w:eastAsia="Arial" w:cs="Arial"/>
          <w:sz w:val="24"/>
          <w:szCs w:val="24"/>
          <w:rtl w:val="0"/>
        </w:rPr>
        <w:t>quaisquer</w:t>
      </w:r>
      <w:r>
        <w:rPr>
          <w:rFonts w:ascii="Arial" w:hAnsi="Arial" w:eastAsia="Arial" w:cs="Arial"/>
          <w:color w:val="000000"/>
          <w:sz w:val="24"/>
          <w:szCs w:val="24"/>
          <w:rtl w:val="0"/>
        </w:rPr>
        <w:t xml:space="preserve"> dos </w:t>
      </w:r>
      <w:r>
        <w:rPr>
          <w:rFonts w:ascii="Arial" w:hAnsi="Arial" w:eastAsia="Arial" w:cs="Arial"/>
          <w:sz w:val="24"/>
          <w:szCs w:val="24"/>
          <w:rtl w:val="0"/>
        </w:rPr>
        <w:t>documentos</w:t>
      </w:r>
      <w:r>
        <w:rPr>
          <w:rFonts w:ascii="Arial" w:hAnsi="Arial" w:eastAsia="Arial" w:cs="Arial"/>
          <w:color w:val="000000"/>
          <w:sz w:val="24"/>
          <w:szCs w:val="24"/>
          <w:rtl w:val="0"/>
        </w:rPr>
        <w:t xml:space="preserve"> exigidos, ou apresentá-los em desacordo com o estabelecido neste Aviso de Contratação Direta.</w:t>
      </w:r>
    </w:p>
    <w:p w14:paraId="000000BD">
      <w:pPr>
        <w:numPr>
          <w:ilvl w:val="1"/>
          <w:numId w:val="5"/>
        </w:numPr>
        <w:pBdr>
          <w:top w:val="none" w:color="auto" w:sz="0" w:space="0"/>
          <w:left w:val="none" w:color="auto" w:sz="0" w:space="0"/>
          <w:bottom w:val="none" w:color="auto" w:sz="0" w:space="0"/>
          <w:right w:val="none" w:color="auto" w:sz="0" w:space="0"/>
          <w:between w:val="none" w:color="auto" w:sz="0" w:space="0"/>
        </w:pBdr>
        <w:spacing w:before="120" w:after="0" w:line="360" w:lineRule="auto"/>
        <w:ind w:left="0" w:firstLine="0"/>
        <w:jc w:val="both"/>
        <w:rPr>
          <w:rFonts w:ascii="Arial" w:hAnsi="Arial" w:eastAsia="Arial" w:cs="Arial"/>
          <w:color w:val="000000"/>
          <w:sz w:val="24"/>
          <w:szCs w:val="24"/>
        </w:rPr>
      </w:pPr>
      <w:r>
        <w:rPr>
          <w:rFonts w:ascii="Arial" w:hAnsi="Arial" w:eastAsia="Arial" w:cs="Arial"/>
          <w:color w:val="000000"/>
          <w:sz w:val="24"/>
          <w:szCs w:val="24"/>
          <w:rtl w:val="0"/>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00000BE">
      <w:pPr>
        <w:numPr>
          <w:ilvl w:val="2"/>
          <w:numId w:val="5"/>
        </w:numPr>
        <w:pBdr>
          <w:top w:val="none" w:color="auto" w:sz="0" w:space="0"/>
          <w:left w:val="none" w:color="auto" w:sz="0" w:space="0"/>
          <w:bottom w:val="none" w:color="auto" w:sz="0" w:space="0"/>
          <w:right w:val="none" w:color="auto" w:sz="0" w:space="0"/>
          <w:between w:val="none" w:color="auto" w:sz="0" w:space="0"/>
        </w:pBdr>
        <w:spacing w:after="120" w:line="360" w:lineRule="auto"/>
        <w:ind w:left="720" w:hanging="720"/>
        <w:jc w:val="both"/>
        <w:rPr>
          <w:rFonts w:ascii="Arial" w:hAnsi="Arial" w:eastAsia="Arial" w:cs="Arial"/>
          <w:color w:val="000000"/>
          <w:sz w:val="24"/>
          <w:szCs w:val="24"/>
        </w:rPr>
      </w:pPr>
      <w:r>
        <w:rPr>
          <w:rFonts w:ascii="Arial" w:hAnsi="Arial" w:eastAsia="Arial" w:cs="Arial"/>
          <w:color w:val="000000"/>
          <w:sz w:val="24"/>
          <w:szCs w:val="24"/>
          <w:rtl w:val="0"/>
        </w:rPr>
        <w:t>Constatado o atendimento às exigências de habilitação, o fornecedor será habilitado.</w:t>
      </w:r>
    </w:p>
    <w:p w14:paraId="000000BF">
      <w:pPr>
        <w:numPr>
          <w:ilvl w:val="1"/>
          <w:numId w:val="5"/>
        </w:numPr>
        <w:pBdr>
          <w:top w:val="none" w:color="auto" w:sz="0" w:space="0"/>
          <w:left w:val="none" w:color="auto" w:sz="0" w:space="0"/>
          <w:bottom w:val="none" w:color="auto" w:sz="0" w:space="0"/>
          <w:right w:val="none" w:color="auto" w:sz="0" w:space="0"/>
          <w:between w:val="none" w:color="auto" w:sz="0" w:space="0"/>
        </w:pBdr>
        <w:spacing w:line="360" w:lineRule="auto"/>
        <w:ind w:left="480" w:hanging="480"/>
        <w:jc w:val="both"/>
        <w:rPr>
          <w:rFonts w:ascii="Arial" w:hAnsi="Arial" w:eastAsia="Arial" w:cs="Arial"/>
          <w:b/>
          <w:color w:val="000000"/>
          <w:sz w:val="24"/>
          <w:szCs w:val="24"/>
        </w:rPr>
      </w:pPr>
      <w:r>
        <w:rPr>
          <w:rFonts w:ascii="Arial" w:hAnsi="Arial" w:eastAsia="Arial" w:cs="Arial"/>
          <w:b/>
          <w:color w:val="000000"/>
          <w:sz w:val="24"/>
          <w:szCs w:val="24"/>
          <w:rtl w:val="0"/>
        </w:rPr>
        <w:t xml:space="preserve"> Regularidade Jurídica: </w:t>
      </w:r>
    </w:p>
    <w:p w14:paraId="000000C0">
      <w:pPr>
        <w:spacing w:line="360" w:lineRule="auto"/>
        <w:ind w:left="-5" w:firstLine="0"/>
        <w:jc w:val="both"/>
        <w:rPr>
          <w:rFonts w:ascii="Arial" w:hAnsi="Arial" w:eastAsia="Arial" w:cs="Arial"/>
          <w:sz w:val="24"/>
          <w:szCs w:val="24"/>
        </w:rPr>
      </w:pPr>
      <w:r>
        <w:rPr>
          <w:rFonts w:ascii="Arial" w:hAnsi="Arial" w:eastAsia="Arial" w:cs="Arial"/>
          <w:b/>
          <w:sz w:val="24"/>
          <w:szCs w:val="24"/>
          <w:rtl w:val="0"/>
        </w:rPr>
        <w:t>13.6.1.</w:t>
      </w:r>
      <w:r>
        <w:rPr>
          <w:rFonts w:ascii="Arial" w:hAnsi="Arial" w:eastAsia="Arial" w:cs="Arial"/>
          <w:b/>
          <w:sz w:val="24"/>
          <w:szCs w:val="24"/>
          <w:rtl w:val="0"/>
        </w:rPr>
        <w:tab/>
      </w:r>
      <w:r>
        <w:rPr>
          <w:rFonts w:ascii="Arial" w:hAnsi="Arial" w:eastAsia="Arial" w:cs="Arial"/>
          <w:sz w:val="24"/>
          <w:szCs w:val="24"/>
          <w:rtl w:val="0"/>
        </w:rPr>
        <w:t xml:space="preserve">Registro comercial, no caso de empresa individual; </w:t>
      </w:r>
    </w:p>
    <w:p w14:paraId="000000C1">
      <w:pPr>
        <w:spacing w:line="360" w:lineRule="auto"/>
        <w:ind w:right="2"/>
        <w:jc w:val="both"/>
        <w:rPr>
          <w:rFonts w:ascii="Arial" w:hAnsi="Arial" w:eastAsia="Arial" w:cs="Arial"/>
          <w:sz w:val="24"/>
          <w:szCs w:val="24"/>
        </w:rPr>
      </w:pPr>
      <w:r>
        <w:rPr>
          <w:rFonts w:ascii="Arial" w:hAnsi="Arial" w:eastAsia="Arial" w:cs="Arial"/>
          <w:b/>
          <w:sz w:val="24"/>
          <w:szCs w:val="24"/>
          <w:rtl w:val="0"/>
        </w:rPr>
        <w:t>13.6.2.</w:t>
      </w:r>
      <w:r>
        <w:rPr>
          <w:rFonts w:ascii="Arial" w:hAnsi="Arial" w:eastAsia="Arial" w:cs="Arial"/>
          <w:b/>
          <w:sz w:val="24"/>
          <w:szCs w:val="24"/>
          <w:rtl w:val="0"/>
        </w:rPr>
        <w:tab/>
      </w:r>
      <w:r>
        <w:rPr>
          <w:rFonts w:ascii="Arial" w:hAnsi="Arial" w:eastAsia="Arial" w:cs="Arial"/>
          <w:sz w:val="24"/>
          <w:szCs w:val="24"/>
          <w:rtl w:val="0"/>
        </w:rPr>
        <w:t xml:space="preserve">Ato constitutivo, estatuto ou contrato social em vigor, devidamente registrado, em se tratando de sociedade comercial, e, no caso de sociedade por ações, acompanhado do documento de eleição de seus administradores; </w:t>
      </w:r>
    </w:p>
    <w:p w14:paraId="000000C2">
      <w:pPr>
        <w:spacing w:line="360" w:lineRule="auto"/>
        <w:ind w:right="2"/>
        <w:jc w:val="both"/>
        <w:rPr>
          <w:rFonts w:ascii="Arial" w:hAnsi="Arial" w:eastAsia="Arial" w:cs="Arial"/>
          <w:sz w:val="24"/>
          <w:szCs w:val="24"/>
        </w:rPr>
      </w:pPr>
      <w:r>
        <w:rPr>
          <w:rFonts w:ascii="Arial" w:hAnsi="Arial" w:eastAsia="Arial" w:cs="Arial"/>
          <w:b/>
          <w:sz w:val="24"/>
          <w:szCs w:val="24"/>
          <w:rtl w:val="0"/>
        </w:rPr>
        <w:t>13.6.3.</w:t>
      </w:r>
      <w:r>
        <w:rPr>
          <w:rFonts w:ascii="Arial" w:hAnsi="Arial" w:eastAsia="Arial" w:cs="Arial"/>
          <w:b/>
          <w:sz w:val="24"/>
          <w:szCs w:val="24"/>
          <w:rtl w:val="0"/>
        </w:rPr>
        <w:tab/>
      </w:r>
      <w:r>
        <w:rPr>
          <w:rFonts w:ascii="Arial" w:hAnsi="Arial" w:eastAsia="Arial" w:cs="Arial"/>
          <w:sz w:val="24"/>
          <w:szCs w:val="24"/>
          <w:rtl w:val="0"/>
        </w:rPr>
        <w:t xml:space="preserve">Inscrição do ato constitutivo, no caso de sociedade civil, acompanhada de prova da diretoria em exercício; </w:t>
      </w:r>
    </w:p>
    <w:p w14:paraId="000000C3">
      <w:pPr>
        <w:spacing w:line="360" w:lineRule="auto"/>
        <w:ind w:right="2"/>
        <w:jc w:val="both"/>
        <w:rPr>
          <w:rFonts w:ascii="Arial" w:hAnsi="Arial" w:eastAsia="Arial" w:cs="Arial"/>
          <w:sz w:val="24"/>
          <w:szCs w:val="24"/>
        </w:rPr>
      </w:pPr>
      <w:r>
        <w:rPr>
          <w:rFonts w:ascii="Arial" w:hAnsi="Arial" w:eastAsia="Arial" w:cs="Arial"/>
          <w:b/>
          <w:sz w:val="24"/>
          <w:szCs w:val="24"/>
          <w:rtl w:val="0"/>
        </w:rPr>
        <w:t>13.6.4.</w:t>
      </w:r>
      <w:r>
        <w:rPr>
          <w:rFonts w:ascii="Arial" w:hAnsi="Arial" w:eastAsia="Arial" w:cs="Arial"/>
          <w:b/>
          <w:sz w:val="24"/>
          <w:szCs w:val="24"/>
          <w:rtl w:val="0"/>
        </w:rPr>
        <w:tab/>
      </w:r>
      <w:r>
        <w:rPr>
          <w:rFonts w:ascii="Arial" w:hAnsi="Arial" w:eastAsia="Arial" w:cs="Arial"/>
          <w:sz w:val="24"/>
          <w:szCs w:val="24"/>
          <w:rtl w:val="0"/>
        </w:rPr>
        <w:t xml:space="preserve">Decreto de autorização, em se tratando de empresa ou sociedade estrangeira em funcionamento no país, e ato de registro ou autorização para funcionamento expedido pelo Órgão competente, quando a atividade assim o exigir;  </w:t>
      </w:r>
    </w:p>
    <w:p w14:paraId="000000C4">
      <w:pPr>
        <w:spacing w:line="360" w:lineRule="auto"/>
        <w:ind w:right="2"/>
        <w:jc w:val="both"/>
        <w:rPr>
          <w:rFonts w:ascii="Arial" w:hAnsi="Arial" w:eastAsia="Arial" w:cs="Arial"/>
          <w:sz w:val="24"/>
          <w:szCs w:val="24"/>
        </w:rPr>
      </w:pPr>
      <w:r>
        <w:rPr>
          <w:rFonts w:ascii="Arial" w:hAnsi="Arial" w:eastAsia="Arial" w:cs="Arial"/>
          <w:b/>
          <w:sz w:val="24"/>
          <w:szCs w:val="24"/>
          <w:rtl w:val="0"/>
        </w:rPr>
        <w:t>13.6.5.</w:t>
      </w:r>
      <w:r>
        <w:rPr>
          <w:rFonts w:ascii="Arial" w:hAnsi="Arial" w:eastAsia="Arial" w:cs="Arial"/>
          <w:b/>
          <w:sz w:val="24"/>
          <w:szCs w:val="24"/>
          <w:rtl w:val="0"/>
        </w:rPr>
        <w:tab/>
      </w:r>
      <w:r>
        <w:rPr>
          <w:rFonts w:ascii="Arial" w:hAnsi="Arial" w:eastAsia="Arial" w:cs="Arial"/>
          <w:sz w:val="24"/>
          <w:szCs w:val="24"/>
          <w:rtl w:val="0"/>
        </w:rPr>
        <w:t xml:space="preserve">Prova de Inscrição no Cadastro Nacional de Pessoa Jurídica – CNPJ; </w:t>
      </w:r>
    </w:p>
    <w:p w14:paraId="000000C5">
      <w:pPr>
        <w:spacing w:line="360" w:lineRule="auto"/>
        <w:ind w:right="2"/>
        <w:jc w:val="both"/>
        <w:rPr>
          <w:rFonts w:ascii="Arial" w:hAnsi="Arial" w:eastAsia="Arial" w:cs="Arial"/>
          <w:sz w:val="24"/>
          <w:szCs w:val="24"/>
        </w:rPr>
      </w:pPr>
      <w:r>
        <w:rPr>
          <w:rFonts w:ascii="Arial" w:hAnsi="Arial" w:eastAsia="Arial" w:cs="Arial"/>
          <w:b/>
          <w:sz w:val="24"/>
          <w:szCs w:val="24"/>
          <w:rtl w:val="0"/>
        </w:rPr>
        <w:t>13.6.6.</w:t>
      </w:r>
      <w:r>
        <w:rPr>
          <w:rFonts w:ascii="Arial" w:hAnsi="Arial" w:eastAsia="Arial" w:cs="Arial"/>
          <w:b/>
          <w:sz w:val="24"/>
          <w:szCs w:val="24"/>
          <w:rtl w:val="0"/>
        </w:rPr>
        <w:tab/>
      </w:r>
      <w:r>
        <w:rPr>
          <w:rFonts w:ascii="Arial" w:hAnsi="Arial" w:eastAsia="Arial" w:cs="Arial"/>
          <w:sz w:val="24"/>
          <w:szCs w:val="24"/>
          <w:rtl w:val="0"/>
        </w:rPr>
        <w:t xml:space="preserve">Alvará de localização e funcionamento; e </w:t>
      </w:r>
    </w:p>
    <w:p w14:paraId="000000C6">
      <w:pPr>
        <w:spacing w:line="360" w:lineRule="auto"/>
        <w:ind w:right="2"/>
        <w:jc w:val="both"/>
        <w:rPr>
          <w:rFonts w:ascii="Arial" w:hAnsi="Arial" w:eastAsia="Arial" w:cs="Arial"/>
          <w:sz w:val="24"/>
          <w:szCs w:val="24"/>
        </w:rPr>
      </w:pPr>
      <w:r>
        <w:rPr>
          <w:rFonts w:ascii="Arial" w:hAnsi="Arial" w:eastAsia="Arial" w:cs="Arial"/>
          <w:b/>
          <w:sz w:val="24"/>
          <w:szCs w:val="24"/>
          <w:rtl w:val="0"/>
        </w:rPr>
        <w:t>13.6.7.</w:t>
      </w:r>
      <w:r>
        <w:rPr>
          <w:rFonts w:ascii="Arial" w:hAnsi="Arial" w:eastAsia="Arial" w:cs="Arial"/>
          <w:b/>
          <w:sz w:val="24"/>
          <w:szCs w:val="24"/>
          <w:rtl w:val="0"/>
        </w:rPr>
        <w:tab/>
      </w:r>
      <w:r>
        <w:rPr>
          <w:rFonts w:ascii="Arial" w:hAnsi="Arial" w:eastAsia="Arial" w:cs="Arial"/>
          <w:sz w:val="24"/>
          <w:szCs w:val="24"/>
          <w:rtl w:val="0"/>
        </w:rPr>
        <w:t xml:space="preserve">Certidão de Concordata, Falência ou em Recuperação Judicial.  </w:t>
      </w:r>
    </w:p>
    <w:p w14:paraId="000000C7">
      <w:pPr>
        <w:spacing w:line="360" w:lineRule="auto"/>
        <w:jc w:val="both"/>
        <w:rPr>
          <w:rFonts w:ascii="Arial" w:hAnsi="Arial" w:eastAsia="Arial" w:cs="Arial"/>
          <w:sz w:val="24"/>
          <w:szCs w:val="24"/>
        </w:rPr>
      </w:pPr>
      <w:r>
        <w:rPr>
          <w:rFonts w:ascii="Arial" w:hAnsi="Arial" w:eastAsia="Arial" w:cs="Arial"/>
          <w:sz w:val="24"/>
          <w:szCs w:val="24"/>
          <w:rtl w:val="0"/>
        </w:rPr>
        <w:t xml:space="preserve"> </w:t>
      </w:r>
    </w:p>
    <w:p w14:paraId="000000C8">
      <w:pPr>
        <w:pStyle w:val="4"/>
        <w:spacing w:before="0" w:line="360" w:lineRule="auto"/>
        <w:ind w:left="-5" w:firstLine="0"/>
        <w:jc w:val="both"/>
        <w:rPr>
          <w:rFonts w:ascii="Arial" w:hAnsi="Arial" w:eastAsia="Arial" w:cs="Arial"/>
          <w:color w:val="000000"/>
        </w:rPr>
      </w:pPr>
      <w:r>
        <w:rPr>
          <w:rFonts w:ascii="Arial" w:hAnsi="Arial" w:eastAsia="Arial" w:cs="Arial"/>
          <w:color w:val="000000"/>
          <w:rtl w:val="0"/>
        </w:rPr>
        <w:t>13.7.</w:t>
      </w:r>
      <w:r>
        <w:rPr>
          <w:rFonts w:ascii="Arial" w:hAnsi="Arial" w:eastAsia="Arial" w:cs="Arial"/>
          <w:color w:val="000000"/>
          <w:rtl w:val="0"/>
        </w:rPr>
        <w:tab/>
      </w:r>
      <w:r>
        <w:rPr>
          <w:rFonts w:ascii="Arial" w:hAnsi="Arial" w:eastAsia="Arial" w:cs="Arial"/>
          <w:color w:val="000000"/>
          <w:rtl w:val="0"/>
        </w:rPr>
        <w:t xml:space="preserve">Regularidade fiscal </w:t>
      </w:r>
    </w:p>
    <w:p w14:paraId="000000C9">
      <w:pPr>
        <w:spacing w:line="360" w:lineRule="auto"/>
        <w:ind w:right="2"/>
        <w:jc w:val="both"/>
        <w:rPr>
          <w:rFonts w:ascii="Arial" w:hAnsi="Arial" w:eastAsia="Arial" w:cs="Arial"/>
          <w:sz w:val="24"/>
          <w:szCs w:val="24"/>
        </w:rPr>
      </w:pPr>
      <w:r>
        <w:rPr>
          <w:rFonts w:ascii="Arial" w:hAnsi="Arial" w:eastAsia="Arial" w:cs="Arial"/>
          <w:b/>
          <w:sz w:val="24"/>
          <w:szCs w:val="24"/>
          <w:rtl w:val="0"/>
        </w:rPr>
        <w:t>13.7.1.</w:t>
      </w:r>
      <w:r>
        <w:rPr>
          <w:rFonts w:ascii="Arial" w:hAnsi="Arial" w:eastAsia="Arial" w:cs="Arial"/>
          <w:b/>
          <w:sz w:val="24"/>
          <w:szCs w:val="24"/>
          <w:rtl w:val="0"/>
        </w:rPr>
        <w:tab/>
      </w:r>
      <w:r>
        <w:rPr>
          <w:rFonts w:ascii="Arial" w:hAnsi="Arial" w:eastAsia="Arial" w:cs="Arial"/>
          <w:sz w:val="24"/>
          <w:szCs w:val="24"/>
          <w:rtl w:val="0"/>
        </w:rPr>
        <w:t xml:space="preserve">Certificado de Regularidade do Fundo de Garantia por Tempo de Serviço - FGTS; </w:t>
      </w:r>
    </w:p>
    <w:p w14:paraId="000000CA">
      <w:pPr>
        <w:spacing w:line="360" w:lineRule="auto"/>
        <w:ind w:right="2"/>
        <w:jc w:val="both"/>
        <w:rPr>
          <w:rFonts w:ascii="Arial" w:hAnsi="Arial" w:eastAsia="Arial" w:cs="Arial"/>
          <w:sz w:val="24"/>
          <w:szCs w:val="24"/>
        </w:rPr>
      </w:pPr>
      <w:r>
        <w:rPr>
          <w:rFonts w:ascii="Arial" w:hAnsi="Arial" w:eastAsia="Arial" w:cs="Arial"/>
          <w:b/>
          <w:sz w:val="24"/>
          <w:szCs w:val="24"/>
          <w:rtl w:val="0"/>
        </w:rPr>
        <w:t>13.7.2.</w:t>
      </w:r>
      <w:r>
        <w:rPr>
          <w:rFonts w:ascii="Arial" w:hAnsi="Arial" w:eastAsia="Arial" w:cs="Arial"/>
          <w:b/>
          <w:sz w:val="24"/>
          <w:szCs w:val="24"/>
          <w:rtl w:val="0"/>
        </w:rPr>
        <w:tab/>
      </w:r>
      <w:r>
        <w:rPr>
          <w:rFonts w:ascii="Arial" w:hAnsi="Arial" w:eastAsia="Arial" w:cs="Arial"/>
          <w:sz w:val="24"/>
          <w:szCs w:val="24"/>
          <w:rtl w:val="0"/>
        </w:rPr>
        <w:t>Prova de regularidade para com a Fazenda Federal, Estadual e Municipal do domicílio ou sede da empresa licitante;</w:t>
      </w:r>
    </w:p>
    <w:p w14:paraId="000000CB">
      <w:pPr>
        <w:spacing w:line="360" w:lineRule="auto"/>
        <w:ind w:right="2"/>
        <w:jc w:val="both"/>
        <w:rPr>
          <w:rFonts w:ascii="Arial" w:hAnsi="Arial" w:eastAsia="Arial" w:cs="Arial"/>
          <w:sz w:val="24"/>
          <w:szCs w:val="24"/>
        </w:rPr>
      </w:pPr>
      <w:r>
        <w:rPr>
          <w:rFonts w:ascii="Arial" w:hAnsi="Arial" w:eastAsia="Arial" w:cs="Arial"/>
          <w:b/>
          <w:sz w:val="24"/>
          <w:szCs w:val="24"/>
          <w:rtl w:val="0"/>
        </w:rPr>
        <w:t>13.7.3.</w:t>
      </w:r>
      <w:r>
        <w:rPr>
          <w:rFonts w:ascii="Arial" w:hAnsi="Arial" w:eastAsia="Arial" w:cs="Arial"/>
          <w:b/>
          <w:sz w:val="24"/>
          <w:szCs w:val="24"/>
          <w:rtl w:val="0"/>
        </w:rPr>
        <w:tab/>
      </w:r>
      <w:r>
        <w:rPr>
          <w:rFonts w:ascii="Arial" w:hAnsi="Arial" w:eastAsia="Arial" w:cs="Arial"/>
          <w:sz w:val="24"/>
          <w:szCs w:val="24"/>
          <w:rtl w:val="0"/>
        </w:rPr>
        <w:t>CNDT (Certidão Negativa Débitos Trabalhista);</w:t>
      </w:r>
    </w:p>
    <w:p w14:paraId="000000CC">
      <w:pPr>
        <w:spacing w:line="360" w:lineRule="auto"/>
        <w:jc w:val="both"/>
        <w:rPr>
          <w:rFonts w:ascii="Arial" w:hAnsi="Arial" w:eastAsia="Arial" w:cs="Arial"/>
          <w:sz w:val="24"/>
          <w:szCs w:val="24"/>
        </w:rPr>
      </w:pPr>
      <w:r>
        <w:rPr>
          <w:rFonts w:ascii="Arial" w:hAnsi="Arial" w:eastAsia="Arial" w:cs="Arial"/>
          <w:sz w:val="24"/>
          <w:szCs w:val="24"/>
          <w:rtl w:val="0"/>
        </w:rPr>
        <w:t xml:space="preserve"> </w:t>
      </w:r>
    </w:p>
    <w:p w14:paraId="000000CD">
      <w:pPr>
        <w:pStyle w:val="4"/>
        <w:spacing w:before="0" w:line="360" w:lineRule="auto"/>
        <w:ind w:left="-5" w:firstLine="0"/>
        <w:jc w:val="both"/>
        <w:rPr>
          <w:rFonts w:ascii="Arial" w:hAnsi="Arial" w:eastAsia="Arial" w:cs="Arial"/>
          <w:color w:val="000000"/>
        </w:rPr>
      </w:pPr>
      <w:r>
        <w:rPr>
          <w:rFonts w:ascii="Arial" w:hAnsi="Arial" w:eastAsia="Arial" w:cs="Arial"/>
          <w:color w:val="000000"/>
          <w:rtl w:val="0"/>
        </w:rPr>
        <w:t>13.8.</w:t>
      </w:r>
      <w:r>
        <w:rPr>
          <w:rFonts w:ascii="Arial" w:hAnsi="Arial" w:eastAsia="Arial" w:cs="Arial"/>
          <w:color w:val="000000"/>
          <w:rtl w:val="0"/>
        </w:rPr>
        <w:tab/>
      </w:r>
      <w:r>
        <w:rPr>
          <w:rFonts w:ascii="Arial" w:hAnsi="Arial" w:eastAsia="Arial" w:cs="Arial"/>
          <w:color w:val="000000"/>
          <w:rtl w:val="0"/>
        </w:rPr>
        <w:t xml:space="preserve">Qualificação Técnica  </w:t>
      </w:r>
    </w:p>
    <w:p w14:paraId="000000CE">
      <w:pPr>
        <w:spacing w:line="360" w:lineRule="auto"/>
        <w:ind w:left="-5" w:right="2" w:firstLine="0"/>
        <w:jc w:val="both"/>
        <w:rPr>
          <w:rFonts w:ascii="Arial" w:hAnsi="Arial" w:eastAsia="Arial" w:cs="Arial"/>
          <w:sz w:val="24"/>
          <w:szCs w:val="24"/>
        </w:rPr>
      </w:pPr>
      <w:r>
        <w:rPr>
          <w:rFonts w:ascii="Arial" w:hAnsi="Arial" w:eastAsia="Arial" w:cs="Arial"/>
          <w:b/>
          <w:sz w:val="24"/>
          <w:szCs w:val="24"/>
          <w:rtl w:val="0"/>
        </w:rPr>
        <w:t>13.8.1.</w:t>
      </w:r>
      <w:r>
        <w:rPr>
          <w:rFonts w:ascii="Arial" w:hAnsi="Arial" w:eastAsia="Arial" w:cs="Arial"/>
          <w:b/>
          <w:sz w:val="24"/>
          <w:szCs w:val="24"/>
          <w:rtl w:val="0"/>
        </w:rPr>
        <w:tab/>
      </w:r>
      <w:r>
        <w:rPr>
          <w:rFonts w:ascii="Arial" w:hAnsi="Arial" w:eastAsia="Arial" w:cs="Arial"/>
          <w:sz w:val="24"/>
          <w:szCs w:val="24"/>
          <w:rtl w:val="0"/>
        </w:rPr>
        <w:t>Atestado de Capacidade Técnica, emitido por pessoa jurídica de direito público, constando a descrição dos serviços prestados pelo licitante, comprovando que o licitante presta ou prestou serviços de igual ou similar complexidade;</w:t>
      </w:r>
    </w:p>
    <w:p w14:paraId="000000CF">
      <w:pPr>
        <w:spacing w:line="360" w:lineRule="auto"/>
        <w:ind w:left="-5" w:right="2" w:firstLine="0"/>
        <w:jc w:val="both"/>
        <w:rPr>
          <w:rFonts w:ascii="Arial" w:hAnsi="Arial" w:eastAsia="Arial" w:cs="Arial"/>
          <w:sz w:val="24"/>
          <w:szCs w:val="24"/>
        </w:rPr>
      </w:pPr>
      <w:r>
        <w:rPr>
          <w:rFonts w:ascii="Arial" w:hAnsi="Arial" w:eastAsia="Arial" w:cs="Arial"/>
          <w:b/>
          <w:sz w:val="24"/>
          <w:szCs w:val="24"/>
          <w:rtl w:val="0"/>
        </w:rPr>
        <w:t>13.8.2.</w:t>
      </w:r>
      <w:r>
        <w:rPr>
          <w:rFonts w:ascii="Arial" w:hAnsi="Arial" w:eastAsia="Arial" w:cs="Arial"/>
          <w:b/>
          <w:sz w:val="24"/>
          <w:szCs w:val="24"/>
          <w:rtl w:val="0"/>
        </w:rPr>
        <w:tab/>
      </w:r>
      <w:r>
        <w:rPr>
          <w:rFonts w:ascii="Arial" w:hAnsi="Arial" w:eastAsia="Arial" w:cs="Arial"/>
          <w:sz w:val="24"/>
          <w:szCs w:val="24"/>
          <w:rtl w:val="0"/>
        </w:rPr>
        <w:t>O fornecedor disponibilizará todas as informações necessárias à comprovação da legitimidade dos atestados, apresentando, caso solicitado, dentre outros documentos, cópia do contrato que deu suporte à contratação, endereço atual da contratante e local em que foram prestados os serviços;</w:t>
      </w:r>
    </w:p>
    <w:p w14:paraId="000000D0">
      <w:pPr>
        <w:spacing w:line="360" w:lineRule="auto"/>
        <w:ind w:left="-5" w:right="2" w:firstLine="0"/>
        <w:jc w:val="both"/>
        <w:rPr>
          <w:rFonts w:ascii="Arial" w:hAnsi="Arial" w:eastAsia="Arial" w:cs="Arial"/>
          <w:sz w:val="24"/>
          <w:szCs w:val="24"/>
        </w:rPr>
      </w:pPr>
      <w:r>
        <w:rPr>
          <w:rFonts w:ascii="Arial" w:hAnsi="Arial" w:eastAsia="Arial" w:cs="Arial"/>
          <w:b/>
          <w:sz w:val="24"/>
          <w:szCs w:val="24"/>
          <w:rtl w:val="0"/>
        </w:rPr>
        <w:t>13.8.3.</w:t>
      </w:r>
      <w:r>
        <w:rPr>
          <w:rFonts w:ascii="Arial" w:hAnsi="Arial" w:eastAsia="Arial" w:cs="Arial"/>
          <w:b/>
          <w:sz w:val="24"/>
          <w:szCs w:val="24"/>
          <w:rtl w:val="0"/>
        </w:rPr>
        <w:tab/>
      </w:r>
      <w:r>
        <w:rPr>
          <w:rFonts w:ascii="Arial" w:hAnsi="Arial" w:eastAsia="Arial" w:cs="Arial"/>
          <w:sz w:val="24"/>
          <w:szCs w:val="24"/>
          <w:rtl w:val="0"/>
        </w:rPr>
        <w:t>Não é obrigatório o reconhecimento de firma do signatário para atestados emitidos por órgão público Federal, Estadual ou Municipal, conforme dispõe a Constituição Federal, art. 19, inciso II, sendo obrigatório quando emitido por empresas privadas.</w:t>
      </w:r>
    </w:p>
    <w:p w14:paraId="000000D1">
      <w:pPr>
        <w:spacing w:line="360" w:lineRule="auto"/>
        <w:ind w:left="-5" w:right="2" w:firstLine="0"/>
        <w:jc w:val="both"/>
        <w:rPr>
          <w:rFonts w:ascii="Arial" w:hAnsi="Arial" w:eastAsia="Arial" w:cs="Arial"/>
          <w:sz w:val="24"/>
          <w:szCs w:val="24"/>
        </w:rPr>
      </w:pPr>
      <w:r>
        <w:rPr>
          <w:rFonts w:ascii="Arial" w:hAnsi="Arial" w:eastAsia="Arial" w:cs="Arial"/>
          <w:b/>
          <w:sz w:val="24"/>
          <w:szCs w:val="24"/>
          <w:rtl w:val="0"/>
        </w:rPr>
        <w:t>13.4.</w:t>
      </w:r>
      <w:r>
        <w:rPr>
          <w:rFonts w:ascii="Arial" w:hAnsi="Arial" w:eastAsia="Arial" w:cs="Arial"/>
          <w:sz w:val="24"/>
          <w:szCs w:val="24"/>
          <w:rtl w:val="0"/>
        </w:rPr>
        <w:tab/>
      </w:r>
      <w:r>
        <w:rPr>
          <w:rFonts w:ascii="Arial" w:hAnsi="Arial" w:eastAsia="Arial" w:cs="Arial"/>
          <w:sz w:val="24"/>
          <w:szCs w:val="24"/>
          <w:rtl w:val="0"/>
        </w:rPr>
        <w:t xml:space="preserve">Juntamente com os documentos referidos nesta cláusula serão apresentados para fins de habilitação, Declarações, assinadas pelo representante legal da empresa, firmada sob as penas da lei: </w:t>
      </w:r>
    </w:p>
    <w:p w14:paraId="000000D2">
      <w:pPr>
        <w:spacing w:line="360" w:lineRule="auto"/>
        <w:ind w:left="-5" w:right="2" w:firstLine="0"/>
        <w:jc w:val="both"/>
        <w:rPr>
          <w:rFonts w:ascii="Arial" w:hAnsi="Arial" w:eastAsia="Arial" w:cs="Arial"/>
          <w:sz w:val="24"/>
          <w:szCs w:val="24"/>
        </w:rPr>
      </w:pPr>
      <w:r>
        <w:rPr>
          <w:rFonts w:ascii="Arial" w:hAnsi="Arial" w:eastAsia="Arial" w:cs="Arial"/>
          <w:b/>
          <w:sz w:val="24"/>
          <w:szCs w:val="24"/>
          <w:rtl w:val="0"/>
        </w:rPr>
        <w:t>13.4.1.</w:t>
      </w:r>
      <w:r>
        <w:rPr>
          <w:rFonts w:ascii="Arial" w:hAnsi="Arial" w:eastAsia="Arial" w:cs="Arial"/>
          <w:sz w:val="24"/>
          <w:szCs w:val="24"/>
          <w:rtl w:val="0"/>
        </w:rPr>
        <w:tab/>
      </w:r>
      <w:r>
        <w:rPr>
          <w:rFonts w:ascii="Arial" w:hAnsi="Arial" w:eastAsia="Arial" w:cs="Arial"/>
          <w:sz w:val="24"/>
          <w:szCs w:val="24"/>
          <w:rtl w:val="0"/>
        </w:rPr>
        <w:t xml:space="preserve">De que a empresa não se acha declarada inidônea para licitar e contratar com o </w:t>
      </w:r>
    </w:p>
    <w:p w14:paraId="000000D3">
      <w:pPr>
        <w:spacing w:line="360" w:lineRule="auto"/>
        <w:ind w:left="-5" w:right="2" w:firstLine="0"/>
        <w:jc w:val="both"/>
        <w:rPr>
          <w:rFonts w:ascii="Arial" w:hAnsi="Arial" w:eastAsia="Arial" w:cs="Arial"/>
          <w:sz w:val="24"/>
          <w:szCs w:val="24"/>
        </w:rPr>
      </w:pPr>
      <w:r>
        <w:rPr>
          <w:rFonts w:ascii="Arial" w:hAnsi="Arial" w:eastAsia="Arial" w:cs="Arial"/>
          <w:sz w:val="24"/>
          <w:szCs w:val="24"/>
          <w:rtl w:val="0"/>
        </w:rPr>
        <w:t xml:space="preserve">Poder Público ou suspensa do direito de licitar com o Poder Público; </w:t>
      </w:r>
    </w:p>
    <w:p w14:paraId="000000D4">
      <w:pPr>
        <w:spacing w:line="360" w:lineRule="auto"/>
        <w:ind w:left="-5" w:right="2" w:firstLine="0"/>
        <w:jc w:val="both"/>
        <w:rPr>
          <w:rFonts w:ascii="Arial" w:hAnsi="Arial" w:eastAsia="Arial" w:cs="Arial"/>
          <w:sz w:val="24"/>
          <w:szCs w:val="24"/>
        </w:rPr>
      </w:pPr>
      <w:r>
        <w:rPr>
          <w:rFonts w:ascii="Arial" w:hAnsi="Arial" w:eastAsia="Arial" w:cs="Arial"/>
          <w:b/>
          <w:sz w:val="24"/>
          <w:szCs w:val="24"/>
          <w:rtl w:val="0"/>
        </w:rPr>
        <w:t>13.4.2.</w:t>
      </w:r>
      <w:r>
        <w:rPr>
          <w:rFonts w:ascii="Arial" w:hAnsi="Arial" w:eastAsia="Arial" w:cs="Arial"/>
          <w:sz w:val="24"/>
          <w:szCs w:val="24"/>
          <w:rtl w:val="0"/>
        </w:rPr>
        <w:t xml:space="preserve"> De que a empresa não possui trabalhadores menores de 18 anos realizando trabalho noturno, perigoso ou insalubre e de qualquer trabalho a menores de 16 anos, salvo na condição de aprendiz, a partir de 14 anos, na forma da Lei; e </w:t>
      </w:r>
    </w:p>
    <w:p w14:paraId="000000D5">
      <w:pPr>
        <w:spacing w:line="360" w:lineRule="auto"/>
        <w:ind w:left="-5" w:right="2" w:firstLine="0"/>
        <w:jc w:val="both"/>
        <w:rPr>
          <w:rFonts w:ascii="Arial" w:hAnsi="Arial" w:eastAsia="Arial" w:cs="Arial"/>
          <w:sz w:val="24"/>
          <w:szCs w:val="24"/>
        </w:rPr>
      </w:pPr>
      <w:r>
        <w:rPr>
          <w:rFonts w:ascii="Arial" w:hAnsi="Arial" w:eastAsia="Arial" w:cs="Arial"/>
          <w:b/>
          <w:sz w:val="24"/>
          <w:szCs w:val="24"/>
          <w:rtl w:val="0"/>
        </w:rPr>
        <w:t>13.4.3.</w:t>
      </w:r>
      <w:r>
        <w:rPr>
          <w:rFonts w:ascii="Arial" w:hAnsi="Arial" w:eastAsia="Arial" w:cs="Arial"/>
          <w:sz w:val="24"/>
          <w:szCs w:val="24"/>
          <w:rtl w:val="0"/>
        </w:rPr>
        <w:t xml:space="preserve"> De disponibilidade de recursos humanos e materiais, equipamentos, ferramentas necessárias ao cumprimento do objeto desta licitação, assinada pelo representante legal da empresa. </w:t>
      </w:r>
    </w:p>
    <w:p w14:paraId="000000D6">
      <w:pPr>
        <w:spacing w:line="360" w:lineRule="auto"/>
        <w:ind w:left="-5" w:right="-4" w:firstLine="0"/>
        <w:jc w:val="both"/>
        <w:rPr>
          <w:rFonts w:ascii="Arial" w:hAnsi="Arial" w:eastAsia="Arial" w:cs="Arial"/>
          <w:sz w:val="24"/>
          <w:szCs w:val="24"/>
        </w:rPr>
      </w:pPr>
      <w:r>
        <w:rPr>
          <w:rFonts w:ascii="Arial" w:hAnsi="Arial" w:eastAsia="Arial" w:cs="Arial"/>
          <w:b/>
          <w:sz w:val="24"/>
          <w:szCs w:val="24"/>
          <w:rtl w:val="0"/>
        </w:rPr>
        <w:t>13.5.</w:t>
      </w:r>
      <w:r>
        <w:rPr>
          <w:rFonts w:ascii="Arial" w:hAnsi="Arial" w:eastAsia="Arial" w:cs="Arial"/>
          <w:sz w:val="24"/>
          <w:szCs w:val="24"/>
          <w:rtl w:val="0"/>
        </w:rPr>
        <w:tab/>
      </w:r>
      <w:r>
        <w:rPr>
          <w:rFonts w:ascii="Arial" w:hAnsi="Arial" w:eastAsia="Arial" w:cs="Arial"/>
          <w:sz w:val="24"/>
          <w:szCs w:val="24"/>
          <w:u w:val="single"/>
          <w:rtl w:val="0"/>
        </w:rPr>
        <w:t>As declarações retromencionadas deverão ser apresentadas conforme modelo</w:t>
      </w:r>
      <w:r>
        <w:rPr>
          <w:rFonts w:ascii="Arial" w:hAnsi="Arial" w:eastAsia="Arial" w:cs="Arial"/>
          <w:sz w:val="24"/>
          <w:szCs w:val="24"/>
          <w:rtl w:val="0"/>
        </w:rPr>
        <w:t xml:space="preserve"> </w:t>
      </w:r>
      <w:r>
        <w:rPr>
          <w:rFonts w:ascii="Arial" w:hAnsi="Arial" w:eastAsia="Arial" w:cs="Arial"/>
          <w:sz w:val="24"/>
          <w:szCs w:val="24"/>
          <w:u w:val="single"/>
          <w:rtl w:val="0"/>
        </w:rPr>
        <w:t>constante do aos anexos deste ato convocatório.</w:t>
      </w:r>
      <w:r>
        <w:rPr>
          <w:rFonts w:ascii="Arial" w:hAnsi="Arial" w:eastAsia="Arial" w:cs="Arial"/>
          <w:sz w:val="24"/>
          <w:szCs w:val="24"/>
          <w:rtl w:val="0"/>
        </w:rPr>
        <w:t xml:space="preserve"> </w:t>
      </w:r>
    </w:p>
    <w:p w14:paraId="000000D7">
      <w:pPr>
        <w:spacing w:line="360" w:lineRule="auto"/>
        <w:ind w:left="-5" w:right="2" w:firstLine="0"/>
        <w:jc w:val="both"/>
        <w:rPr>
          <w:rFonts w:ascii="Arial" w:hAnsi="Arial" w:eastAsia="Arial" w:cs="Arial"/>
          <w:sz w:val="24"/>
          <w:szCs w:val="24"/>
        </w:rPr>
      </w:pPr>
      <w:r>
        <w:rPr>
          <w:rFonts w:ascii="Arial" w:hAnsi="Arial" w:eastAsia="Arial" w:cs="Arial"/>
          <w:b/>
          <w:sz w:val="24"/>
          <w:szCs w:val="24"/>
          <w:rtl w:val="0"/>
        </w:rPr>
        <w:t>13.6</w:t>
      </w:r>
      <w:r>
        <w:rPr>
          <w:rFonts w:ascii="Arial" w:hAnsi="Arial" w:eastAsia="Arial" w:cs="Arial"/>
          <w:sz w:val="24"/>
          <w:szCs w:val="24"/>
          <w:rtl w:val="0"/>
        </w:rPr>
        <w:t>.</w:t>
      </w:r>
      <w:r>
        <w:rPr>
          <w:rFonts w:ascii="Arial" w:hAnsi="Arial" w:eastAsia="Arial" w:cs="Arial"/>
          <w:sz w:val="24"/>
          <w:szCs w:val="24"/>
          <w:rtl w:val="0"/>
        </w:rPr>
        <w:tab/>
      </w:r>
      <w:r>
        <w:rPr>
          <w:rFonts w:ascii="Arial" w:hAnsi="Arial" w:eastAsia="Arial" w:cs="Arial"/>
          <w:sz w:val="24"/>
          <w:szCs w:val="24"/>
          <w:rtl w:val="0"/>
        </w:rPr>
        <w:t xml:space="preserve">Em se tratando de microempresa ou empresa de pequeno porte esta deverá apresentar os documentos de regularidade fiscal, mesmo que apresentem alguma restrição, caso seja adjudicatária deste certame, nos termos do art. 42 da Lei Complementar n°. 123/2006 c/c com a Lei 14.133/21, </w:t>
      </w:r>
      <w:r>
        <w:rPr>
          <w:rFonts w:ascii="Arial" w:hAnsi="Arial" w:eastAsia="Arial" w:cs="Arial"/>
          <w:b/>
          <w:sz w:val="24"/>
          <w:szCs w:val="24"/>
          <w:u w:val="single"/>
          <w:rtl w:val="0"/>
        </w:rPr>
        <w:t>sendo que, para que se seja concedido tal benefício, as</w:t>
      </w:r>
      <w:r>
        <w:rPr>
          <w:rFonts w:ascii="Arial" w:hAnsi="Arial" w:eastAsia="Arial" w:cs="Arial"/>
          <w:b/>
          <w:sz w:val="24"/>
          <w:szCs w:val="24"/>
          <w:rtl w:val="0"/>
        </w:rPr>
        <w:t xml:space="preserve"> </w:t>
      </w:r>
      <w:r>
        <w:rPr>
          <w:rFonts w:ascii="Arial" w:hAnsi="Arial" w:eastAsia="Arial" w:cs="Arial"/>
          <w:b/>
          <w:sz w:val="24"/>
          <w:szCs w:val="24"/>
          <w:u w:val="single"/>
          <w:rtl w:val="0"/>
        </w:rPr>
        <w:t>empresas deverão apresentar declaração dando ciência que se declaram como</w:t>
      </w:r>
      <w:r>
        <w:rPr>
          <w:rFonts w:ascii="Arial" w:hAnsi="Arial" w:eastAsia="Arial" w:cs="Arial"/>
          <w:b/>
          <w:sz w:val="24"/>
          <w:szCs w:val="24"/>
          <w:rtl w:val="0"/>
        </w:rPr>
        <w:t xml:space="preserve"> </w:t>
      </w:r>
      <w:r>
        <w:rPr>
          <w:rFonts w:ascii="Arial" w:hAnsi="Arial" w:eastAsia="Arial" w:cs="Arial"/>
          <w:b/>
          <w:sz w:val="24"/>
          <w:szCs w:val="24"/>
          <w:u w:val="single"/>
          <w:rtl w:val="0"/>
        </w:rPr>
        <w:t xml:space="preserve">microempresas ou empresas de pequeno porte conforme modelo descrito no </w:t>
      </w:r>
      <w:r>
        <w:rPr>
          <w:rFonts w:ascii="Arial" w:hAnsi="Arial" w:eastAsia="Arial" w:cs="Arial"/>
          <w:b/>
          <w:color w:val="000000"/>
          <w:sz w:val="24"/>
          <w:szCs w:val="24"/>
          <w:u w:val="single"/>
          <w:rtl w:val="0"/>
        </w:rPr>
        <w:t>Anexo IV</w:t>
      </w:r>
      <w:r>
        <w:rPr>
          <w:rFonts w:ascii="Arial" w:hAnsi="Arial" w:eastAsia="Arial" w:cs="Arial"/>
          <w:color w:val="000000"/>
          <w:sz w:val="24"/>
          <w:szCs w:val="24"/>
          <w:rtl w:val="0"/>
        </w:rPr>
        <w:t>.</w:t>
      </w:r>
      <w:r>
        <w:rPr>
          <w:rFonts w:ascii="Arial" w:hAnsi="Arial" w:eastAsia="Arial" w:cs="Arial"/>
          <w:sz w:val="24"/>
          <w:szCs w:val="24"/>
          <w:rtl w:val="0"/>
        </w:rPr>
        <w:t xml:space="preserve"> </w:t>
      </w:r>
    </w:p>
    <w:p w14:paraId="000000D8">
      <w:pPr>
        <w:spacing w:line="360" w:lineRule="auto"/>
        <w:ind w:left="-5" w:right="2" w:firstLine="0"/>
        <w:jc w:val="both"/>
        <w:rPr>
          <w:rFonts w:ascii="Arial" w:hAnsi="Arial" w:eastAsia="Arial" w:cs="Arial"/>
          <w:sz w:val="24"/>
          <w:szCs w:val="24"/>
        </w:rPr>
      </w:pPr>
      <w:r>
        <w:rPr>
          <w:rFonts w:ascii="Arial" w:hAnsi="Arial" w:eastAsia="Arial" w:cs="Arial"/>
          <w:b/>
          <w:sz w:val="24"/>
          <w:szCs w:val="24"/>
          <w:rtl w:val="0"/>
        </w:rPr>
        <w:t>13.7.</w:t>
      </w:r>
      <w:r>
        <w:rPr>
          <w:rFonts w:ascii="Arial" w:hAnsi="Arial" w:eastAsia="Arial" w:cs="Arial"/>
          <w:sz w:val="24"/>
          <w:szCs w:val="24"/>
          <w:rtl w:val="0"/>
        </w:rPr>
        <w:tab/>
      </w:r>
      <w:r>
        <w:rPr>
          <w:rFonts w:ascii="Arial" w:hAnsi="Arial" w:eastAsia="Arial" w:cs="Arial"/>
          <w:sz w:val="24"/>
          <w:szCs w:val="24"/>
          <w:rtl w:val="0"/>
        </w:rPr>
        <w:t xml:space="preserve">Havendo alguma restrição na comprovação da regularidade fiscal exigida neste edital, será assegurado à microempresa ou empresa de pequeno porte adjudicatária deste certame o prazo de 05 (cinco) dias úteis, contados do momento em que for declarada a vencedora, para a regularização da documentação, pagamento ou parcelamento do débito, e emissão de eventuais certidões negativas ou positivas, com efeito, de certidão negativa. </w:t>
      </w:r>
    </w:p>
    <w:p w14:paraId="000000D9">
      <w:pPr>
        <w:spacing w:line="360" w:lineRule="auto"/>
        <w:ind w:left="-5" w:right="2" w:firstLine="0"/>
        <w:jc w:val="both"/>
        <w:rPr>
          <w:rFonts w:ascii="Arial" w:hAnsi="Arial" w:eastAsia="Arial" w:cs="Arial"/>
          <w:sz w:val="24"/>
          <w:szCs w:val="24"/>
        </w:rPr>
      </w:pPr>
      <w:r>
        <w:rPr>
          <w:rFonts w:ascii="Arial" w:hAnsi="Arial" w:eastAsia="Arial" w:cs="Arial"/>
          <w:b/>
          <w:sz w:val="24"/>
          <w:szCs w:val="24"/>
          <w:rtl w:val="0"/>
        </w:rPr>
        <w:t>13.8.</w:t>
      </w:r>
      <w:r>
        <w:rPr>
          <w:rFonts w:ascii="Arial" w:hAnsi="Arial" w:eastAsia="Arial" w:cs="Arial"/>
          <w:sz w:val="24"/>
          <w:szCs w:val="24"/>
          <w:rtl w:val="0"/>
        </w:rPr>
        <w:tab/>
      </w:r>
      <w:r>
        <w:rPr>
          <w:rFonts w:ascii="Arial" w:hAnsi="Arial" w:eastAsia="Arial" w:cs="Arial"/>
          <w:sz w:val="24"/>
          <w:szCs w:val="24"/>
          <w:rtl w:val="0"/>
        </w:rPr>
        <w:t xml:space="preserve">A falta de regularização da documentação no prazo previsto neste Edital implicará a decadência do direito à contratação, sem prejuízo das sanções previstas na Lei 14.133/2021, sendo facultada à Administração convocar o segundo melhor lance. </w:t>
      </w:r>
    </w:p>
    <w:p w14:paraId="000000DA">
      <w:pPr>
        <w:spacing w:line="360" w:lineRule="auto"/>
        <w:ind w:left="-5" w:right="2" w:firstLine="0"/>
        <w:jc w:val="both"/>
        <w:rPr>
          <w:rFonts w:ascii="Arial" w:hAnsi="Arial" w:eastAsia="Arial" w:cs="Arial"/>
          <w:sz w:val="24"/>
          <w:szCs w:val="24"/>
        </w:rPr>
      </w:pPr>
      <w:r>
        <w:rPr>
          <w:rFonts w:ascii="Arial" w:hAnsi="Arial" w:eastAsia="Arial" w:cs="Arial"/>
          <w:b/>
          <w:sz w:val="24"/>
          <w:szCs w:val="24"/>
          <w:rtl w:val="0"/>
        </w:rPr>
        <w:t>13.9</w:t>
      </w:r>
      <w:r>
        <w:rPr>
          <w:rFonts w:ascii="Arial" w:hAnsi="Arial" w:eastAsia="Arial" w:cs="Arial"/>
          <w:sz w:val="24"/>
          <w:szCs w:val="24"/>
          <w:rtl w:val="0"/>
        </w:rPr>
        <w:t>.</w:t>
      </w:r>
      <w:r>
        <w:rPr>
          <w:rFonts w:ascii="Arial" w:hAnsi="Arial" w:eastAsia="Arial" w:cs="Arial"/>
          <w:sz w:val="24"/>
          <w:szCs w:val="24"/>
          <w:rtl w:val="0"/>
        </w:rPr>
        <w:tab/>
      </w:r>
      <w:r>
        <w:rPr>
          <w:rFonts w:ascii="Arial" w:hAnsi="Arial" w:eastAsia="Arial" w:cs="Arial"/>
          <w:sz w:val="24"/>
          <w:szCs w:val="24"/>
          <w:rtl w:val="0"/>
        </w:rPr>
        <w:t xml:space="preserve">O agente de contratação em conjunto com os demais membros, em caso de dúvidas, efetuarão consulta ao sítio da Receita Federal na </w:t>
      </w:r>
      <w:r>
        <w:rPr>
          <w:rFonts w:ascii="Arial" w:hAnsi="Arial" w:eastAsia="Arial" w:cs="Arial"/>
          <w:i/>
          <w:sz w:val="24"/>
          <w:szCs w:val="24"/>
          <w:rtl w:val="0"/>
        </w:rPr>
        <w:t>internet</w:t>
      </w:r>
      <w:r>
        <w:rPr>
          <w:rFonts w:ascii="Arial" w:hAnsi="Arial" w:eastAsia="Arial" w:cs="Arial"/>
          <w:sz w:val="24"/>
          <w:szCs w:val="24"/>
          <w:rtl w:val="0"/>
        </w:rPr>
        <w:t xml:space="preserve"> para certificação sobre a regularidade da inscrição da empresa no Cadastro Nacional de Pessoa Jurídica – CNPJ, em observância à Instrução Normativa da SRF nº. 200, de 13/09/2002, confirmando, ainda, a autenticidade dos demais documentos extraídos pela </w:t>
      </w:r>
      <w:r>
        <w:rPr>
          <w:rFonts w:ascii="Arial" w:hAnsi="Arial" w:eastAsia="Arial" w:cs="Arial"/>
          <w:i/>
          <w:sz w:val="24"/>
          <w:szCs w:val="24"/>
          <w:rtl w:val="0"/>
        </w:rPr>
        <w:t>internet</w:t>
      </w:r>
      <w:r>
        <w:rPr>
          <w:rFonts w:ascii="Arial" w:hAnsi="Arial" w:eastAsia="Arial" w:cs="Arial"/>
          <w:sz w:val="24"/>
          <w:szCs w:val="24"/>
          <w:rtl w:val="0"/>
        </w:rPr>
        <w:t>, junto aos sítios dos órgãos emissores, para fins de habilitação;</w:t>
      </w:r>
    </w:p>
    <w:p w14:paraId="000000DB">
      <w:pPr>
        <w:spacing w:line="360" w:lineRule="auto"/>
        <w:ind w:left="-5" w:right="2" w:firstLine="0"/>
        <w:jc w:val="both"/>
        <w:rPr>
          <w:rFonts w:ascii="Arial" w:hAnsi="Arial" w:eastAsia="Arial" w:cs="Arial"/>
          <w:sz w:val="24"/>
          <w:szCs w:val="24"/>
        </w:rPr>
      </w:pPr>
      <w:r>
        <w:rPr>
          <w:rFonts w:ascii="Arial" w:hAnsi="Arial" w:eastAsia="Arial" w:cs="Arial"/>
          <w:b/>
          <w:sz w:val="24"/>
          <w:szCs w:val="24"/>
          <w:rtl w:val="0"/>
        </w:rPr>
        <w:t>13.10.</w:t>
      </w:r>
      <w:r>
        <w:rPr>
          <w:rFonts w:ascii="Arial" w:hAnsi="Arial" w:eastAsia="Arial" w:cs="Arial"/>
          <w:sz w:val="24"/>
          <w:szCs w:val="24"/>
          <w:rtl w:val="0"/>
        </w:rPr>
        <w:t xml:space="preserve"> </w:t>
      </w:r>
      <w:r>
        <w:rPr>
          <w:rFonts w:ascii="Arial" w:hAnsi="Arial" w:eastAsia="Arial" w:cs="Arial"/>
          <w:sz w:val="24"/>
          <w:szCs w:val="24"/>
          <w:rtl w:val="0"/>
        </w:rPr>
        <w:tab/>
      </w:r>
      <w:r>
        <w:rPr>
          <w:rFonts w:ascii="Arial" w:hAnsi="Arial" w:eastAsia="Arial" w:cs="Arial"/>
          <w:sz w:val="24"/>
          <w:szCs w:val="24"/>
          <w:rtl w:val="0"/>
        </w:rPr>
        <w:t>Procedida à consulta, serão impressas declarações demonstrativas/Comprovantes da situação do licitante que serão juntadas aos autos do Processo Administrativo.</w:t>
      </w:r>
    </w:p>
    <w:p w14:paraId="000000DC">
      <w:pPr>
        <w:pBdr>
          <w:top w:val="none" w:color="auto" w:sz="0" w:space="0"/>
          <w:left w:val="none" w:color="auto" w:sz="0" w:space="0"/>
          <w:bottom w:val="none" w:color="auto" w:sz="0" w:space="0"/>
          <w:right w:val="none" w:color="auto" w:sz="0" w:space="0"/>
          <w:between w:val="none" w:color="auto" w:sz="0" w:space="0"/>
        </w:pBdr>
        <w:spacing w:line="360" w:lineRule="auto"/>
        <w:jc w:val="both"/>
        <w:rPr>
          <w:rFonts w:ascii="Arial" w:hAnsi="Arial" w:eastAsia="Arial" w:cs="Arial"/>
          <w:color w:val="000000"/>
          <w:sz w:val="24"/>
          <w:szCs w:val="24"/>
          <w:u w:val="single"/>
        </w:rPr>
      </w:pPr>
      <w:r>
        <w:rPr>
          <w:rFonts w:ascii="Arial" w:hAnsi="Arial" w:eastAsia="Arial" w:cs="Arial"/>
          <w:b/>
          <w:color w:val="000000"/>
          <w:sz w:val="24"/>
          <w:szCs w:val="24"/>
          <w:rtl w:val="0"/>
        </w:rPr>
        <w:t>13.11</w:t>
      </w:r>
      <w:r>
        <w:rPr>
          <w:rFonts w:ascii="Arial" w:hAnsi="Arial" w:eastAsia="Arial" w:cs="Arial"/>
          <w:color w:val="000000"/>
          <w:sz w:val="24"/>
          <w:szCs w:val="24"/>
          <w:rtl w:val="0"/>
        </w:rPr>
        <w:t>.</w:t>
      </w:r>
      <w:r>
        <w:rPr>
          <w:rFonts w:ascii="Arial" w:hAnsi="Arial" w:eastAsia="Arial" w:cs="Arial"/>
          <w:color w:val="000000"/>
          <w:sz w:val="24"/>
          <w:szCs w:val="24"/>
          <w:rtl w:val="0"/>
        </w:rPr>
        <w:tab/>
      </w:r>
      <w:r>
        <w:rPr>
          <w:rFonts w:ascii="Arial" w:hAnsi="Arial" w:eastAsia="Arial" w:cs="Arial"/>
          <w:color w:val="000000"/>
          <w:sz w:val="24"/>
          <w:szCs w:val="24"/>
          <w:u w:val="single"/>
          <w:rtl w:val="0"/>
        </w:rPr>
        <w:t>Os documentos necessários à habilitação poderão ser apresentados em original,</w:t>
      </w:r>
      <w:r>
        <w:rPr>
          <w:rFonts w:ascii="Arial" w:hAnsi="Arial" w:eastAsia="Arial" w:cs="Arial"/>
          <w:color w:val="000000"/>
          <w:sz w:val="24"/>
          <w:szCs w:val="24"/>
          <w:rtl w:val="0"/>
        </w:rPr>
        <w:t xml:space="preserve"> </w:t>
      </w:r>
      <w:r>
        <w:rPr>
          <w:rFonts w:ascii="Arial" w:hAnsi="Arial" w:eastAsia="Arial" w:cs="Arial"/>
          <w:color w:val="000000"/>
          <w:sz w:val="24"/>
          <w:szCs w:val="24"/>
          <w:u w:val="single"/>
          <w:rtl w:val="0"/>
        </w:rPr>
        <w:t>por qualquer processo de cópia (legível) autenticada por Cartório competente ou por</w:t>
      </w:r>
      <w:r>
        <w:rPr>
          <w:rFonts w:ascii="Arial" w:hAnsi="Arial" w:eastAsia="Arial" w:cs="Arial"/>
          <w:color w:val="000000"/>
          <w:sz w:val="24"/>
          <w:szCs w:val="24"/>
          <w:rtl w:val="0"/>
        </w:rPr>
        <w:t xml:space="preserve"> </w:t>
      </w:r>
      <w:r>
        <w:rPr>
          <w:rFonts w:ascii="Arial" w:hAnsi="Arial" w:eastAsia="Arial" w:cs="Arial"/>
          <w:color w:val="000000"/>
          <w:sz w:val="24"/>
          <w:szCs w:val="24"/>
          <w:u w:val="single"/>
          <w:rtl w:val="0"/>
        </w:rPr>
        <w:t>funcionário credenciado da prefeitura ou publicação em Órgão da Imprensa Oficial.</w:t>
      </w:r>
    </w:p>
    <w:p w14:paraId="000000DD">
      <w:pPr>
        <w:numPr>
          <w:ilvl w:val="0"/>
          <w:numId w:val="3"/>
        </w:numPr>
        <w:pBdr>
          <w:top w:val="none" w:color="000000" w:sz="0" w:space="0"/>
          <w:left w:val="none" w:color="000000" w:sz="0" w:space="0"/>
          <w:bottom w:val="none" w:color="000000" w:sz="0" w:space="0"/>
          <w:right w:val="none" w:color="000000" w:sz="0" w:space="0"/>
          <w:between w:val="none" w:color="000000" w:sz="0" w:space="0"/>
        </w:pBdr>
        <w:spacing w:after="0"/>
        <w:ind w:left="0" w:firstLine="0"/>
        <w:jc w:val="both"/>
        <w:rPr>
          <w:rFonts w:ascii="Arial" w:hAnsi="Arial" w:eastAsia="Arial" w:cs="Arial"/>
          <w:b/>
          <w:color w:val="000000"/>
          <w:sz w:val="24"/>
          <w:szCs w:val="24"/>
        </w:rPr>
      </w:pPr>
      <w:r>
        <w:rPr>
          <w:rFonts w:ascii="Arial" w:hAnsi="Arial" w:eastAsia="Arial" w:cs="Arial"/>
          <w:b/>
          <w:color w:val="000000"/>
          <w:sz w:val="24"/>
          <w:szCs w:val="24"/>
          <w:rtl w:val="0"/>
        </w:rPr>
        <w:t>ESTIMATIVAS DO VALOR DA CONTRATAÇÃO</w:t>
      </w:r>
    </w:p>
    <w:p w14:paraId="000000DE">
      <w:pPr>
        <w:pBdr>
          <w:top w:val="none" w:color="000000" w:sz="0" w:space="0"/>
          <w:left w:val="none" w:color="000000" w:sz="0" w:space="0"/>
          <w:bottom w:val="none" w:color="000000" w:sz="0" w:space="0"/>
          <w:right w:val="none" w:color="000000" w:sz="0" w:space="0"/>
          <w:between w:val="none" w:color="000000" w:sz="0" w:space="0"/>
        </w:pBdr>
        <w:spacing w:after="0"/>
        <w:ind w:left="426" w:firstLine="0"/>
        <w:jc w:val="both"/>
        <w:rPr>
          <w:rFonts w:ascii="Arial" w:hAnsi="Arial" w:eastAsia="Arial" w:cs="Arial"/>
          <w:b/>
          <w:color w:val="000000"/>
          <w:sz w:val="24"/>
          <w:szCs w:val="24"/>
        </w:rPr>
      </w:pPr>
    </w:p>
    <w:p w14:paraId="000000DF">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 xml:space="preserve">O custo estimado total da contratação é de </w:t>
      </w:r>
      <w:r>
        <w:rPr>
          <w:rFonts w:ascii="Arial" w:hAnsi="Arial" w:eastAsia="Arial" w:cs="Arial"/>
          <w:b/>
          <w:color w:val="000000"/>
          <w:sz w:val="24"/>
          <w:szCs w:val="24"/>
          <w:highlight w:val="yellow"/>
          <w:rtl w:val="0"/>
        </w:rPr>
        <w:t xml:space="preserve">R$ 6.153,33 seis mil, cento e trinta e três reais e trinta e três centavos). </w:t>
      </w:r>
    </w:p>
    <w:p w14:paraId="000000E0">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000000E1">
      <w:pPr>
        <w:numPr>
          <w:ilvl w:val="2"/>
          <w:numId w:val="3"/>
        </w:numPr>
        <w:pBdr>
          <w:top w:val="none" w:color="000000" w:sz="0" w:space="0"/>
          <w:left w:val="none" w:color="000000" w:sz="0" w:space="0"/>
          <w:bottom w:val="none" w:color="000000" w:sz="0" w:space="0"/>
          <w:right w:val="none" w:color="000000" w:sz="0" w:space="0"/>
          <w:between w:val="none" w:color="000000" w:sz="0" w:space="0"/>
        </w:pBdr>
        <w:spacing w:after="0"/>
        <w:ind w:left="1701" w:hanging="567"/>
        <w:jc w:val="both"/>
        <w:rPr>
          <w:rFonts w:ascii="Arial" w:hAnsi="Arial" w:eastAsia="Arial" w:cs="Arial"/>
          <w:color w:val="000000"/>
          <w:sz w:val="24"/>
          <w:szCs w:val="24"/>
        </w:rPr>
      </w:pPr>
      <w:r>
        <w:rPr>
          <w:rFonts w:ascii="Arial" w:hAnsi="Arial" w:eastAsia="Arial" w:cs="Arial"/>
          <w:color w:val="000000"/>
          <w:sz w:val="24"/>
          <w:szCs w:val="24"/>
          <w:rtl w:val="0"/>
        </w:rPr>
        <w:t>em caso de criação, alteração ou extinção de quaisquer tributos ou encargos legais ou superveniência de disposições legais, com comprovada repercussão sobre os preços registrados;</w:t>
      </w:r>
    </w:p>
    <w:p w14:paraId="000000E2">
      <w:pPr>
        <w:numPr>
          <w:ilvl w:val="2"/>
          <w:numId w:val="3"/>
        </w:numPr>
        <w:pBdr>
          <w:top w:val="none" w:color="000000" w:sz="0" w:space="0"/>
          <w:left w:val="none" w:color="000000" w:sz="0" w:space="0"/>
          <w:bottom w:val="none" w:color="000000" w:sz="0" w:space="0"/>
          <w:right w:val="none" w:color="000000" w:sz="0" w:space="0"/>
          <w:between w:val="none" w:color="000000" w:sz="0" w:space="0"/>
        </w:pBdr>
        <w:spacing w:after="0"/>
        <w:ind w:left="1701" w:hanging="567"/>
        <w:jc w:val="both"/>
        <w:rPr>
          <w:rFonts w:ascii="Arial" w:hAnsi="Arial" w:eastAsia="Arial" w:cs="Arial"/>
          <w:color w:val="000000"/>
          <w:sz w:val="24"/>
          <w:szCs w:val="24"/>
        </w:rPr>
      </w:pPr>
      <w:r>
        <w:rPr>
          <w:rFonts w:ascii="Arial" w:hAnsi="Arial" w:eastAsia="Arial" w:cs="Arial"/>
          <w:color w:val="000000"/>
          <w:sz w:val="24"/>
          <w:szCs w:val="24"/>
          <w:rtl w:val="0"/>
        </w:rPr>
        <w:t>serão reajustados os preços registrados, respeitada a contagem da anualidade e o índice previsto para a contratação; ou</w:t>
      </w:r>
    </w:p>
    <w:p w14:paraId="000000E3">
      <w:pPr>
        <w:numPr>
          <w:ilvl w:val="2"/>
          <w:numId w:val="3"/>
        </w:numPr>
        <w:pBdr>
          <w:top w:val="none" w:color="000000" w:sz="0" w:space="0"/>
          <w:left w:val="none" w:color="000000" w:sz="0" w:space="0"/>
          <w:bottom w:val="none" w:color="000000" w:sz="0" w:space="0"/>
          <w:right w:val="none" w:color="000000" w:sz="0" w:space="0"/>
          <w:between w:val="none" w:color="000000" w:sz="0" w:space="0"/>
        </w:pBdr>
        <w:spacing w:after="0"/>
        <w:ind w:left="1701" w:hanging="567"/>
        <w:jc w:val="both"/>
        <w:rPr>
          <w:rFonts w:ascii="Arial" w:hAnsi="Arial" w:eastAsia="Arial" w:cs="Arial"/>
          <w:color w:val="000000"/>
          <w:sz w:val="24"/>
          <w:szCs w:val="24"/>
        </w:rPr>
      </w:pPr>
      <w:r>
        <w:rPr>
          <w:rFonts w:ascii="Arial" w:hAnsi="Arial" w:eastAsia="Arial" w:cs="Arial"/>
          <w:color w:val="000000"/>
          <w:sz w:val="24"/>
          <w:szCs w:val="24"/>
          <w:rtl w:val="0"/>
        </w:rPr>
        <w:t>poderão ser repactuados, a pedido do interessado, conforme critérios definidos para a contratação.</w:t>
      </w:r>
    </w:p>
    <w:p w14:paraId="000000E4">
      <w:pPr>
        <w:pBdr>
          <w:top w:val="none" w:color="000000" w:sz="0" w:space="0"/>
          <w:left w:val="none" w:color="000000" w:sz="0" w:space="0"/>
          <w:bottom w:val="none" w:color="000000" w:sz="0" w:space="0"/>
          <w:right w:val="none" w:color="000000" w:sz="0" w:space="0"/>
          <w:between w:val="none" w:color="000000" w:sz="0" w:space="0"/>
        </w:pBdr>
        <w:spacing w:after="0"/>
        <w:ind w:left="1701" w:firstLine="0"/>
        <w:jc w:val="both"/>
        <w:rPr>
          <w:rFonts w:ascii="Arial" w:hAnsi="Arial" w:eastAsia="Arial" w:cs="Arial"/>
          <w:color w:val="000000"/>
          <w:sz w:val="24"/>
          <w:szCs w:val="24"/>
        </w:rPr>
      </w:pPr>
    </w:p>
    <w:p w14:paraId="000000E5">
      <w:pPr>
        <w:numPr>
          <w:ilvl w:val="0"/>
          <w:numId w:val="3"/>
        </w:numPr>
        <w:pBdr>
          <w:top w:val="none" w:color="000000" w:sz="0" w:space="0"/>
          <w:left w:val="none" w:color="000000" w:sz="0" w:space="0"/>
          <w:bottom w:val="none" w:color="000000" w:sz="0" w:space="0"/>
          <w:right w:val="none" w:color="000000" w:sz="0" w:space="0"/>
          <w:between w:val="none" w:color="000000" w:sz="0" w:space="0"/>
        </w:pBdr>
        <w:spacing w:after="0"/>
        <w:ind w:left="0" w:firstLine="0"/>
        <w:jc w:val="both"/>
        <w:rPr>
          <w:rFonts w:ascii="Arial" w:hAnsi="Arial" w:eastAsia="Arial" w:cs="Arial"/>
          <w:b/>
          <w:color w:val="000000"/>
          <w:sz w:val="24"/>
          <w:szCs w:val="24"/>
        </w:rPr>
      </w:pPr>
      <w:r>
        <w:rPr>
          <w:rFonts w:ascii="Arial" w:hAnsi="Arial" w:eastAsia="Arial" w:cs="Arial"/>
          <w:b/>
          <w:color w:val="000000"/>
          <w:sz w:val="24"/>
          <w:szCs w:val="24"/>
          <w:rtl w:val="0"/>
        </w:rPr>
        <w:t>ADEQUAÇÃO ORÇAMENTÁRIA</w:t>
      </w:r>
    </w:p>
    <w:p w14:paraId="000000E6">
      <w:pPr>
        <w:pBdr>
          <w:top w:val="none" w:color="000000" w:sz="0" w:space="0"/>
          <w:left w:val="none" w:color="000000" w:sz="0" w:space="0"/>
          <w:bottom w:val="none" w:color="000000" w:sz="0" w:space="0"/>
          <w:right w:val="none" w:color="000000" w:sz="0" w:space="0"/>
          <w:between w:val="none" w:color="000000" w:sz="0" w:space="0"/>
        </w:pBdr>
        <w:spacing w:after="0"/>
        <w:ind w:left="720" w:firstLine="0"/>
        <w:jc w:val="both"/>
        <w:rPr>
          <w:rFonts w:ascii="Arial" w:hAnsi="Arial" w:eastAsia="Arial" w:cs="Arial"/>
          <w:b/>
          <w:color w:val="000000"/>
          <w:sz w:val="24"/>
          <w:szCs w:val="24"/>
        </w:rPr>
      </w:pPr>
    </w:p>
    <w:p w14:paraId="000000E7">
      <w:pPr>
        <w:numPr>
          <w:ilvl w:val="1"/>
          <w:numId w:val="3"/>
        </w:numPr>
        <w:pBdr>
          <w:top w:val="none" w:color="000000" w:sz="0" w:space="0"/>
          <w:left w:val="none" w:color="000000" w:sz="0" w:space="0"/>
          <w:bottom w:val="none" w:color="000000" w:sz="0" w:space="0"/>
          <w:right w:val="none" w:color="000000" w:sz="0" w:space="0"/>
          <w:between w:val="none" w:color="000000" w:sz="0" w:space="0"/>
        </w:pBdr>
        <w:spacing w:after="0"/>
        <w:ind w:left="2040" w:hanging="720"/>
        <w:jc w:val="both"/>
        <w:rPr>
          <w:rFonts w:ascii="Arial" w:hAnsi="Arial" w:eastAsia="Arial" w:cs="Arial"/>
          <w:color w:val="000000"/>
          <w:sz w:val="24"/>
          <w:szCs w:val="24"/>
        </w:rPr>
      </w:pPr>
      <w:r>
        <w:rPr>
          <w:rFonts w:ascii="Arial" w:hAnsi="Arial" w:eastAsia="Arial" w:cs="Arial"/>
          <w:color w:val="000000"/>
          <w:sz w:val="24"/>
          <w:szCs w:val="24"/>
          <w:rtl w:val="0"/>
        </w:rPr>
        <w:t>As despesas decorrentes da presente contratação correrão à conta de recursos específicos consignados no Orçamento Geral da Prefeitura Municipal de Macururé-BA.</w:t>
      </w:r>
    </w:p>
    <w:p w14:paraId="000000E8">
      <w:pPr>
        <w:numPr>
          <w:ilvl w:val="1"/>
          <w:numId w:val="3"/>
        </w:numPr>
        <w:pBdr>
          <w:top w:val="none" w:color="000000" w:sz="0" w:space="0"/>
          <w:left w:val="none" w:color="000000" w:sz="0" w:space="0"/>
          <w:bottom w:val="none" w:color="000000" w:sz="0" w:space="0"/>
          <w:right w:val="none" w:color="000000" w:sz="0" w:space="0"/>
          <w:between w:val="none" w:color="000000" w:sz="0" w:space="0"/>
        </w:pBdr>
        <w:ind w:left="2040" w:hanging="720"/>
        <w:jc w:val="both"/>
        <w:rPr>
          <w:rFonts w:ascii="Arial" w:hAnsi="Arial" w:eastAsia="Arial" w:cs="Arial"/>
          <w:color w:val="000000"/>
          <w:sz w:val="24"/>
          <w:szCs w:val="24"/>
        </w:rPr>
      </w:pPr>
      <w:r>
        <w:rPr>
          <w:rFonts w:ascii="Arial" w:hAnsi="Arial" w:eastAsia="Arial" w:cs="Arial"/>
          <w:color w:val="000000"/>
          <w:sz w:val="24"/>
          <w:szCs w:val="24"/>
          <w:rtl w:val="0"/>
        </w:rPr>
        <w:t>A contratação será atendida pela seguinte dotação:</w:t>
      </w:r>
    </w:p>
    <w:tbl>
      <w:tblPr>
        <w:tblStyle w:val="28"/>
        <w:tblW w:w="9628" w:type="dxa"/>
        <w:tblInd w:w="0" w:type="dxa"/>
        <w:tblLayout w:type="fixed"/>
        <w:tblCellMar>
          <w:top w:w="15" w:type="dxa"/>
          <w:left w:w="15" w:type="dxa"/>
          <w:bottom w:w="15" w:type="dxa"/>
          <w:right w:w="15" w:type="dxa"/>
        </w:tblCellMar>
      </w:tblPr>
      <w:tblGrid>
        <w:gridCol w:w="2293"/>
        <w:gridCol w:w="7335"/>
      </w:tblGrid>
      <w:tr w14:paraId="52F7A688">
        <w:tblPrEx>
          <w:tblCellMar>
            <w:top w:w="15" w:type="dxa"/>
            <w:left w:w="15" w:type="dxa"/>
            <w:bottom w:w="15" w:type="dxa"/>
            <w:right w:w="15" w:type="dxa"/>
          </w:tblCellMar>
        </w:tblPrEx>
        <w:tc>
          <w:tcPr>
            <w:tcBorders>
              <w:top w:val="single" w:color="000000" w:sz="4" w:space="0"/>
              <w:left w:val="single" w:color="000000" w:sz="4" w:space="0"/>
              <w:bottom w:val="single" w:color="000000" w:sz="4" w:space="0"/>
              <w:right w:val="single" w:color="000000" w:sz="4" w:space="0"/>
            </w:tcBorders>
            <w:tcMar>
              <w:top w:w="0" w:type="dxa"/>
              <w:left w:w="70" w:type="dxa"/>
              <w:bottom w:w="0" w:type="dxa"/>
              <w:right w:w="70" w:type="dxa"/>
            </w:tcMar>
          </w:tcPr>
          <w:p w14:paraId="000000E9">
            <w:pPr>
              <w:spacing w:after="0" w:line="240" w:lineRule="auto"/>
              <w:jc w:val="center"/>
              <w:rPr>
                <w:rFonts w:ascii="Arial" w:hAnsi="Arial" w:eastAsia="Arial" w:cs="Arial"/>
                <w:sz w:val="24"/>
                <w:szCs w:val="24"/>
                <w:highlight w:val="yellow"/>
              </w:rPr>
            </w:pPr>
            <w:r>
              <w:rPr>
                <w:rFonts w:ascii="Arial" w:hAnsi="Arial" w:eastAsia="Arial" w:cs="Arial"/>
                <w:b/>
                <w:color w:val="000000"/>
                <w:sz w:val="24"/>
                <w:szCs w:val="24"/>
                <w:highlight w:val="yellow"/>
                <w:rtl w:val="0"/>
              </w:rPr>
              <w:t>Órgão:</w:t>
            </w:r>
          </w:p>
        </w:tc>
        <w:tc>
          <w:tcPr>
            <w:tcBorders>
              <w:top w:val="single" w:color="000000" w:sz="4" w:space="0"/>
              <w:left w:val="single" w:color="000000" w:sz="4" w:space="0"/>
              <w:bottom w:val="single" w:color="000000" w:sz="4" w:space="0"/>
              <w:right w:val="single" w:color="000000" w:sz="4" w:space="0"/>
            </w:tcBorders>
            <w:tcMar>
              <w:top w:w="0" w:type="dxa"/>
              <w:left w:w="70" w:type="dxa"/>
              <w:bottom w:w="0" w:type="dxa"/>
              <w:right w:w="70" w:type="dxa"/>
            </w:tcMar>
          </w:tcPr>
          <w:p w14:paraId="000000EA">
            <w:pPr>
              <w:spacing w:after="0" w:line="240" w:lineRule="auto"/>
              <w:rPr>
                <w:rFonts w:ascii="Arial" w:hAnsi="Arial" w:eastAsia="Arial" w:cs="Arial"/>
                <w:sz w:val="24"/>
                <w:szCs w:val="24"/>
                <w:highlight w:val="yellow"/>
              </w:rPr>
            </w:pPr>
            <w:r>
              <w:rPr>
                <w:rFonts w:ascii="Arial" w:hAnsi="Arial" w:eastAsia="Arial" w:cs="Arial"/>
                <w:color w:val="000000"/>
                <w:sz w:val="24"/>
                <w:szCs w:val="24"/>
                <w:highlight w:val="yellow"/>
                <w:rtl w:val="0"/>
              </w:rPr>
              <w:t>30.000-SECRETARIA MUNICIPAL DE EDUCAÇÃO</w:t>
            </w:r>
          </w:p>
        </w:tc>
      </w:tr>
      <w:tr w14:paraId="7A64D6C6">
        <w:tblPrEx>
          <w:tblCellMar>
            <w:top w:w="15" w:type="dxa"/>
            <w:left w:w="15" w:type="dxa"/>
            <w:bottom w:w="15" w:type="dxa"/>
            <w:right w:w="15" w:type="dxa"/>
          </w:tblCellMar>
        </w:tblPrEx>
        <w:tc>
          <w:tcPr>
            <w:tcBorders>
              <w:top w:val="single" w:color="000000" w:sz="4" w:space="0"/>
              <w:left w:val="single" w:color="000000" w:sz="4" w:space="0"/>
              <w:bottom w:val="single" w:color="000000" w:sz="4" w:space="0"/>
              <w:right w:val="single" w:color="000000" w:sz="4" w:space="0"/>
            </w:tcBorders>
            <w:tcMar>
              <w:top w:w="0" w:type="dxa"/>
              <w:left w:w="70" w:type="dxa"/>
              <w:bottom w:w="0" w:type="dxa"/>
              <w:right w:w="70" w:type="dxa"/>
            </w:tcMar>
          </w:tcPr>
          <w:p w14:paraId="000000EB">
            <w:pPr>
              <w:spacing w:after="0" w:line="240" w:lineRule="auto"/>
              <w:jc w:val="center"/>
              <w:rPr>
                <w:rFonts w:ascii="Arial" w:hAnsi="Arial" w:eastAsia="Arial" w:cs="Arial"/>
                <w:sz w:val="24"/>
                <w:szCs w:val="24"/>
                <w:highlight w:val="yellow"/>
              </w:rPr>
            </w:pPr>
            <w:r>
              <w:rPr>
                <w:rFonts w:ascii="Arial" w:hAnsi="Arial" w:eastAsia="Arial" w:cs="Arial"/>
                <w:b/>
                <w:color w:val="000000"/>
                <w:sz w:val="24"/>
                <w:szCs w:val="24"/>
                <w:highlight w:val="yellow"/>
                <w:rtl w:val="0"/>
              </w:rPr>
              <w:t>Unidade Orçamentária:</w:t>
            </w:r>
          </w:p>
        </w:tc>
        <w:tc>
          <w:tcPr>
            <w:tcBorders>
              <w:top w:val="single" w:color="000000" w:sz="4" w:space="0"/>
              <w:left w:val="single" w:color="000000" w:sz="4" w:space="0"/>
              <w:bottom w:val="single" w:color="000000" w:sz="4" w:space="0"/>
              <w:right w:val="single" w:color="000000" w:sz="4" w:space="0"/>
            </w:tcBorders>
            <w:tcMar>
              <w:top w:w="0" w:type="dxa"/>
              <w:left w:w="70" w:type="dxa"/>
              <w:bottom w:w="0" w:type="dxa"/>
              <w:right w:w="70" w:type="dxa"/>
            </w:tcMar>
          </w:tcPr>
          <w:p w14:paraId="000000EC">
            <w:pPr>
              <w:spacing w:after="0" w:line="240" w:lineRule="auto"/>
              <w:rPr>
                <w:rFonts w:ascii="Arial" w:hAnsi="Arial" w:eastAsia="Arial" w:cs="Arial"/>
                <w:sz w:val="24"/>
                <w:szCs w:val="24"/>
                <w:highlight w:val="yellow"/>
              </w:rPr>
            </w:pPr>
            <w:r>
              <w:rPr>
                <w:rFonts w:ascii="Arial" w:hAnsi="Arial" w:eastAsia="Arial" w:cs="Arial"/>
                <w:color w:val="000000"/>
                <w:sz w:val="24"/>
                <w:szCs w:val="24"/>
                <w:highlight w:val="yellow"/>
                <w:rtl w:val="0"/>
              </w:rPr>
              <w:t>30.100-FUNDO MUNICIPAL DE EDUCAÇÃO</w:t>
            </w:r>
          </w:p>
        </w:tc>
      </w:tr>
      <w:tr w14:paraId="36621EB1">
        <w:tblPrEx>
          <w:tblCellMar>
            <w:top w:w="15" w:type="dxa"/>
            <w:left w:w="15" w:type="dxa"/>
            <w:bottom w:w="15" w:type="dxa"/>
            <w:right w:w="15" w:type="dxa"/>
          </w:tblCellMar>
        </w:tblPrEx>
        <w:tc>
          <w:tcPr>
            <w:tcBorders>
              <w:top w:val="single" w:color="000000" w:sz="4" w:space="0"/>
              <w:left w:val="single" w:color="000000" w:sz="4" w:space="0"/>
              <w:bottom w:val="single" w:color="000000" w:sz="4" w:space="0"/>
              <w:right w:val="single" w:color="000000" w:sz="4" w:space="0"/>
            </w:tcBorders>
            <w:tcMar>
              <w:top w:w="0" w:type="dxa"/>
              <w:left w:w="70" w:type="dxa"/>
              <w:bottom w:w="0" w:type="dxa"/>
              <w:right w:w="70" w:type="dxa"/>
            </w:tcMar>
          </w:tcPr>
          <w:p w14:paraId="000000ED">
            <w:pPr>
              <w:spacing w:after="0" w:line="240" w:lineRule="auto"/>
              <w:jc w:val="center"/>
              <w:rPr>
                <w:rFonts w:ascii="Arial" w:hAnsi="Arial" w:eastAsia="Arial" w:cs="Arial"/>
                <w:sz w:val="24"/>
                <w:szCs w:val="24"/>
                <w:highlight w:val="yellow"/>
              </w:rPr>
            </w:pPr>
            <w:r>
              <w:rPr>
                <w:rFonts w:ascii="Arial" w:hAnsi="Arial" w:eastAsia="Arial" w:cs="Arial"/>
                <w:b/>
                <w:color w:val="000000"/>
                <w:sz w:val="24"/>
                <w:szCs w:val="24"/>
                <w:highlight w:val="yellow"/>
                <w:rtl w:val="0"/>
              </w:rPr>
              <w:t>Ação:</w:t>
            </w:r>
          </w:p>
        </w:tc>
        <w:tc>
          <w:tcPr>
            <w:tcBorders>
              <w:top w:val="single" w:color="000000" w:sz="4" w:space="0"/>
              <w:left w:val="single" w:color="000000" w:sz="4" w:space="0"/>
              <w:bottom w:val="single" w:color="000000" w:sz="4" w:space="0"/>
              <w:right w:val="single" w:color="000000" w:sz="4" w:space="0"/>
            </w:tcBorders>
            <w:tcMar>
              <w:top w:w="0" w:type="dxa"/>
              <w:left w:w="70" w:type="dxa"/>
              <w:bottom w:w="0" w:type="dxa"/>
              <w:right w:w="70" w:type="dxa"/>
            </w:tcMar>
          </w:tcPr>
          <w:p w14:paraId="000000EE">
            <w:pPr>
              <w:spacing w:after="0" w:line="240" w:lineRule="auto"/>
              <w:rPr>
                <w:rFonts w:ascii="Arial" w:hAnsi="Arial" w:eastAsia="Arial" w:cs="Arial"/>
                <w:sz w:val="24"/>
                <w:szCs w:val="24"/>
                <w:highlight w:val="yellow"/>
              </w:rPr>
            </w:pPr>
          </w:p>
        </w:tc>
      </w:tr>
      <w:tr w14:paraId="626F4E15">
        <w:tblPrEx>
          <w:tblCellMar>
            <w:top w:w="15" w:type="dxa"/>
            <w:left w:w="15" w:type="dxa"/>
            <w:bottom w:w="15" w:type="dxa"/>
            <w:right w:w="15" w:type="dxa"/>
          </w:tblCellMar>
        </w:tblPrEx>
        <w:tc>
          <w:tcPr>
            <w:tcBorders>
              <w:top w:val="single" w:color="000000" w:sz="4" w:space="0"/>
              <w:left w:val="single" w:color="000000" w:sz="4" w:space="0"/>
              <w:bottom w:val="single" w:color="000000" w:sz="4" w:space="0"/>
              <w:right w:val="single" w:color="000000" w:sz="4" w:space="0"/>
            </w:tcBorders>
            <w:tcMar>
              <w:top w:w="0" w:type="dxa"/>
              <w:left w:w="70" w:type="dxa"/>
              <w:bottom w:w="0" w:type="dxa"/>
              <w:right w:w="70" w:type="dxa"/>
            </w:tcMar>
          </w:tcPr>
          <w:p w14:paraId="000000EF">
            <w:pPr>
              <w:spacing w:after="0" w:line="240" w:lineRule="auto"/>
              <w:jc w:val="center"/>
              <w:rPr>
                <w:rFonts w:ascii="Arial" w:hAnsi="Arial" w:eastAsia="Arial" w:cs="Arial"/>
                <w:sz w:val="24"/>
                <w:szCs w:val="24"/>
                <w:highlight w:val="yellow"/>
              </w:rPr>
            </w:pPr>
            <w:r>
              <w:rPr>
                <w:rFonts w:ascii="Arial" w:hAnsi="Arial" w:eastAsia="Arial" w:cs="Arial"/>
                <w:b/>
                <w:color w:val="000000"/>
                <w:sz w:val="24"/>
                <w:szCs w:val="24"/>
                <w:highlight w:val="yellow"/>
                <w:rtl w:val="0"/>
              </w:rPr>
              <w:t>Elementos:</w:t>
            </w:r>
          </w:p>
        </w:tc>
        <w:tc>
          <w:tcPr>
            <w:tcBorders>
              <w:top w:val="single" w:color="000000" w:sz="4" w:space="0"/>
              <w:left w:val="single" w:color="000000" w:sz="4" w:space="0"/>
              <w:bottom w:val="single" w:color="000000" w:sz="4" w:space="0"/>
              <w:right w:val="single" w:color="000000" w:sz="4" w:space="0"/>
            </w:tcBorders>
            <w:tcMar>
              <w:top w:w="0" w:type="dxa"/>
              <w:left w:w="70" w:type="dxa"/>
              <w:bottom w:w="0" w:type="dxa"/>
              <w:right w:w="70" w:type="dxa"/>
            </w:tcMar>
          </w:tcPr>
          <w:p w14:paraId="000000F0">
            <w:pPr>
              <w:spacing w:after="0" w:line="240" w:lineRule="auto"/>
              <w:rPr>
                <w:rFonts w:ascii="Arial" w:hAnsi="Arial" w:eastAsia="Arial" w:cs="Arial"/>
                <w:sz w:val="24"/>
                <w:szCs w:val="24"/>
                <w:highlight w:val="yellow"/>
              </w:rPr>
            </w:pPr>
            <w:r>
              <w:rPr>
                <w:rFonts w:ascii="Arial" w:hAnsi="Arial" w:eastAsia="Arial" w:cs="Arial"/>
                <w:color w:val="000000"/>
                <w:sz w:val="24"/>
                <w:szCs w:val="24"/>
                <w:highlight w:val="yellow"/>
                <w:rtl w:val="0"/>
              </w:rPr>
              <w:t>33903200- Material, bem ou serviço para distribuição gratuita</w:t>
            </w:r>
          </w:p>
        </w:tc>
      </w:tr>
      <w:tr w14:paraId="2A236353">
        <w:tblPrEx>
          <w:tblCellMar>
            <w:top w:w="15" w:type="dxa"/>
            <w:left w:w="15" w:type="dxa"/>
            <w:bottom w:w="15" w:type="dxa"/>
            <w:right w:w="15" w:type="dxa"/>
          </w:tblCellMar>
        </w:tblPrEx>
        <w:tc>
          <w:tcPr>
            <w:tcBorders>
              <w:top w:val="single" w:color="000000" w:sz="4" w:space="0"/>
              <w:left w:val="single" w:color="000000" w:sz="4" w:space="0"/>
              <w:bottom w:val="single" w:color="000000" w:sz="4" w:space="0"/>
              <w:right w:val="single" w:color="000000" w:sz="4" w:space="0"/>
            </w:tcBorders>
            <w:tcMar>
              <w:top w:w="0" w:type="dxa"/>
              <w:left w:w="70" w:type="dxa"/>
              <w:bottom w:w="0" w:type="dxa"/>
              <w:right w:w="70" w:type="dxa"/>
            </w:tcMar>
          </w:tcPr>
          <w:p w14:paraId="000000F1">
            <w:pPr>
              <w:spacing w:after="0" w:line="240" w:lineRule="auto"/>
              <w:jc w:val="center"/>
              <w:rPr>
                <w:rFonts w:ascii="Arial" w:hAnsi="Arial" w:eastAsia="Arial" w:cs="Arial"/>
                <w:sz w:val="24"/>
                <w:szCs w:val="24"/>
                <w:highlight w:val="yellow"/>
              </w:rPr>
            </w:pPr>
            <w:r>
              <w:rPr>
                <w:rFonts w:ascii="Arial" w:hAnsi="Arial" w:eastAsia="Arial" w:cs="Arial"/>
                <w:b/>
                <w:color w:val="000000"/>
                <w:sz w:val="24"/>
                <w:szCs w:val="24"/>
                <w:highlight w:val="yellow"/>
                <w:rtl w:val="0"/>
              </w:rPr>
              <w:t>Recurso:</w:t>
            </w:r>
          </w:p>
        </w:tc>
        <w:tc>
          <w:tcPr>
            <w:tcBorders>
              <w:top w:val="single" w:color="000000" w:sz="4" w:space="0"/>
              <w:left w:val="single" w:color="000000" w:sz="4" w:space="0"/>
              <w:bottom w:val="single" w:color="000000" w:sz="4" w:space="0"/>
              <w:right w:val="single" w:color="000000" w:sz="4" w:space="0"/>
            </w:tcBorders>
            <w:tcMar>
              <w:top w:w="0" w:type="dxa"/>
              <w:left w:w="70" w:type="dxa"/>
              <w:bottom w:w="0" w:type="dxa"/>
              <w:right w:w="70" w:type="dxa"/>
            </w:tcMar>
          </w:tcPr>
          <w:p w14:paraId="000000F2">
            <w:pPr>
              <w:spacing w:after="0" w:line="240" w:lineRule="auto"/>
              <w:rPr>
                <w:rFonts w:ascii="Arial" w:hAnsi="Arial" w:eastAsia="Arial" w:cs="Arial"/>
                <w:sz w:val="24"/>
                <w:szCs w:val="24"/>
              </w:rPr>
            </w:pPr>
            <w:r>
              <w:rPr>
                <w:rFonts w:ascii="Arial" w:hAnsi="Arial" w:eastAsia="Arial" w:cs="Arial"/>
                <w:color w:val="000000"/>
                <w:sz w:val="24"/>
                <w:szCs w:val="24"/>
                <w:highlight w:val="yellow"/>
                <w:rtl w:val="0"/>
              </w:rPr>
              <w:t>RP/RV.</w:t>
            </w:r>
          </w:p>
        </w:tc>
      </w:tr>
    </w:tbl>
    <w:p w14:paraId="000000F3">
      <w:pPr>
        <w:pBdr>
          <w:top w:val="none" w:color="000000" w:sz="0" w:space="0"/>
          <w:left w:val="none" w:color="000000" w:sz="0" w:space="0"/>
          <w:bottom w:val="none" w:color="000000" w:sz="0" w:space="0"/>
          <w:right w:val="none" w:color="000000" w:sz="0" w:space="0"/>
          <w:between w:val="none" w:color="000000" w:sz="0" w:space="0"/>
        </w:pBdr>
        <w:jc w:val="both"/>
        <w:rPr>
          <w:rFonts w:ascii="Arial" w:hAnsi="Arial" w:eastAsia="Arial" w:cs="Arial"/>
          <w:color w:val="000000"/>
          <w:sz w:val="24"/>
          <w:szCs w:val="24"/>
        </w:rPr>
      </w:pPr>
    </w:p>
    <w:p w14:paraId="000000F4">
      <w:pPr>
        <w:numPr>
          <w:ilvl w:val="1"/>
          <w:numId w:val="3"/>
        </w:numPr>
        <w:pBdr>
          <w:top w:val="none" w:color="000000" w:sz="0" w:space="0"/>
          <w:left w:val="none" w:color="000000" w:sz="0" w:space="0"/>
          <w:bottom w:val="none" w:color="000000" w:sz="0" w:space="0"/>
          <w:right w:val="none" w:color="000000" w:sz="0" w:space="0"/>
          <w:between w:val="none" w:color="000000" w:sz="0" w:space="0"/>
        </w:pBdr>
        <w:ind w:left="2040" w:hanging="720"/>
        <w:jc w:val="both"/>
        <w:rPr>
          <w:rFonts w:ascii="Arial" w:hAnsi="Arial" w:eastAsia="Arial" w:cs="Arial"/>
          <w:color w:val="000000"/>
          <w:sz w:val="24"/>
          <w:szCs w:val="24"/>
        </w:rPr>
      </w:pPr>
      <w:r>
        <w:rPr>
          <w:rFonts w:ascii="Arial" w:hAnsi="Arial" w:eastAsia="Arial" w:cs="Arial"/>
          <w:color w:val="000000"/>
          <w:sz w:val="24"/>
          <w:szCs w:val="24"/>
          <w:rtl w:val="0"/>
        </w:rPr>
        <w:t xml:space="preserve">A dotação relativa aos exercícios financeiros subsequentes será indicada após aprovação da Lei Orçamentária respectiva e liberação dos créditos correspondentes, mediante apostilamento. </w:t>
      </w:r>
    </w:p>
    <w:p w14:paraId="000000F5">
      <w:pPr>
        <w:numPr>
          <w:ilvl w:val="0"/>
          <w:numId w:val="3"/>
        </w:numPr>
        <w:pBdr>
          <w:top w:val="none" w:color="000000" w:sz="0" w:space="0"/>
          <w:left w:val="none" w:color="000000" w:sz="0" w:space="0"/>
          <w:bottom w:val="none" w:color="000000" w:sz="0" w:space="0"/>
          <w:right w:val="none" w:color="000000" w:sz="0" w:space="0"/>
          <w:between w:val="none" w:color="000000" w:sz="0" w:space="0"/>
        </w:pBdr>
        <w:ind w:left="0" w:right="-81" w:firstLine="0"/>
        <w:jc w:val="both"/>
        <w:rPr>
          <w:rFonts w:ascii="Arial" w:hAnsi="Arial" w:eastAsia="Arial" w:cs="Arial"/>
          <w:color w:val="000000"/>
          <w:sz w:val="24"/>
          <w:szCs w:val="24"/>
        </w:rPr>
      </w:pPr>
      <w:r>
        <w:rPr>
          <w:rFonts w:ascii="Arial" w:hAnsi="Arial" w:eastAsia="Arial" w:cs="Arial"/>
          <w:b/>
          <w:color w:val="000000"/>
          <w:sz w:val="24"/>
          <w:szCs w:val="24"/>
          <w:rtl w:val="0"/>
        </w:rPr>
        <w:t>DO FORO:</w:t>
      </w:r>
    </w:p>
    <w:p w14:paraId="000000F6">
      <w:pPr>
        <w:ind w:right="-81"/>
        <w:jc w:val="both"/>
        <w:rPr>
          <w:rFonts w:ascii="Arial" w:hAnsi="Arial" w:eastAsia="Arial" w:cs="Arial"/>
          <w:sz w:val="24"/>
          <w:szCs w:val="24"/>
        </w:rPr>
      </w:pPr>
      <w:r>
        <w:rPr>
          <w:rFonts w:ascii="Arial" w:hAnsi="Arial" w:eastAsia="Arial" w:cs="Arial"/>
          <w:sz w:val="24"/>
          <w:szCs w:val="24"/>
          <w:rtl w:val="0"/>
        </w:rPr>
        <w:tab/>
      </w:r>
      <w:r>
        <w:rPr>
          <w:rFonts w:ascii="Arial" w:hAnsi="Arial" w:eastAsia="Arial" w:cs="Arial"/>
          <w:sz w:val="24"/>
          <w:szCs w:val="24"/>
          <w:rtl w:val="0"/>
        </w:rPr>
        <w:t>Para dirimir quaisquer dúvidas decorrentes deste instrumento, as partes elegem o Foro da Comarca de Chorrochó-BA, com renúncia expressa a qualquer outro, por mais privilegiado que seja.</w:t>
      </w:r>
    </w:p>
    <w:p w14:paraId="000000F7">
      <w:pPr>
        <w:jc w:val="center"/>
        <w:rPr>
          <w:rFonts w:ascii="Arial" w:hAnsi="Arial" w:eastAsia="Arial" w:cs="Arial"/>
          <w:sz w:val="24"/>
          <w:szCs w:val="24"/>
        </w:rPr>
      </w:pPr>
      <w:r>
        <w:rPr>
          <w:rFonts w:ascii="Arial" w:hAnsi="Arial" w:eastAsia="Arial" w:cs="Arial"/>
          <w:sz w:val="24"/>
          <w:szCs w:val="24"/>
          <w:rtl w:val="0"/>
        </w:rPr>
        <w:t xml:space="preserve">Macururé, </w:t>
      </w:r>
      <w:r>
        <w:rPr>
          <w:rFonts w:hint="default" w:ascii="Arial" w:hAnsi="Arial" w:eastAsia="Arial" w:cs="Arial"/>
          <w:sz w:val="24"/>
          <w:szCs w:val="24"/>
          <w:rtl w:val="0"/>
          <w:lang w:val="pt-BR"/>
        </w:rPr>
        <w:t>12</w:t>
      </w:r>
      <w:r>
        <w:rPr>
          <w:rFonts w:ascii="Arial" w:hAnsi="Arial" w:eastAsia="Arial" w:cs="Arial"/>
          <w:sz w:val="24"/>
          <w:szCs w:val="24"/>
          <w:rtl w:val="0"/>
        </w:rPr>
        <w:t xml:space="preserve"> de </w:t>
      </w:r>
      <w:r>
        <w:rPr>
          <w:rFonts w:hint="default" w:ascii="Arial" w:hAnsi="Arial" w:eastAsia="Arial" w:cs="Arial"/>
          <w:sz w:val="24"/>
          <w:szCs w:val="24"/>
          <w:rtl w:val="0"/>
          <w:lang w:val="pt-BR"/>
        </w:rPr>
        <w:t>fevereiro</w:t>
      </w:r>
      <w:r>
        <w:rPr>
          <w:rFonts w:ascii="Arial" w:hAnsi="Arial" w:eastAsia="Arial" w:cs="Arial"/>
          <w:sz w:val="24"/>
          <w:szCs w:val="24"/>
          <w:rtl w:val="0"/>
        </w:rPr>
        <w:t xml:space="preserve"> de 202</w:t>
      </w:r>
      <w:r>
        <w:rPr>
          <w:rFonts w:hint="default" w:ascii="Arial" w:hAnsi="Arial" w:eastAsia="Arial" w:cs="Arial"/>
          <w:sz w:val="24"/>
          <w:szCs w:val="24"/>
          <w:rtl w:val="0"/>
          <w:lang w:val="pt-BR"/>
        </w:rPr>
        <w:t>5</w:t>
      </w:r>
      <w:bookmarkStart w:id="2" w:name="_GoBack"/>
      <w:bookmarkEnd w:id="2"/>
      <w:r>
        <w:rPr>
          <w:rFonts w:ascii="Arial" w:hAnsi="Arial" w:eastAsia="Arial" w:cs="Arial"/>
          <w:sz w:val="24"/>
          <w:szCs w:val="24"/>
          <w:rtl w:val="0"/>
        </w:rPr>
        <w:t>.</w:t>
      </w:r>
    </w:p>
    <w:p w14:paraId="000000F8">
      <w:pPr>
        <w:ind w:right="-81"/>
        <w:jc w:val="both"/>
        <w:rPr>
          <w:rFonts w:ascii="Arial" w:hAnsi="Arial" w:eastAsia="Arial" w:cs="Arial"/>
          <w:sz w:val="24"/>
          <w:szCs w:val="24"/>
        </w:rPr>
      </w:pPr>
      <w:r>
        <w:rPr>
          <w:rFonts w:ascii="Arial" w:hAnsi="Arial" w:eastAsia="Arial" w:cs="Arial"/>
          <w:b/>
          <w:sz w:val="24"/>
          <w:szCs w:val="24"/>
          <w:rtl w:val="0"/>
        </w:rPr>
        <w:tab/>
      </w:r>
    </w:p>
    <w:p w14:paraId="000000F9">
      <w:pPr>
        <w:widowControl w:val="0"/>
        <w:spacing w:after="0" w:line="240" w:lineRule="auto"/>
        <w:ind w:right="-81"/>
        <w:jc w:val="center"/>
        <w:rPr>
          <w:rFonts w:ascii="Arial" w:hAnsi="Arial" w:eastAsia="Arial" w:cs="Arial"/>
          <w:b/>
          <w:sz w:val="24"/>
          <w:szCs w:val="24"/>
        </w:rPr>
      </w:pPr>
      <w:r>
        <w:rPr>
          <w:rFonts w:ascii="Arial" w:hAnsi="Arial" w:eastAsia="Arial" w:cs="Arial"/>
          <w:b/>
          <w:sz w:val="24"/>
          <w:szCs w:val="24"/>
          <w:rtl w:val="0"/>
        </w:rPr>
        <w:t>FUNDO MUNICIPAL DE EDUCAÇÃO, CULTURA, ESPORTE E LAZER.</w:t>
      </w:r>
    </w:p>
    <w:p w14:paraId="000000FA">
      <w:pPr>
        <w:widowControl w:val="0"/>
        <w:spacing w:after="0" w:line="240" w:lineRule="auto"/>
        <w:ind w:right="-81"/>
        <w:jc w:val="center"/>
        <w:rPr>
          <w:rFonts w:ascii="Arial" w:hAnsi="Arial" w:eastAsia="Arial" w:cs="Arial"/>
          <w:b/>
          <w:sz w:val="24"/>
          <w:szCs w:val="24"/>
        </w:rPr>
      </w:pPr>
      <w:r>
        <w:rPr>
          <w:rFonts w:ascii="Arial" w:hAnsi="Arial" w:eastAsia="Arial" w:cs="Arial"/>
          <w:b/>
          <w:sz w:val="24"/>
          <w:szCs w:val="24"/>
          <w:rtl w:val="0"/>
        </w:rPr>
        <w:t>CNPJ nº 31.947.840/0001-90.</w:t>
      </w:r>
    </w:p>
    <w:p w14:paraId="000000FB">
      <w:pPr>
        <w:widowControl w:val="0"/>
        <w:spacing w:after="0" w:line="240" w:lineRule="auto"/>
        <w:ind w:right="-81"/>
        <w:jc w:val="center"/>
        <w:rPr>
          <w:rFonts w:ascii="Arial" w:hAnsi="Arial" w:eastAsia="Arial" w:cs="Arial"/>
          <w:b/>
          <w:sz w:val="24"/>
          <w:szCs w:val="24"/>
        </w:rPr>
      </w:pPr>
      <w:r>
        <w:rPr>
          <w:rFonts w:ascii="Arial" w:hAnsi="Arial" w:eastAsia="Arial" w:cs="Arial"/>
          <w:b/>
          <w:sz w:val="24"/>
          <w:szCs w:val="24"/>
          <w:rtl w:val="0"/>
        </w:rPr>
        <w:t>Marcos Alves dos Santos.</w:t>
      </w:r>
    </w:p>
    <w:p w14:paraId="000000FC">
      <w:pPr>
        <w:widowControl w:val="0"/>
        <w:spacing w:after="0" w:line="240" w:lineRule="auto"/>
        <w:ind w:right="-81"/>
        <w:jc w:val="center"/>
        <w:rPr>
          <w:rFonts w:ascii="Arial" w:hAnsi="Arial" w:eastAsia="Arial" w:cs="Arial"/>
          <w:sz w:val="28"/>
          <w:szCs w:val="28"/>
          <w:u w:val="single"/>
        </w:rPr>
      </w:pPr>
      <w:r>
        <w:rPr>
          <w:rFonts w:ascii="Arial" w:hAnsi="Arial" w:eastAsia="Arial" w:cs="Arial"/>
          <w:b/>
          <w:sz w:val="24"/>
          <w:szCs w:val="24"/>
          <w:rtl w:val="0"/>
        </w:rPr>
        <w:t>Secretário de Educação, esporte e lazer.</w:t>
      </w:r>
    </w:p>
    <w:sectPr>
      <w:headerReference r:id="rId5" w:type="default"/>
      <w:footerReference r:id="rId6" w:type="default"/>
      <w:pgSz w:w="11906" w:h="16838"/>
      <w:pgMar w:top="2268" w:right="1134" w:bottom="1134" w:left="1134" w:header="709" w:footer="709"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Georgia">
    <w:panose1 w:val="02040502050405020303"/>
    <w:charset w:val="00"/>
    <w:family w:val="auto"/>
    <w:pitch w:val="default"/>
    <w:sig w:usb0="00000287" w:usb1="00000000" w:usb2="00000000" w:usb3="00000000" w:csb0="2000009F" w:csb1="00000000"/>
  </w:font>
  <w:font w:name="Arial Narrow">
    <w:panose1 w:val="020B0606020202030204"/>
    <w:charset w:val="00"/>
    <w:family w:val="auto"/>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102">
    <w:pPr>
      <w:tabs>
        <w:tab w:val="center" w:pos="4252"/>
        <w:tab w:val="right" w:pos="8504"/>
      </w:tabs>
      <w:spacing w:after="0" w:line="240" w:lineRule="auto"/>
      <w:jc w:val="center"/>
      <w:rPr>
        <w:rFonts w:ascii="Arial" w:hAnsi="Arial" w:eastAsia="Arial" w:cs="Arial"/>
        <w:sz w:val="16"/>
        <w:szCs w:val="16"/>
      </w:rPr>
    </w:pPr>
    <w:r>
      <w:rPr>
        <w:rFonts w:ascii="Arial" w:hAnsi="Arial" w:eastAsia="Arial" w:cs="Arial"/>
        <w:sz w:val="16"/>
        <w:szCs w:val="16"/>
        <w:rtl w:val="0"/>
      </w:rPr>
      <w:t xml:space="preserve"> </w:t>
    </w:r>
  </w:p>
  <w:p w14:paraId="00000103">
    <w:pPr>
      <w:tabs>
        <w:tab w:val="center" w:pos="4252"/>
        <w:tab w:val="right" w:pos="8504"/>
      </w:tabs>
      <w:spacing w:after="0" w:line="240" w:lineRule="auto"/>
      <w:jc w:val="center"/>
      <w:rPr>
        <w:rFonts w:ascii="Arial" w:hAnsi="Arial" w:eastAsia="Arial" w:cs="Arial"/>
        <w:sz w:val="16"/>
        <w:szCs w:val="16"/>
      </w:rPr>
    </w:pPr>
    <w:r>
      <w:rPr>
        <w:rFonts w:ascii="Arial" w:hAnsi="Arial" w:eastAsia="Arial" w:cs="Arial"/>
        <w:b/>
        <w:sz w:val="16"/>
        <w:szCs w:val="16"/>
        <w:rtl w:val="0"/>
      </w:rPr>
      <w:t>pág.</w:t>
    </w:r>
    <w:r>
      <w:rPr>
        <w:rFonts w:ascii="Arial" w:hAnsi="Arial" w:eastAsia="Arial" w:cs="Arial"/>
        <w:sz w:val="16"/>
        <w:szCs w:val="16"/>
        <w:rtl w:val="0"/>
      </w:rPr>
      <w:t xml:space="preserve"> </w:t>
    </w:r>
    <w:r>
      <w:rPr>
        <w:rFonts w:ascii="Arial" w:hAnsi="Arial" w:eastAsia="Arial" w:cs="Arial"/>
        <w:b/>
        <w:color w:val="000000"/>
        <w:sz w:val="16"/>
        <w:szCs w:val="16"/>
      </w:rPr>
      <w:fldChar w:fldCharType="begin"/>
    </w:r>
    <w:r>
      <w:rPr>
        <w:rFonts w:ascii="Arial" w:hAnsi="Arial" w:eastAsia="Arial" w:cs="Arial"/>
        <w:b/>
        <w:color w:val="000000"/>
        <w:sz w:val="16"/>
        <w:szCs w:val="16"/>
      </w:rPr>
      <w:instrText xml:space="preserve">PAGE</w:instrText>
    </w:r>
    <w:r>
      <w:rPr>
        <w:rFonts w:ascii="Arial" w:hAnsi="Arial" w:eastAsia="Arial" w:cs="Arial"/>
        <w:b/>
        <w:color w:val="000000"/>
        <w:sz w:val="16"/>
        <w:szCs w:val="16"/>
      </w:rPr>
      <w:fldChar w:fldCharType="separate"/>
    </w:r>
    <w:r>
      <w:rPr>
        <w:rFonts w:ascii="Arial" w:hAnsi="Arial" w:eastAsia="Arial" w:cs="Arial"/>
        <w:b/>
        <w:color w:val="000000"/>
        <w:sz w:val="16"/>
        <w:szCs w:val="16"/>
      </w:rPr>
      <w:fldChar w:fldCharType="end"/>
    </w:r>
    <w:r>
      <w:rPr>
        <w:rFonts w:ascii="Arial" w:hAnsi="Arial" w:eastAsia="Arial" w:cs="Arial"/>
        <w:b/>
        <w:color w:val="000000"/>
        <w:sz w:val="16"/>
        <w:szCs w:val="16"/>
        <w:rtl w:val="0"/>
      </w:rPr>
      <w:t xml:space="preserve"> / </w:t>
    </w:r>
    <w:r>
      <w:rPr>
        <w:rFonts w:ascii="Arial" w:hAnsi="Arial" w:eastAsia="Arial" w:cs="Arial"/>
        <w:b/>
        <w:sz w:val="16"/>
        <w:szCs w:val="16"/>
      </w:rPr>
      <w:fldChar w:fldCharType="begin"/>
    </w:r>
    <w:r>
      <w:rPr>
        <w:rFonts w:ascii="Arial" w:hAnsi="Arial" w:eastAsia="Arial" w:cs="Arial"/>
        <w:b/>
        <w:sz w:val="16"/>
        <w:szCs w:val="16"/>
      </w:rPr>
      <w:instrText xml:space="preserve">NUMPAGES</w:instrText>
    </w:r>
    <w:r>
      <w:rPr>
        <w:rFonts w:ascii="Arial" w:hAnsi="Arial" w:eastAsia="Arial" w:cs="Arial"/>
        <w:b/>
        <w:sz w:val="16"/>
        <w:szCs w:val="16"/>
      </w:rPr>
      <w:fldChar w:fldCharType="separate"/>
    </w:r>
    <w:r>
      <w:rPr>
        <w:rFonts w:ascii="Arial" w:hAnsi="Arial" w:eastAsia="Arial" w:cs="Arial"/>
        <w:b/>
        <w:sz w:val="16"/>
        <w:szCs w:val="16"/>
      </w:rPr>
      <w:fldChar w:fldCharType="end"/>
    </w:r>
    <w:r>
      <w:rPr>
        <w:rFonts w:ascii="Arial" w:hAnsi="Arial" w:eastAsia="Arial" w:cs="Arial"/>
        <w:b/>
        <w:sz w:val="16"/>
        <w:szCs w:val="16"/>
        <w:rtl w:val="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FD">
    <w:pPr>
      <w:widowControl w:val="0"/>
      <w:pBdr>
        <w:top w:val="none" w:color="000000" w:sz="0" w:space="0"/>
        <w:left w:val="none" w:color="000000" w:sz="0" w:space="0"/>
        <w:bottom w:val="none" w:color="000000" w:sz="0" w:space="0"/>
        <w:right w:val="none" w:color="000000" w:sz="0" w:space="0"/>
        <w:between w:val="none" w:color="000000" w:sz="0" w:space="0"/>
      </w:pBdr>
      <w:spacing w:after="0"/>
      <w:rPr>
        <w:rFonts w:ascii="Arial" w:hAnsi="Arial" w:eastAsia="Arial" w:cs="Arial"/>
        <w:sz w:val="28"/>
        <w:szCs w:val="28"/>
        <w:u w:val="single"/>
      </w:rPr>
    </w:pPr>
  </w:p>
  <w:tbl>
    <w:tblPr>
      <w:tblStyle w:val="29"/>
      <w:tblW w:w="8836" w:type="dxa"/>
      <w:tblInd w:w="802" w:type="dxa"/>
      <w:tblLayout w:type="fixed"/>
      <w:tblCellMar>
        <w:top w:w="0" w:type="dxa"/>
        <w:left w:w="115" w:type="dxa"/>
        <w:bottom w:w="0" w:type="dxa"/>
        <w:right w:w="115" w:type="dxa"/>
      </w:tblCellMar>
    </w:tblPr>
    <w:tblGrid>
      <w:gridCol w:w="8836"/>
    </w:tblGrid>
    <w:tr w14:paraId="484A873D">
      <w:tblPrEx>
        <w:tblCellMar>
          <w:top w:w="0" w:type="dxa"/>
          <w:left w:w="115" w:type="dxa"/>
          <w:bottom w:w="0" w:type="dxa"/>
          <w:right w:w="115" w:type="dxa"/>
        </w:tblCellMar>
      </w:tblPrEx>
      <w:trPr>
        <w:trHeight w:val="1562" w:hRule="atLeast"/>
      </w:trPr>
      <w:tc>
        <w:tcPr>
          <w:tcMar>
            <w:top w:w="0" w:type="dxa"/>
            <w:left w:w="115" w:type="dxa"/>
            <w:bottom w:w="0" w:type="dxa"/>
            <w:right w:w="115" w:type="dxa"/>
          </w:tcMar>
        </w:tcPr>
        <w:p w14:paraId="000000FE">
          <w:pPr>
            <w:pBdr>
              <w:top w:val="none" w:color="000000" w:sz="0" w:space="0"/>
              <w:left w:val="none" w:color="000000" w:sz="0" w:space="0"/>
              <w:bottom w:val="none" w:color="000000" w:sz="0" w:space="0"/>
              <w:right w:val="none" w:color="000000" w:sz="0" w:space="0"/>
              <w:between w:val="none" w:color="000000" w:sz="0" w:space="0"/>
            </w:pBdr>
            <w:tabs>
              <w:tab w:val="center" w:pos="4419"/>
              <w:tab w:val="right" w:pos="8838"/>
            </w:tabs>
            <w:ind w:hanging="2"/>
          </w:pPr>
          <w:r>
            <w:drawing>
              <wp:anchor distT="0" distB="0" distL="114300" distR="114300" simplePos="0" relativeHeight="251659264" behindDoc="0" locked="0" layoutInCell="1" allowOverlap="1">
                <wp:simplePos x="0" y="0"/>
                <wp:positionH relativeFrom="column">
                  <wp:posOffset>4106545</wp:posOffset>
                </wp:positionH>
                <wp:positionV relativeFrom="paragraph">
                  <wp:posOffset>-236220</wp:posOffset>
                </wp:positionV>
                <wp:extent cx="973455" cy="1045210"/>
                <wp:effectExtent l="0" t="0" r="0" b="0"/>
                <wp:wrapNone/>
                <wp:docPr id="7" name="image1.jpg" descr="Uma imagem contendo Texto&#10;&#10;Descrição gerada automaticamente"/>
                <wp:cNvGraphicFramePr/>
                <a:graphic xmlns:a="http://schemas.openxmlformats.org/drawingml/2006/main">
                  <a:graphicData uri="http://schemas.openxmlformats.org/drawingml/2006/picture">
                    <pic:pic xmlns:pic="http://schemas.openxmlformats.org/drawingml/2006/picture">
                      <pic:nvPicPr>
                        <pic:cNvPr id="7" name="image1.jpg" descr="Uma imagem contendo Texto&#10;&#10;Descrição gerada automaticamente"/>
                        <pic:cNvPicPr preferRelativeResize="0"/>
                      </pic:nvPicPr>
                      <pic:blipFill>
                        <a:blip r:embed="rId1"/>
                        <a:srcRect r="70214"/>
                        <a:stretch>
                          <a:fillRect/>
                        </a:stretch>
                      </pic:blipFill>
                      <pic:spPr>
                        <a:xfrm>
                          <a:off x="0" y="0"/>
                          <a:ext cx="973455" cy="1045210"/>
                        </a:xfrm>
                        <a:prstGeom prst="rect">
                          <a:avLst/>
                        </a:prstGeom>
                      </pic:spPr>
                    </pic:pic>
                  </a:graphicData>
                </a:graphic>
              </wp:anchor>
            </w:drawing>
          </w:r>
          <w:r>
            <w:drawing>
              <wp:anchor distT="0" distB="0" distL="114300" distR="114300" simplePos="0" relativeHeight="251659264" behindDoc="0" locked="0" layoutInCell="1" allowOverlap="1">
                <wp:simplePos x="0" y="0"/>
                <wp:positionH relativeFrom="column">
                  <wp:posOffset>1207770</wp:posOffset>
                </wp:positionH>
                <wp:positionV relativeFrom="paragraph">
                  <wp:posOffset>-236220</wp:posOffset>
                </wp:positionV>
                <wp:extent cx="2622550" cy="984885"/>
                <wp:effectExtent l="0" t="0" r="0" b="0"/>
                <wp:wrapNone/>
                <wp:docPr id="8" name="image1.jpg" descr="Uma imagem contendo Texto&#10;&#10;Descrição gerada automaticamente"/>
                <wp:cNvGraphicFramePr/>
                <a:graphic xmlns:a="http://schemas.openxmlformats.org/drawingml/2006/main">
                  <a:graphicData uri="http://schemas.openxmlformats.org/drawingml/2006/picture">
                    <pic:pic xmlns:pic="http://schemas.openxmlformats.org/drawingml/2006/picture">
                      <pic:nvPicPr>
                        <pic:cNvPr id="8" name="image1.jpg" descr="Uma imagem contendo Texto&#10;&#10;Descrição gerada automaticamente"/>
                        <pic:cNvPicPr preferRelativeResize="0"/>
                      </pic:nvPicPr>
                      <pic:blipFill>
                        <a:blip r:embed="rId1"/>
                        <a:srcRect l="27716"/>
                        <a:stretch>
                          <a:fillRect/>
                        </a:stretch>
                      </pic:blipFill>
                      <pic:spPr>
                        <a:xfrm>
                          <a:off x="0" y="0"/>
                          <a:ext cx="2622550" cy="984885"/>
                        </a:xfrm>
                        <a:prstGeom prst="rect">
                          <a:avLst/>
                        </a:prstGeom>
                      </pic:spPr>
                    </pic:pic>
                  </a:graphicData>
                </a:graphic>
              </wp:anchor>
            </w:drawing>
          </w:r>
          <w:r>
            <w:drawing>
              <wp:anchor distT="0" distB="0" distL="114300" distR="114300" simplePos="0" relativeHeight="251659264" behindDoc="0" locked="0" layoutInCell="1" allowOverlap="1">
                <wp:simplePos x="0" y="0"/>
                <wp:positionH relativeFrom="column">
                  <wp:posOffset>88265</wp:posOffset>
                </wp:positionH>
                <wp:positionV relativeFrom="paragraph">
                  <wp:posOffset>-344170</wp:posOffset>
                </wp:positionV>
                <wp:extent cx="925195" cy="1228725"/>
                <wp:effectExtent l="0" t="0" r="0" b="0"/>
                <wp:wrapNone/>
                <wp:docPr id="9" name="image2.png" descr="Foto preta e branca de relógio ao fundo&#10;&#10;Descrição gerada automaticamente com confiança baixa"/>
                <wp:cNvGraphicFramePr/>
                <a:graphic xmlns:a="http://schemas.openxmlformats.org/drawingml/2006/main">
                  <a:graphicData uri="http://schemas.openxmlformats.org/drawingml/2006/picture">
                    <pic:pic xmlns:pic="http://schemas.openxmlformats.org/drawingml/2006/picture">
                      <pic:nvPicPr>
                        <pic:cNvPr id="9" name="image2.png" descr="Foto preta e branca de relógio ao fundo&#10;&#10;Descrição gerada automaticamente com confiança baixa"/>
                        <pic:cNvPicPr preferRelativeResize="0"/>
                      </pic:nvPicPr>
                      <pic:blipFill>
                        <a:blip r:embed="rId2"/>
                        <a:srcRect/>
                        <a:stretch>
                          <a:fillRect/>
                        </a:stretch>
                      </pic:blipFill>
                      <pic:spPr>
                        <a:xfrm>
                          <a:off x="0" y="0"/>
                          <a:ext cx="925195" cy="1228725"/>
                        </a:xfrm>
                        <a:prstGeom prst="rect">
                          <a:avLst/>
                        </a:prstGeom>
                      </pic:spPr>
                    </pic:pic>
                  </a:graphicData>
                </a:graphic>
              </wp:anchor>
            </w:drawing>
          </w:r>
        </w:p>
        <w:p w14:paraId="000000FF">
          <w:pPr>
            <w:pBdr>
              <w:top w:val="none" w:color="auto" w:sz="0" w:space="0"/>
              <w:left w:val="none" w:color="auto" w:sz="0" w:space="0"/>
              <w:bottom w:val="none" w:color="auto" w:sz="0" w:space="0"/>
              <w:right w:val="none" w:color="auto" w:sz="0" w:space="0"/>
              <w:between w:val="none" w:color="auto" w:sz="0" w:space="0"/>
            </w:pBdr>
            <w:tabs>
              <w:tab w:val="center" w:pos="4252"/>
              <w:tab w:val="right" w:pos="8504"/>
            </w:tabs>
            <w:spacing w:after="0" w:line="240" w:lineRule="auto"/>
            <w:rPr>
              <w:color w:val="000000"/>
            </w:rPr>
          </w:pPr>
        </w:p>
        <w:p w14:paraId="00000100">
          <w:pPr>
            <w:spacing w:before="20" w:after="20" w:line="240" w:lineRule="auto"/>
            <w:rPr>
              <w:rFonts w:ascii="Arial" w:hAnsi="Arial" w:eastAsia="Arial" w:cs="Arial"/>
              <w:b/>
              <w:sz w:val="10"/>
              <w:szCs w:val="10"/>
            </w:rPr>
          </w:pPr>
        </w:p>
      </w:tc>
    </w:tr>
  </w:tbl>
  <w:p w14:paraId="00000101">
    <w:pPr>
      <w:pBdr>
        <w:top w:val="none" w:color="000000" w:sz="0" w:space="0"/>
        <w:left w:val="none" w:color="000000" w:sz="0" w:space="0"/>
        <w:bottom w:val="none" w:color="000000" w:sz="0" w:space="0"/>
        <w:right w:val="none" w:color="000000" w:sz="0" w:space="0"/>
        <w:between w:val="none" w:color="000000" w:sz="0" w:space="0"/>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3"/>
      <w:numFmt w:val="decimal"/>
      <w:lvlText w:val="%1."/>
      <w:lvlJc w:val="left"/>
      <w:pPr>
        <w:ind w:left="480" w:hanging="480"/>
      </w:pPr>
    </w:lvl>
    <w:lvl w:ilvl="1" w:tentative="0">
      <w:start w:val="5"/>
      <w:numFmt w:val="decimal"/>
      <w:lvlText w:val="%1.%2."/>
      <w:lvlJc w:val="left"/>
      <w:pPr>
        <w:ind w:left="480" w:hanging="480"/>
      </w:pPr>
      <w:rPr>
        <w:b/>
      </w:rPr>
    </w:lvl>
    <w:lvl w:ilvl="2" w:tentative="0">
      <w:start w:val="1"/>
      <w:numFmt w:val="decimal"/>
      <w:lvlText w:val="%1.%2.%3."/>
      <w:lvlJc w:val="left"/>
      <w:pPr>
        <w:ind w:left="720" w:hanging="720"/>
      </w:pPr>
      <w:rPr>
        <w:b/>
      </w:r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440" w:hanging="1440"/>
      </w:pPr>
    </w:lvl>
    <w:lvl w:ilvl="7" w:tentative="0">
      <w:start w:val="1"/>
      <w:numFmt w:val="decimal"/>
      <w:lvlText w:val="%1.%2.%3.%4.%5.%6.%7.%8."/>
      <w:lvlJc w:val="left"/>
      <w:pPr>
        <w:ind w:left="1440" w:hanging="1440"/>
      </w:pPr>
    </w:lvl>
    <w:lvl w:ilvl="8" w:tentative="0">
      <w:start w:val="1"/>
      <w:numFmt w:val="decimal"/>
      <w:lvlText w:val="%1.%2.%3.%4.%5.%6.%7.%8.%9."/>
      <w:lvlJc w:val="left"/>
      <w:pPr>
        <w:ind w:left="1800" w:hanging="1800"/>
      </w:pPr>
    </w:lvl>
  </w:abstractNum>
  <w:abstractNum w:abstractNumId="1">
    <w:nsid w:val="BF205925"/>
    <w:multiLevelType w:val="multilevel"/>
    <w:tmpl w:val="BF205925"/>
    <w:lvl w:ilvl="0" w:tentative="0">
      <w:start w:val="13"/>
      <w:numFmt w:val="decimal"/>
      <w:lvlText w:val="%1."/>
      <w:lvlJc w:val="left"/>
      <w:pPr>
        <w:ind w:left="660" w:hanging="660"/>
      </w:pPr>
      <w:rPr>
        <w:color w:val="000000"/>
      </w:rPr>
    </w:lvl>
    <w:lvl w:ilvl="1" w:tentative="0">
      <w:start w:val="2"/>
      <w:numFmt w:val="decimal"/>
      <w:lvlText w:val="%1.%2."/>
      <w:lvlJc w:val="left"/>
      <w:pPr>
        <w:ind w:left="660" w:hanging="660"/>
      </w:pPr>
      <w:rPr>
        <w:color w:val="000000"/>
      </w:rPr>
    </w:lvl>
    <w:lvl w:ilvl="2" w:tentative="0">
      <w:start w:val="4"/>
      <w:numFmt w:val="decimal"/>
      <w:lvlText w:val="%1.%2.%3."/>
      <w:lvlJc w:val="left"/>
      <w:pPr>
        <w:ind w:left="720" w:hanging="720"/>
      </w:pPr>
      <w:rPr>
        <w:b/>
        <w:color w:val="000000"/>
      </w:rPr>
    </w:lvl>
    <w:lvl w:ilvl="3" w:tentative="0">
      <w:start w:val="1"/>
      <w:numFmt w:val="decimal"/>
      <w:lvlText w:val="%1.%2.%3.%4."/>
      <w:lvlJc w:val="left"/>
      <w:pPr>
        <w:ind w:left="720" w:hanging="720"/>
      </w:pPr>
      <w:rPr>
        <w:color w:val="000000"/>
      </w:rPr>
    </w:lvl>
    <w:lvl w:ilvl="4" w:tentative="0">
      <w:start w:val="1"/>
      <w:numFmt w:val="decimal"/>
      <w:lvlText w:val="%1.%2.%3.%4.%5."/>
      <w:lvlJc w:val="left"/>
      <w:pPr>
        <w:ind w:left="1080" w:hanging="1080"/>
      </w:pPr>
      <w:rPr>
        <w:color w:val="000000"/>
      </w:rPr>
    </w:lvl>
    <w:lvl w:ilvl="5" w:tentative="0">
      <w:start w:val="1"/>
      <w:numFmt w:val="decimal"/>
      <w:lvlText w:val="%1.%2.%3.%4.%5.%6."/>
      <w:lvlJc w:val="left"/>
      <w:pPr>
        <w:ind w:left="1080" w:hanging="1080"/>
      </w:pPr>
      <w:rPr>
        <w:color w:val="000000"/>
      </w:rPr>
    </w:lvl>
    <w:lvl w:ilvl="6" w:tentative="0">
      <w:start w:val="1"/>
      <w:numFmt w:val="decimal"/>
      <w:lvlText w:val="%1.%2.%3.%4.%5.%6.%7."/>
      <w:lvlJc w:val="left"/>
      <w:pPr>
        <w:ind w:left="1440" w:hanging="1440"/>
      </w:pPr>
      <w:rPr>
        <w:color w:val="000000"/>
      </w:rPr>
    </w:lvl>
    <w:lvl w:ilvl="7" w:tentative="0">
      <w:start w:val="1"/>
      <w:numFmt w:val="decimal"/>
      <w:lvlText w:val="%1.%2.%3.%4.%5.%6.%7.%8."/>
      <w:lvlJc w:val="left"/>
      <w:pPr>
        <w:ind w:left="1440" w:hanging="1440"/>
      </w:pPr>
      <w:rPr>
        <w:color w:val="000000"/>
      </w:rPr>
    </w:lvl>
    <w:lvl w:ilvl="8" w:tentative="0">
      <w:start w:val="1"/>
      <w:numFmt w:val="decimal"/>
      <w:lvlText w:val="%1.%2.%3.%4.%5.%6.%7.%8.%9."/>
      <w:lvlJc w:val="left"/>
      <w:pPr>
        <w:ind w:left="1800" w:hanging="1800"/>
      </w:pPr>
      <w:rPr>
        <w:color w:val="000000"/>
      </w:rPr>
    </w:lvl>
  </w:abstractNum>
  <w:abstractNum w:abstractNumId="2">
    <w:nsid w:val="CF092B84"/>
    <w:multiLevelType w:val="multilevel"/>
    <w:tmpl w:val="CF092B84"/>
    <w:lvl w:ilvl="0" w:tentative="0">
      <w:start w:val="4"/>
      <w:numFmt w:val="decimal"/>
      <w:lvlText w:val="%1."/>
      <w:lvlJc w:val="left"/>
      <w:pPr>
        <w:ind w:left="720" w:hanging="360"/>
      </w:pPr>
      <w:rPr>
        <w:b/>
      </w:rPr>
    </w:lvl>
    <w:lvl w:ilvl="1" w:tentative="0">
      <w:start w:val="1"/>
      <w:numFmt w:val="decimal"/>
      <w:lvlText w:val="%1.%2."/>
      <w:lvlJc w:val="left"/>
      <w:pPr>
        <w:ind w:left="1080" w:hanging="720"/>
      </w:pPr>
      <w:rPr>
        <w:b/>
      </w:rPr>
    </w:lvl>
    <w:lvl w:ilvl="2" w:tentative="0">
      <w:start w:val="1"/>
      <w:numFmt w:val="decimal"/>
      <w:lvlText w:val="%1.%2.%3."/>
      <w:lvlJc w:val="left"/>
      <w:pPr>
        <w:ind w:left="1080" w:hanging="720"/>
      </w:pPr>
      <w:rPr>
        <w:b/>
      </w:rPr>
    </w:lvl>
    <w:lvl w:ilvl="3" w:tentative="0">
      <w:start w:val="1"/>
      <w:numFmt w:val="decimal"/>
      <w:lvlText w:val="%1.%2.%3.%4."/>
      <w:lvlJc w:val="left"/>
      <w:pPr>
        <w:ind w:left="1440" w:hanging="1080"/>
      </w:pPr>
      <w:rPr>
        <w:b/>
      </w:rPr>
    </w:lvl>
    <w:lvl w:ilvl="4" w:tentative="0">
      <w:start w:val="1"/>
      <w:numFmt w:val="decimal"/>
      <w:lvlText w:val="%1.%2.%3.%4.%5."/>
      <w:lvlJc w:val="left"/>
      <w:pPr>
        <w:ind w:left="1440" w:hanging="1080"/>
      </w:pPr>
      <w:rPr>
        <w:b/>
      </w:rPr>
    </w:lvl>
    <w:lvl w:ilvl="5" w:tentative="0">
      <w:start w:val="1"/>
      <w:numFmt w:val="decimal"/>
      <w:lvlText w:val="%1.%2.%3.%4.%5.%6."/>
      <w:lvlJc w:val="left"/>
      <w:pPr>
        <w:ind w:left="1800" w:hanging="1440"/>
      </w:pPr>
      <w:rPr>
        <w:b/>
      </w:rPr>
    </w:lvl>
    <w:lvl w:ilvl="6" w:tentative="0">
      <w:start w:val="1"/>
      <w:numFmt w:val="decimal"/>
      <w:lvlText w:val="%1.%2.%3.%4.%5.%6.%7."/>
      <w:lvlJc w:val="left"/>
      <w:pPr>
        <w:ind w:left="1800" w:hanging="1440"/>
      </w:pPr>
      <w:rPr>
        <w:b/>
      </w:rPr>
    </w:lvl>
    <w:lvl w:ilvl="7" w:tentative="0">
      <w:start w:val="1"/>
      <w:numFmt w:val="decimal"/>
      <w:lvlText w:val="%1.%2.%3.%4.%5.%6.%7.%8."/>
      <w:lvlJc w:val="left"/>
      <w:pPr>
        <w:ind w:left="2160" w:hanging="1800"/>
      </w:pPr>
      <w:rPr>
        <w:b/>
      </w:rPr>
    </w:lvl>
    <w:lvl w:ilvl="8" w:tentative="0">
      <w:start w:val="1"/>
      <w:numFmt w:val="decimal"/>
      <w:lvlText w:val="%1.%2.%3.%4.%5.%6.%7.%8.%9."/>
      <w:lvlJc w:val="left"/>
      <w:pPr>
        <w:ind w:left="2520" w:hanging="2160"/>
      </w:pPr>
      <w:rPr>
        <w:b/>
      </w:rPr>
    </w:lvl>
  </w:abstractNum>
  <w:abstractNum w:abstractNumId="3">
    <w:nsid w:val="0053208E"/>
    <w:multiLevelType w:val="multilevel"/>
    <w:tmpl w:val="0053208E"/>
    <w:lvl w:ilvl="0" w:tentative="0">
      <w:start w:val="1"/>
      <w:numFmt w:val="decimal"/>
      <w:lvlText w:val="%1."/>
      <w:lvlJc w:val="left"/>
      <w:pPr>
        <w:ind w:left="720" w:hanging="360"/>
      </w:pPr>
      <w:rPr>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59ADCABA"/>
    <w:multiLevelType w:val="multilevel"/>
    <w:tmpl w:val="59ADCABA"/>
    <w:lvl w:ilvl="0" w:tentative="0">
      <w:start w:val="7"/>
      <w:numFmt w:val="decimal"/>
      <w:lvlText w:val="%1."/>
      <w:lvlJc w:val="left"/>
      <w:pPr>
        <w:ind w:left="720" w:hanging="360"/>
      </w:pPr>
      <w:rPr>
        <w:b/>
      </w:rPr>
    </w:lvl>
    <w:lvl w:ilvl="1" w:tentative="0">
      <w:start w:val="1"/>
      <w:numFmt w:val="decimal"/>
      <w:lvlText w:val="%1.%2."/>
      <w:lvlJc w:val="left"/>
      <w:pPr>
        <w:ind w:left="2040" w:hanging="720"/>
      </w:pPr>
    </w:lvl>
    <w:lvl w:ilvl="2" w:tentative="0">
      <w:start w:val="1"/>
      <w:numFmt w:val="decimal"/>
      <w:lvlText w:val="%1.%2.%3."/>
      <w:lvlJc w:val="left"/>
      <w:pPr>
        <w:ind w:left="1080" w:hanging="720"/>
      </w:pPr>
    </w:lvl>
    <w:lvl w:ilvl="3" w:tentative="0">
      <w:start w:val="1"/>
      <w:numFmt w:val="decimal"/>
      <w:lvlText w:val="%1.%2.%3.%4."/>
      <w:lvlJc w:val="left"/>
      <w:pPr>
        <w:ind w:left="1440" w:hanging="1080"/>
      </w:pPr>
    </w:lvl>
    <w:lvl w:ilvl="4" w:tentative="0">
      <w:start w:val="1"/>
      <w:numFmt w:val="decimal"/>
      <w:lvlText w:val="%1.%2.%3.%4.%5."/>
      <w:lvlJc w:val="left"/>
      <w:pPr>
        <w:ind w:left="1440" w:hanging="1080"/>
      </w:pPr>
    </w:lvl>
    <w:lvl w:ilvl="5" w:tentative="0">
      <w:start w:val="1"/>
      <w:numFmt w:val="decimal"/>
      <w:lvlText w:val="%1.%2.%3.%4.%5.%6."/>
      <w:lvlJc w:val="left"/>
      <w:pPr>
        <w:ind w:left="1800" w:hanging="1440"/>
      </w:pPr>
    </w:lvl>
    <w:lvl w:ilvl="6" w:tentative="0">
      <w:start w:val="1"/>
      <w:numFmt w:val="decimal"/>
      <w:lvlText w:val="%1.%2.%3.%4.%5.%6.%7."/>
      <w:lvlJc w:val="left"/>
      <w:pPr>
        <w:ind w:left="1800" w:hanging="1440"/>
      </w:pPr>
    </w:lvl>
    <w:lvl w:ilvl="7" w:tentative="0">
      <w:start w:val="1"/>
      <w:numFmt w:val="decimal"/>
      <w:lvlText w:val="%1.%2.%3.%4.%5.%6.%7.%8."/>
      <w:lvlJc w:val="left"/>
      <w:pPr>
        <w:ind w:left="2160" w:hanging="1800"/>
      </w:pPr>
    </w:lvl>
    <w:lvl w:ilvl="8" w:tentative="0">
      <w:start w:val="1"/>
      <w:numFmt w:val="decimal"/>
      <w:lvlText w:val="%1.%2.%3.%4.%5.%6.%7.%8.%9."/>
      <w:lvlJc w:val="left"/>
      <w:pPr>
        <w:ind w:left="2520" w:hanging="2160"/>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000000"/>
    <w:rsid w:val="55B04C11"/>
    <w:rsid w:val="6D3E7E9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iPriority="0"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pPr>
      <w:spacing w:after="200" w:line="276" w:lineRule="auto"/>
    </w:pPr>
    <w:rPr>
      <w:rFonts w:ascii="Calibri" w:hAnsi="Calibri" w:eastAsia="Calibri" w:cs="Calibri"/>
      <w:sz w:val="22"/>
      <w:szCs w:val="22"/>
      <w:lang w:val="pt-BR"/>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unhideWhenUsed/>
    <w:qFormat/>
    <w:uiPriority w:val="9"/>
    <w:pPr>
      <w:keepNext/>
      <w:keepLines/>
      <w:spacing w:before="360" w:after="80"/>
      <w:outlineLvl w:val="1"/>
    </w:pPr>
    <w:rPr>
      <w:b/>
      <w:sz w:val="36"/>
      <w:szCs w:val="36"/>
    </w:rPr>
  </w:style>
  <w:style w:type="paragraph" w:styleId="4">
    <w:name w:val="heading 3"/>
    <w:basedOn w:val="1"/>
    <w:next w:val="1"/>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Body Text"/>
    <w:basedOn w:val="1"/>
    <w:qFormat/>
    <w:uiPriority w:val="1"/>
    <w:rPr>
      <w:sz w:val="24"/>
      <w:szCs w:val="24"/>
    </w:rPr>
  </w:style>
  <w:style w:type="paragraph" w:styleId="11">
    <w:name w:val="Title"/>
    <w:basedOn w:val="1"/>
    <w:next w:val="1"/>
    <w:qFormat/>
    <w:uiPriority w:val="10"/>
    <w:pPr>
      <w:keepNext/>
      <w:keepLines/>
      <w:spacing w:before="480" w:after="120"/>
    </w:pPr>
    <w:rPr>
      <w:b/>
      <w:sz w:val="72"/>
      <w:szCs w:val="72"/>
    </w:rPr>
  </w:style>
  <w:style w:type="paragraph" w:styleId="12">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13">
    <w:name w:val="header"/>
    <w:basedOn w:val="1"/>
    <w:link w:val="21"/>
    <w:unhideWhenUsed/>
    <w:uiPriority w:val="0"/>
    <w:pPr>
      <w:tabs>
        <w:tab w:val="center" w:pos="4252"/>
        <w:tab w:val="right" w:pos="8504"/>
      </w:tabs>
      <w:spacing w:after="0" w:line="240" w:lineRule="auto"/>
    </w:pPr>
  </w:style>
  <w:style w:type="paragraph" w:styleId="14">
    <w:name w:val="footer"/>
    <w:basedOn w:val="1"/>
    <w:link w:val="22"/>
    <w:unhideWhenUsed/>
    <w:uiPriority w:val="99"/>
    <w:pPr>
      <w:tabs>
        <w:tab w:val="center" w:pos="4252"/>
        <w:tab w:val="right" w:pos="8504"/>
      </w:tabs>
      <w:spacing w:after="0" w:line="240" w:lineRule="auto"/>
    </w:pPr>
  </w:style>
  <w:style w:type="paragraph" w:styleId="15">
    <w:name w:val="Subtitle"/>
    <w:basedOn w:val="1"/>
    <w:next w:val="1"/>
    <w:qFormat/>
    <w:uiPriority w:val="0"/>
    <w:pPr>
      <w:keepNext/>
      <w:keepLines/>
      <w:spacing w:before="360" w:after="80"/>
    </w:pPr>
    <w:rPr>
      <w:rFonts w:ascii="Georgia" w:hAnsi="Georgia" w:eastAsia="Georgia" w:cs="Georgia"/>
      <w:i/>
      <w:color w:val="666666"/>
      <w:sz w:val="48"/>
      <w:szCs w:val="48"/>
    </w:rPr>
  </w:style>
  <w:style w:type="table" w:styleId="16">
    <w:name w:val="Table Grid"/>
    <w:basedOn w:val="9"/>
    <w:qFormat/>
    <w:uiPriority w:val="0"/>
    <w:pPr>
      <w:spacing w:after="0" w:line="240" w:lineRule="auto"/>
    </w:pPr>
    <w:rPr>
      <w:rFonts w:ascii="Times New Roman" w:hAnsi="Times New Roman" w:cs="Times New Roman" w:eastAsiaTheme="minorEastAsia"/>
      <w:sz w:val="20"/>
      <w:szCs w:val="20"/>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
    <w:name w:val="Table Normal"/>
    <w:uiPriority w:val="0"/>
    <w:tblPr>
      <w:tblCellMar>
        <w:top w:w="0" w:type="dxa"/>
        <w:left w:w="0" w:type="dxa"/>
        <w:bottom w:w="0" w:type="dxa"/>
        <w:right w:w="0" w:type="dxa"/>
      </w:tblCellMar>
    </w:tblPr>
  </w:style>
  <w:style w:type="table" w:customStyle="1" w:styleId="18">
    <w:name w:val="_Style 12"/>
    <w:basedOn w:val="17"/>
    <w:qFormat/>
    <w:uiPriority w:val="0"/>
    <w:tblPr>
      <w:tblCellMar>
        <w:left w:w="115" w:type="dxa"/>
        <w:right w:w="115" w:type="dxa"/>
      </w:tblCellMar>
    </w:tblPr>
  </w:style>
  <w:style w:type="table" w:customStyle="1" w:styleId="19">
    <w:name w:val="_Style 13"/>
    <w:basedOn w:val="17"/>
    <w:uiPriority w:val="0"/>
    <w:tblPr>
      <w:tblCellMar>
        <w:top w:w="15" w:type="dxa"/>
        <w:left w:w="15" w:type="dxa"/>
        <w:bottom w:w="15" w:type="dxa"/>
        <w:right w:w="15" w:type="dxa"/>
      </w:tblCellMar>
    </w:tblPr>
  </w:style>
  <w:style w:type="table" w:customStyle="1" w:styleId="20">
    <w:name w:val="_Style 14"/>
    <w:basedOn w:val="17"/>
    <w:uiPriority w:val="0"/>
    <w:tblPr>
      <w:tblCellMar>
        <w:left w:w="115" w:type="dxa"/>
        <w:right w:w="115" w:type="dxa"/>
      </w:tblCellMar>
    </w:tblPr>
  </w:style>
  <w:style w:type="character" w:customStyle="1" w:styleId="21">
    <w:name w:val="Cabeçalho Char"/>
    <w:basedOn w:val="8"/>
    <w:link w:val="13"/>
    <w:uiPriority w:val="0"/>
  </w:style>
  <w:style w:type="character" w:customStyle="1" w:styleId="22">
    <w:name w:val="Rodapé Char"/>
    <w:basedOn w:val="8"/>
    <w:link w:val="14"/>
    <w:uiPriority w:val="99"/>
  </w:style>
  <w:style w:type="paragraph" w:styleId="23">
    <w:name w:val="List Paragraph"/>
    <w:basedOn w:val="1"/>
    <w:qFormat/>
    <w:uiPriority w:val="34"/>
    <w:pPr>
      <w:ind w:left="235"/>
    </w:pPr>
  </w:style>
  <w:style w:type="table" w:customStyle="1" w:styleId="24">
    <w:name w:val="_Style 33"/>
    <w:basedOn w:val="17"/>
    <w:qFormat/>
    <w:uiPriority w:val="0"/>
    <w:pPr>
      <w:spacing w:after="0" w:line="240" w:lineRule="auto"/>
    </w:pPr>
    <w:rPr>
      <w:rFonts w:ascii="Times New Roman" w:hAnsi="Times New Roman" w:eastAsia="Times New Roman" w:cs="Times New Roman"/>
      <w:sz w:val="20"/>
      <w:szCs w:val="20"/>
    </w:rPr>
    <w:tblPr>
      <w:tblCellMar>
        <w:top w:w="0" w:type="dxa"/>
        <w:left w:w="108" w:type="dxa"/>
        <w:bottom w:w="0" w:type="dxa"/>
        <w:right w:w="108" w:type="dxa"/>
      </w:tblCellMar>
    </w:tblPr>
  </w:style>
  <w:style w:type="table" w:customStyle="1" w:styleId="25">
    <w:name w:val="_Style 34"/>
    <w:basedOn w:val="17"/>
    <w:qFormat/>
    <w:uiPriority w:val="0"/>
    <w:tblPr>
      <w:tblCellMar>
        <w:top w:w="15" w:type="dxa"/>
        <w:left w:w="15" w:type="dxa"/>
        <w:bottom w:w="15" w:type="dxa"/>
        <w:right w:w="15" w:type="dxa"/>
      </w:tblCellMar>
    </w:tblPr>
  </w:style>
  <w:style w:type="table" w:customStyle="1" w:styleId="26">
    <w:name w:val="_Style 35"/>
    <w:basedOn w:val="17"/>
    <w:qFormat/>
    <w:uiPriority w:val="0"/>
    <w:tblPr>
      <w:tblCellMar>
        <w:top w:w="0" w:type="dxa"/>
        <w:left w:w="115" w:type="dxa"/>
        <w:bottom w:w="0" w:type="dxa"/>
        <w:right w:w="115" w:type="dxa"/>
      </w:tblCellMar>
    </w:tblPr>
  </w:style>
  <w:style w:type="table" w:customStyle="1" w:styleId="27">
    <w:name w:val="_Style 37"/>
    <w:basedOn w:val="17"/>
    <w:qFormat/>
    <w:uiPriority w:val="0"/>
    <w:pPr>
      <w:spacing w:after="0" w:line="240" w:lineRule="auto"/>
    </w:pPr>
    <w:rPr>
      <w:rFonts w:ascii="Times New Roman" w:hAnsi="Times New Roman" w:eastAsia="Times New Roman" w:cs="Times New Roman"/>
      <w:sz w:val="20"/>
      <w:szCs w:val="20"/>
    </w:rPr>
    <w:tblPr>
      <w:tblCellMar>
        <w:top w:w="0" w:type="dxa"/>
        <w:left w:w="108" w:type="dxa"/>
        <w:bottom w:w="0" w:type="dxa"/>
        <w:right w:w="108" w:type="dxa"/>
      </w:tblCellMar>
    </w:tblPr>
  </w:style>
  <w:style w:type="table" w:customStyle="1" w:styleId="28">
    <w:name w:val="_Style 38"/>
    <w:basedOn w:val="17"/>
    <w:qFormat/>
    <w:uiPriority w:val="0"/>
    <w:tblPr>
      <w:tblCellMar>
        <w:top w:w="15" w:type="dxa"/>
        <w:left w:w="15" w:type="dxa"/>
        <w:bottom w:w="15" w:type="dxa"/>
        <w:right w:w="15" w:type="dxa"/>
      </w:tblCellMar>
    </w:tblPr>
  </w:style>
  <w:style w:type="table" w:customStyle="1" w:styleId="29">
    <w:name w:val="_Style 39"/>
    <w:basedOn w:val="17"/>
    <w:qFormat/>
    <w:uiPriority w:val="0"/>
    <w:tblPr>
      <w:tblCellMar>
        <w:top w:w="0" w:type="dxa"/>
        <w:left w:w="115" w:type="dxa"/>
        <w:bottom w:w="0" w:type="dxa"/>
        <w:right w:w="115"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PcfzwjOmeyV+NEWUEQZg/uHs4A==">CgMxLjAyDmguYWp4Z2hkYmhmcGs4MghoLmdqZGd4czgAciExd0d6NjhKVTUwMV9CeHROZ01mWUFjMG9reTVNc2s4VlI=</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Pages>18</Pages>
  <TotalTime>8</TotalTime>
  <ScaleCrop>false</ScaleCrop>
  <LinksUpToDate>false</LinksUpToDate>
  <Application>WPS Office_12.2.0.19805_F1E327BC-269C-435d-A152-05C5408002CA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2024-02-15T18:44:00Z</dcterms:created>
  <dc:creator>prefe</dc:creator>
  <cp:lastModifiedBy>prefe</cp:lastModifiedBy>
  <dcterms:modified xsi:type="dcterms:W3CDTF">2025-02-20T02:25:29Z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1046-12.2.0.19805</vt:lpwstr>
  </property>
  <property fmtid="{D5CDD505-2E9C-101B-9397-08002B2CF9AE}" pid="3" name="ICV">
    <vt:lpwstr>61508586EF5945B39A77F29D48F2BFAF_13</vt:lpwstr>
  </property>
</Properties>
</file>