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3506C928"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FC2E9B">
        <w:rPr>
          <w:rFonts w:ascii="Verdana" w:hAnsi="Verdana" w:cs="Arial"/>
          <w:b/>
          <w:sz w:val="20"/>
          <w:szCs w:val="20"/>
        </w:rPr>
        <w:t>3</w:t>
      </w:r>
      <w:r w:rsidR="00F3033D">
        <w:rPr>
          <w:rFonts w:ascii="Verdana" w:hAnsi="Verdana" w:cs="Arial"/>
          <w:b/>
          <w:sz w:val="20"/>
          <w:szCs w:val="20"/>
        </w:rPr>
        <w:t>9</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593AD17E"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9371D4">
        <w:rPr>
          <w:rFonts w:ascii="Verdana" w:hAnsi="Verdana" w:cs="Arial"/>
          <w:b/>
          <w:sz w:val="20"/>
          <w:szCs w:val="20"/>
        </w:rPr>
        <w:t>1</w:t>
      </w:r>
      <w:r w:rsidR="001D6887">
        <w:rPr>
          <w:rFonts w:ascii="Verdana" w:hAnsi="Verdana" w:cs="Arial"/>
          <w:b/>
          <w:sz w:val="20"/>
          <w:szCs w:val="20"/>
        </w:rPr>
        <w:t>5</w:t>
      </w:r>
      <w:r w:rsidR="00F3033D">
        <w:rPr>
          <w:rFonts w:ascii="Verdana" w:hAnsi="Verdana" w:cs="Arial"/>
          <w:b/>
          <w:sz w:val="20"/>
          <w:szCs w:val="20"/>
        </w:rPr>
        <w:t>6</w:t>
      </w:r>
      <w:r w:rsidR="00405A65">
        <w:rPr>
          <w:rFonts w:ascii="Verdana" w:hAnsi="Verdana" w:cs="Arial"/>
          <w:b/>
          <w:sz w:val="20"/>
          <w:szCs w:val="20"/>
        </w:rPr>
        <w:t>/2026</w:t>
      </w:r>
    </w:p>
    <w:p w14:paraId="5C361A89" w14:textId="5F7EA331" w:rsidR="002B5BFA" w:rsidRPr="00D0651A"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w:t>
      </w:r>
      <w:r w:rsidRPr="00D0651A">
        <w:rPr>
          <w:rFonts w:ascii="Verdana" w:hAnsi="Verdana" w:cs="Arial"/>
          <w:bCs/>
          <w:sz w:val="20"/>
          <w:szCs w:val="20"/>
        </w:rPr>
        <w:t xml:space="preserve">estabelecidas neste Edital. </w:t>
      </w:r>
    </w:p>
    <w:p w14:paraId="22A4DC14" w14:textId="77777777" w:rsidR="002B5BFA" w:rsidRPr="00D0651A" w:rsidRDefault="002B5BFA" w:rsidP="00C65DF7">
      <w:pPr>
        <w:spacing w:line="360" w:lineRule="auto"/>
        <w:rPr>
          <w:rFonts w:ascii="Verdana" w:hAnsi="Verdana" w:cs="Arial"/>
          <w:b/>
          <w:sz w:val="20"/>
          <w:szCs w:val="20"/>
        </w:rPr>
      </w:pPr>
    </w:p>
    <w:p w14:paraId="04D762FE" w14:textId="17698F61" w:rsidR="00C65DF7" w:rsidRPr="00D0651A" w:rsidRDefault="002B5BFA" w:rsidP="00C65DF7">
      <w:pPr>
        <w:spacing w:line="360" w:lineRule="auto"/>
        <w:rPr>
          <w:rFonts w:ascii="Verdana" w:hAnsi="Verdana" w:cs="Arial"/>
          <w:b/>
          <w:i/>
          <w:iCs/>
          <w:sz w:val="20"/>
          <w:szCs w:val="20"/>
        </w:rPr>
      </w:pPr>
      <w:r w:rsidRPr="00D0651A">
        <w:rPr>
          <w:rFonts w:ascii="Verdana" w:hAnsi="Verdana" w:cs="Arial"/>
          <w:b/>
          <w:sz w:val="20"/>
          <w:szCs w:val="20"/>
        </w:rPr>
        <w:t>PREGÃO ELETRÔNICO Nº</w:t>
      </w:r>
      <w:r w:rsidRPr="00D0651A">
        <w:rPr>
          <w:rFonts w:ascii="Verdana" w:hAnsi="Verdana" w:cs="Arial"/>
          <w:b/>
          <w:i/>
          <w:iCs/>
          <w:sz w:val="20"/>
          <w:szCs w:val="20"/>
        </w:rPr>
        <w:t xml:space="preserve"> </w:t>
      </w:r>
      <w:r w:rsidR="003A3F02" w:rsidRPr="00D0651A">
        <w:rPr>
          <w:rFonts w:ascii="Verdana" w:hAnsi="Verdana" w:cs="Arial"/>
          <w:b/>
          <w:i/>
          <w:iCs/>
          <w:sz w:val="20"/>
          <w:szCs w:val="20"/>
        </w:rPr>
        <w:t>0</w:t>
      </w:r>
      <w:r w:rsidR="00FC2E9B" w:rsidRPr="00D0651A">
        <w:rPr>
          <w:rFonts w:ascii="Verdana" w:hAnsi="Verdana" w:cs="Arial"/>
          <w:b/>
          <w:i/>
          <w:iCs/>
          <w:sz w:val="20"/>
          <w:szCs w:val="20"/>
        </w:rPr>
        <w:t>3</w:t>
      </w:r>
      <w:r w:rsidR="00F3033D">
        <w:rPr>
          <w:rFonts w:ascii="Verdana" w:hAnsi="Verdana" w:cs="Arial"/>
          <w:b/>
          <w:i/>
          <w:iCs/>
          <w:sz w:val="20"/>
          <w:szCs w:val="20"/>
        </w:rPr>
        <w:t>9</w:t>
      </w:r>
      <w:r w:rsidR="003B650F" w:rsidRPr="00D0651A">
        <w:rPr>
          <w:rFonts w:ascii="Verdana" w:hAnsi="Verdana" w:cs="Arial"/>
          <w:b/>
          <w:i/>
          <w:iCs/>
          <w:sz w:val="20"/>
          <w:szCs w:val="20"/>
        </w:rPr>
        <w:t>/202</w:t>
      </w:r>
      <w:r w:rsidR="004655A8" w:rsidRPr="00D0651A">
        <w:rPr>
          <w:rFonts w:ascii="Verdana" w:hAnsi="Verdana" w:cs="Arial"/>
          <w:b/>
          <w:i/>
          <w:iCs/>
          <w:sz w:val="20"/>
          <w:szCs w:val="20"/>
        </w:rPr>
        <w:t>6</w:t>
      </w:r>
    </w:p>
    <w:p w14:paraId="55FD5F79" w14:textId="4910E90A" w:rsidR="00C65DF7" w:rsidRPr="00D0651A" w:rsidRDefault="002B5BFA" w:rsidP="00C65DF7">
      <w:pPr>
        <w:spacing w:line="360" w:lineRule="auto"/>
        <w:rPr>
          <w:rFonts w:ascii="Verdana" w:hAnsi="Verdana" w:cs="Arial"/>
          <w:bCs/>
          <w:sz w:val="20"/>
          <w:szCs w:val="20"/>
        </w:rPr>
      </w:pPr>
      <w:r w:rsidRPr="00D0651A">
        <w:rPr>
          <w:rFonts w:ascii="Verdana" w:hAnsi="Verdana" w:cs="Arial"/>
          <w:b/>
          <w:sz w:val="20"/>
          <w:szCs w:val="20"/>
        </w:rPr>
        <w:t>Data da sessão pública:</w:t>
      </w:r>
      <w:r w:rsidRPr="00D0651A">
        <w:rPr>
          <w:rFonts w:ascii="Verdana" w:hAnsi="Verdana" w:cs="Arial"/>
          <w:b/>
          <w:bCs/>
          <w:sz w:val="20"/>
          <w:szCs w:val="20"/>
        </w:rPr>
        <w:t xml:space="preserve"> </w:t>
      </w:r>
      <w:r w:rsidR="00F3033D">
        <w:rPr>
          <w:rFonts w:ascii="Verdana" w:hAnsi="Verdana" w:cs="Arial"/>
          <w:b/>
          <w:bCs/>
          <w:sz w:val="20"/>
          <w:szCs w:val="20"/>
        </w:rPr>
        <w:t>11</w:t>
      </w:r>
      <w:r w:rsidR="004655A8" w:rsidRPr="00D0651A">
        <w:rPr>
          <w:rFonts w:ascii="Verdana" w:hAnsi="Verdana" w:cs="Arial"/>
          <w:b/>
          <w:bCs/>
          <w:sz w:val="20"/>
          <w:szCs w:val="20"/>
        </w:rPr>
        <w:t>/</w:t>
      </w:r>
      <w:r w:rsidR="00F3033D">
        <w:rPr>
          <w:rFonts w:ascii="Verdana" w:hAnsi="Verdana" w:cs="Arial"/>
          <w:b/>
          <w:bCs/>
          <w:sz w:val="20"/>
          <w:szCs w:val="20"/>
        </w:rPr>
        <w:t>11</w:t>
      </w:r>
      <w:r w:rsidR="00A26806" w:rsidRPr="00D0651A">
        <w:rPr>
          <w:rFonts w:ascii="Verdana" w:hAnsi="Verdana" w:cs="Arial"/>
          <w:b/>
          <w:bCs/>
          <w:sz w:val="20"/>
          <w:szCs w:val="20"/>
        </w:rPr>
        <w:t>/</w:t>
      </w:r>
      <w:r w:rsidR="00402F12" w:rsidRPr="00D0651A">
        <w:rPr>
          <w:rFonts w:ascii="Verdana" w:hAnsi="Verdana" w:cs="Arial"/>
          <w:b/>
          <w:bCs/>
          <w:sz w:val="20"/>
          <w:szCs w:val="20"/>
        </w:rPr>
        <w:t>202</w:t>
      </w:r>
      <w:r w:rsidR="004655A8" w:rsidRPr="00D0651A">
        <w:rPr>
          <w:rFonts w:ascii="Verdana" w:hAnsi="Verdana" w:cs="Arial"/>
          <w:b/>
          <w:bCs/>
          <w:sz w:val="20"/>
          <w:szCs w:val="20"/>
        </w:rPr>
        <w:t>6</w:t>
      </w:r>
      <w:r w:rsidRPr="00D0651A">
        <w:rPr>
          <w:rFonts w:ascii="Verdana" w:hAnsi="Verdana" w:cs="Arial"/>
          <w:b/>
          <w:i/>
          <w:iCs/>
          <w:sz w:val="20"/>
          <w:szCs w:val="20"/>
        </w:rPr>
        <w:t>.</w:t>
      </w:r>
      <w:r w:rsidR="001818B2" w:rsidRPr="00D0651A">
        <w:rPr>
          <w:rFonts w:ascii="Verdana" w:hAnsi="Verdana" w:cs="Arial"/>
          <w:bCs/>
          <w:sz w:val="20"/>
          <w:szCs w:val="20"/>
        </w:rPr>
        <w:t xml:space="preserve"> </w:t>
      </w:r>
    </w:p>
    <w:p w14:paraId="74447D72" w14:textId="1A3F61FF" w:rsidR="00C65DF7" w:rsidRPr="00D0651A" w:rsidRDefault="002B5BFA" w:rsidP="00C65DF7">
      <w:pPr>
        <w:spacing w:line="360" w:lineRule="auto"/>
        <w:rPr>
          <w:rFonts w:ascii="Verdana" w:hAnsi="Verdana" w:cs="Arial"/>
          <w:b/>
          <w:bCs/>
          <w:sz w:val="20"/>
          <w:szCs w:val="20"/>
        </w:rPr>
      </w:pPr>
      <w:r w:rsidRPr="00D0651A">
        <w:rPr>
          <w:rFonts w:ascii="Verdana" w:hAnsi="Verdana" w:cs="Arial"/>
          <w:b/>
          <w:sz w:val="20"/>
          <w:szCs w:val="20"/>
        </w:rPr>
        <w:t>Horário da sessão pública:</w:t>
      </w:r>
      <w:r w:rsidRPr="00D0651A">
        <w:rPr>
          <w:rFonts w:ascii="Verdana" w:hAnsi="Verdana" w:cs="Arial"/>
          <w:b/>
          <w:bCs/>
          <w:sz w:val="20"/>
          <w:szCs w:val="20"/>
        </w:rPr>
        <w:t xml:space="preserve"> de </w:t>
      </w:r>
      <w:r w:rsidR="00F3033D">
        <w:rPr>
          <w:rFonts w:ascii="Verdana" w:hAnsi="Verdana" w:cs="Arial"/>
          <w:b/>
          <w:bCs/>
          <w:sz w:val="20"/>
          <w:szCs w:val="20"/>
        </w:rPr>
        <w:t>10</w:t>
      </w:r>
      <w:r w:rsidR="00C155EA" w:rsidRPr="00D0651A">
        <w:rPr>
          <w:rFonts w:ascii="Verdana" w:hAnsi="Verdana" w:cs="Arial"/>
          <w:b/>
          <w:bCs/>
          <w:sz w:val="20"/>
          <w:szCs w:val="20"/>
        </w:rPr>
        <w:t>:</w:t>
      </w:r>
      <w:r w:rsidR="006B240B" w:rsidRPr="00D0651A">
        <w:rPr>
          <w:rFonts w:ascii="Verdana" w:hAnsi="Verdana" w:cs="Arial"/>
          <w:b/>
          <w:bCs/>
          <w:sz w:val="20"/>
          <w:szCs w:val="20"/>
        </w:rPr>
        <w:t>0</w:t>
      </w:r>
      <w:r w:rsidR="00C155EA" w:rsidRPr="00D0651A">
        <w:rPr>
          <w:rFonts w:ascii="Verdana" w:hAnsi="Verdana" w:cs="Arial"/>
          <w:b/>
          <w:bCs/>
          <w:sz w:val="20"/>
          <w:szCs w:val="20"/>
        </w:rPr>
        <w:t>0</w:t>
      </w:r>
    </w:p>
    <w:p w14:paraId="76FAA48E" w14:textId="53A754E6" w:rsidR="002B5BFA" w:rsidRPr="00D0651A" w:rsidRDefault="002B5BFA" w:rsidP="00C65DF7">
      <w:pPr>
        <w:spacing w:line="360" w:lineRule="auto"/>
        <w:rPr>
          <w:rFonts w:ascii="Verdana" w:hAnsi="Verdana" w:cs="Arial"/>
          <w:bCs/>
          <w:sz w:val="20"/>
          <w:szCs w:val="20"/>
        </w:rPr>
      </w:pPr>
    </w:p>
    <w:p w14:paraId="0C995931" w14:textId="47356633" w:rsidR="00943D82" w:rsidRPr="0047219E" w:rsidRDefault="002B5BFA" w:rsidP="00943D82">
      <w:pPr>
        <w:pStyle w:val="Corpodetexto"/>
        <w:spacing w:before="49" w:line="278" w:lineRule="auto"/>
        <w:ind w:right="156"/>
        <w:jc w:val="both"/>
        <w:rPr>
          <w:rFonts w:ascii="Verdana" w:hAnsi="Verdana"/>
          <w:sz w:val="20"/>
        </w:rPr>
      </w:pPr>
      <w:r w:rsidRPr="0047219E">
        <w:rPr>
          <w:rFonts w:ascii="Verdana" w:hAnsi="Verdana" w:cs="Arial"/>
          <w:sz w:val="20"/>
        </w:rPr>
        <w:t xml:space="preserve">Objeto: </w:t>
      </w:r>
      <w:r w:rsidR="0047219E" w:rsidRPr="0047219E">
        <w:rPr>
          <w:rFonts w:ascii="Verdana" w:hAnsi="Verdana"/>
          <w:sz w:val="20"/>
        </w:rPr>
        <w:t>Registro de preços para futura e eventual aquisição de café, nas apresentações descafeinado, gourmet em grãos, solúvel e torrado e moído, com fornecimento parcelado, destinado ao atendimento das necessidades de todas as Secretarias Municipais de Correntina/BA e de suas respectivas unidades administrativas, conforme condições, quantitativos e especificações estabelecidos no Termo de Referência e seus anexos</w:t>
      </w:r>
      <w:r w:rsidR="00D0651A" w:rsidRPr="0047219E">
        <w:rPr>
          <w:rFonts w:ascii="Verdana" w:hAnsi="Verdana"/>
          <w:sz w:val="20"/>
        </w:rPr>
        <w:t>.</w:t>
      </w:r>
    </w:p>
    <w:p w14:paraId="06794505" w14:textId="77777777" w:rsidR="00C65DF7" w:rsidRPr="0047219E" w:rsidRDefault="00C65DF7" w:rsidP="00C65DF7">
      <w:pPr>
        <w:spacing w:line="360" w:lineRule="auto"/>
        <w:rPr>
          <w:rFonts w:ascii="Verdana" w:hAnsi="Verdana" w:cs="Arial"/>
          <w:bCs/>
          <w:sz w:val="20"/>
          <w:szCs w:val="20"/>
        </w:rPr>
      </w:pPr>
    </w:p>
    <w:p w14:paraId="6085F4DA" w14:textId="3217E9C4" w:rsidR="002B5BFA" w:rsidRPr="0047219E" w:rsidRDefault="002B5BFA" w:rsidP="00C65DF7">
      <w:pPr>
        <w:spacing w:line="360" w:lineRule="auto"/>
        <w:rPr>
          <w:rFonts w:ascii="Verdana" w:hAnsi="Verdana" w:cs="Arial"/>
          <w:bCs/>
          <w:sz w:val="20"/>
          <w:szCs w:val="20"/>
        </w:rPr>
      </w:pPr>
      <w:r w:rsidRPr="0047219E">
        <w:rPr>
          <w:rFonts w:ascii="Verdana" w:hAnsi="Verdana" w:cs="Arial"/>
          <w:b/>
          <w:sz w:val="20"/>
          <w:szCs w:val="20"/>
        </w:rPr>
        <w:t>Critério de julgamento:</w:t>
      </w:r>
      <w:r w:rsidRPr="0047219E">
        <w:rPr>
          <w:rFonts w:ascii="Verdana" w:hAnsi="Verdana" w:cs="Arial"/>
          <w:bCs/>
          <w:sz w:val="20"/>
          <w:szCs w:val="20"/>
        </w:rPr>
        <w:t xml:space="preserve"> meno</w:t>
      </w:r>
      <w:r w:rsidR="009371D4" w:rsidRPr="0047219E">
        <w:rPr>
          <w:rFonts w:ascii="Verdana" w:hAnsi="Verdana" w:cs="Arial"/>
          <w:bCs/>
          <w:sz w:val="20"/>
          <w:szCs w:val="20"/>
        </w:rPr>
        <w:t xml:space="preserve">r preço </w:t>
      </w:r>
      <w:r w:rsidR="00A36437" w:rsidRPr="0047219E">
        <w:rPr>
          <w:rFonts w:ascii="Verdana" w:hAnsi="Verdana" w:cs="Arial"/>
          <w:bCs/>
          <w:sz w:val="20"/>
          <w:szCs w:val="20"/>
        </w:rPr>
        <w:t>Global</w:t>
      </w:r>
      <w:r w:rsidR="006B240B" w:rsidRPr="0047219E">
        <w:rPr>
          <w:rFonts w:ascii="Verdana" w:hAnsi="Verdana" w:cs="Arial"/>
          <w:bCs/>
          <w:sz w:val="20"/>
          <w:szCs w:val="20"/>
        </w:rPr>
        <w:t>.</w:t>
      </w:r>
    </w:p>
    <w:p w14:paraId="0E0F43F0" w14:textId="3E6C2EC4" w:rsidR="002B5BFA" w:rsidRPr="0047219E" w:rsidRDefault="002B5BFA" w:rsidP="00C65DF7">
      <w:pPr>
        <w:spacing w:line="360" w:lineRule="auto"/>
        <w:rPr>
          <w:rFonts w:ascii="Verdana" w:hAnsi="Verdana" w:cs="Arial"/>
          <w:bCs/>
          <w:sz w:val="20"/>
          <w:szCs w:val="20"/>
        </w:rPr>
      </w:pPr>
      <w:r w:rsidRPr="0047219E">
        <w:rPr>
          <w:rFonts w:ascii="Verdana" w:hAnsi="Verdana" w:cs="Arial"/>
          <w:b/>
          <w:sz w:val="20"/>
          <w:szCs w:val="20"/>
        </w:rPr>
        <w:t xml:space="preserve">Modo de disputa: </w:t>
      </w:r>
      <w:r w:rsidRPr="0047219E">
        <w:rPr>
          <w:rFonts w:ascii="Verdana" w:hAnsi="Verdana" w:cs="Arial"/>
          <w:bCs/>
          <w:sz w:val="20"/>
          <w:szCs w:val="20"/>
        </w:rPr>
        <w:t>aberto.</w:t>
      </w:r>
    </w:p>
    <w:p w14:paraId="007CE8B1" w14:textId="77777777" w:rsidR="002B5BFA" w:rsidRPr="0047219E" w:rsidRDefault="002B5BFA" w:rsidP="00C65DF7">
      <w:pPr>
        <w:spacing w:line="360" w:lineRule="auto"/>
        <w:rPr>
          <w:rFonts w:ascii="Verdana" w:hAnsi="Verdana" w:cs="Arial"/>
          <w:bCs/>
          <w:sz w:val="20"/>
          <w:szCs w:val="20"/>
        </w:rPr>
      </w:pPr>
      <w:r w:rsidRPr="0047219E">
        <w:rPr>
          <w:rFonts w:ascii="Verdana" w:hAnsi="Verdana" w:cs="Arial"/>
          <w:b/>
          <w:sz w:val="20"/>
          <w:szCs w:val="20"/>
        </w:rPr>
        <w:t>Link:</w:t>
      </w:r>
      <w:r w:rsidRPr="0047219E">
        <w:rPr>
          <w:rFonts w:ascii="Verdana" w:hAnsi="Verdana" w:cs="Arial"/>
          <w:bCs/>
          <w:sz w:val="20"/>
          <w:szCs w:val="20"/>
        </w:rPr>
        <w:t xml:space="preserve">  </w:t>
      </w:r>
      <w:hyperlink r:id="rId8" w:history="1">
        <w:r w:rsidRPr="0047219E">
          <w:rPr>
            <w:rStyle w:val="Hyperlink"/>
            <w:rFonts w:ascii="Verdana" w:eastAsia="Calibri" w:hAnsi="Verdana" w:cs="Arial"/>
            <w:b/>
            <w:bCs/>
            <w:sz w:val="20"/>
            <w:szCs w:val="20"/>
          </w:rPr>
          <w:t>https://bnc.org.br/</w:t>
        </w:r>
      </w:hyperlink>
    </w:p>
    <w:p w14:paraId="7D657383" w14:textId="77777777" w:rsidR="002B5BFA" w:rsidRPr="0047219E" w:rsidRDefault="002B5BFA" w:rsidP="00C65DF7">
      <w:pPr>
        <w:pStyle w:val="Ttulo1"/>
        <w:spacing w:before="0" w:after="0" w:line="360" w:lineRule="auto"/>
        <w:rPr>
          <w:rFonts w:ascii="Verdana" w:hAnsi="Verdana" w:cs="Arial"/>
          <w:sz w:val="20"/>
          <w:szCs w:val="20"/>
        </w:rPr>
      </w:pPr>
      <w:bookmarkStart w:id="0" w:name="_Toc138354308"/>
      <w:r w:rsidRPr="0047219E">
        <w:rPr>
          <w:rFonts w:ascii="Verdana" w:hAnsi="Verdana" w:cs="Arial"/>
          <w:sz w:val="20"/>
          <w:szCs w:val="20"/>
        </w:rPr>
        <w:t>1. DO OBJETO</w:t>
      </w:r>
      <w:bookmarkEnd w:id="0"/>
      <w:r w:rsidRPr="0047219E">
        <w:rPr>
          <w:rFonts w:ascii="Verdana" w:hAnsi="Verdana" w:cs="Arial"/>
          <w:sz w:val="20"/>
          <w:szCs w:val="20"/>
        </w:rPr>
        <w:t xml:space="preserve">  </w:t>
      </w:r>
    </w:p>
    <w:p w14:paraId="380D6D37" w14:textId="6E451184" w:rsidR="002B5BFA" w:rsidRPr="0047219E" w:rsidRDefault="002B5BFA" w:rsidP="00520875">
      <w:pPr>
        <w:pStyle w:val="Corpodetexto"/>
        <w:spacing w:before="49" w:line="278" w:lineRule="auto"/>
        <w:ind w:right="297"/>
        <w:jc w:val="both"/>
        <w:rPr>
          <w:rFonts w:ascii="Verdana" w:hAnsi="Verdana"/>
          <w:sz w:val="20"/>
        </w:rPr>
      </w:pPr>
      <w:r w:rsidRPr="0047219E">
        <w:rPr>
          <w:rFonts w:ascii="Verdana" w:hAnsi="Verdana" w:cs="Arial"/>
          <w:bCs/>
          <w:sz w:val="20"/>
        </w:rPr>
        <w:t xml:space="preserve">1.1. O objeto da presente licitação é </w:t>
      </w:r>
      <w:r w:rsidR="0047219E" w:rsidRPr="0047219E">
        <w:rPr>
          <w:rFonts w:ascii="Verdana" w:hAnsi="Verdana"/>
          <w:sz w:val="20"/>
        </w:rPr>
        <w:t>Registro de preços para futura e eventual aquisição de café, nas apresentações descafeinado, gourmet em grãos, solúvel e torrado e moído, com fornecimento parcelado, destinado ao atendimento das necessidades de todas as Secretarias Municipais de Correntina/BA e de suas respectivas unidades administrativas, conforme condições, quantitativos e especificações estabelecidos no Termo de Referência e seus anexos.</w:t>
      </w:r>
      <w:r w:rsidRPr="0047219E">
        <w:rPr>
          <w:rFonts w:ascii="Verdana" w:hAnsi="Verdana" w:cs="Arial"/>
          <w:bCs/>
          <w:sz w:val="20"/>
        </w:rPr>
        <w:t xml:space="preserve"> </w:t>
      </w:r>
    </w:p>
    <w:p w14:paraId="76239DC9" w14:textId="43B8546E"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A licitação será julgada p</w:t>
      </w:r>
      <w:r w:rsidR="00671082">
        <w:rPr>
          <w:rFonts w:ascii="Verdana" w:hAnsi="Verdana"/>
          <w:sz w:val="20"/>
          <w:szCs w:val="20"/>
        </w:rPr>
        <w:t>elo critério de menor preço global</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lastRenderedPageBreak/>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lastRenderedPageBreak/>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7D008A" w:rsidRDefault="002B5BFA" w:rsidP="00C65DF7">
      <w:pPr>
        <w:pStyle w:val="Ttulo1"/>
        <w:spacing w:before="0" w:after="0" w:line="360" w:lineRule="auto"/>
        <w:rPr>
          <w:rFonts w:ascii="Verdana" w:hAnsi="Verdana" w:cs="Arial"/>
          <w:sz w:val="20"/>
          <w:szCs w:val="20"/>
        </w:rPr>
      </w:pPr>
      <w:bookmarkStart w:id="5" w:name="_Toc138354311"/>
      <w:r w:rsidRPr="007D008A">
        <w:rPr>
          <w:rFonts w:ascii="Verdana" w:hAnsi="Verdana" w:cs="Arial"/>
          <w:sz w:val="20"/>
          <w:szCs w:val="20"/>
        </w:rPr>
        <w:t>4. DA APRESENTAÇÃO DA PROPOSTA E DOS DOCUMENTOS DE HABILITAÇÃO</w:t>
      </w:r>
      <w:bookmarkEnd w:id="5"/>
    </w:p>
    <w:p w14:paraId="3FB01B51" w14:textId="4078141F" w:rsidR="002B5BFA" w:rsidRPr="00032F8F" w:rsidRDefault="007D008A" w:rsidP="00C65DF7">
      <w:pPr>
        <w:spacing w:line="360" w:lineRule="auto"/>
        <w:rPr>
          <w:rFonts w:ascii="Verdana" w:hAnsi="Verdana" w:cs="Arial"/>
          <w:bCs/>
          <w:sz w:val="20"/>
          <w:szCs w:val="20"/>
        </w:rPr>
      </w:pPr>
      <w:r w:rsidRPr="007D008A">
        <w:rPr>
          <w:rFonts w:ascii="Verdana" w:hAnsi="Verdana"/>
          <w:sz w:val="20"/>
          <w:szCs w:val="20"/>
        </w:rPr>
        <w:t xml:space="preserve">4.1. Na presente licitação será observada a sequência ordinária das fases prevista no art. 17 da Lei nº 14.133/2021, de modo que a fase de apresentação de propostas e lances ocorrerá inicialmente, seguida da fase de julgamento. Após o julgamento, será realizada </w:t>
      </w:r>
      <w:r w:rsidRPr="00032F8F">
        <w:rPr>
          <w:rFonts w:ascii="Verdana" w:hAnsi="Verdana"/>
          <w:sz w:val="20"/>
          <w:szCs w:val="20"/>
        </w:rPr>
        <w:t>a fase de habilitação do licitante provisoriamente classificado em primeiro lugar, observadas as condições e os requisitos estabelecidos neste Edital.</w:t>
      </w:r>
    </w:p>
    <w:p w14:paraId="76156657" w14:textId="77777777" w:rsidR="00032F8F" w:rsidRPr="00032F8F" w:rsidRDefault="00032F8F" w:rsidP="00032F8F">
      <w:pPr>
        <w:widowControl/>
        <w:autoSpaceDE/>
        <w:autoSpaceDN/>
        <w:spacing w:line="360" w:lineRule="auto"/>
        <w:rPr>
          <w:rFonts w:ascii="Verdana" w:eastAsia="Times New Roman" w:hAnsi="Verdana" w:cs="Times New Roman"/>
          <w:sz w:val="20"/>
          <w:szCs w:val="20"/>
          <w:lang w:val="pt-BR" w:eastAsia="pt-BR"/>
        </w:rPr>
      </w:pPr>
      <w:r w:rsidRPr="00032F8F">
        <w:rPr>
          <w:rFonts w:ascii="Verdana" w:eastAsia="Times New Roman" w:hAnsi="Verdana" w:cs="Times New Roman"/>
          <w:bCs/>
          <w:sz w:val="20"/>
          <w:szCs w:val="20"/>
          <w:lang w:val="pt-BR" w:eastAsia="pt-BR"/>
        </w:rPr>
        <w:t xml:space="preserve">4.2. Encerrada a fase de julgamento e definido o licitante provisoriamente classificado em primeiro lugar, o Pregoeiro poderá convocá-lo, por meio do sistema eletrônico, para </w:t>
      </w:r>
      <w:r w:rsidRPr="00032F8F">
        <w:rPr>
          <w:rFonts w:ascii="Verdana" w:eastAsia="Times New Roman" w:hAnsi="Verdana" w:cs="Times New Roman"/>
          <w:bCs/>
          <w:sz w:val="20"/>
          <w:szCs w:val="20"/>
          <w:lang w:val="pt-BR" w:eastAsia="pt-BR"/>
        </w:rPr>
        <w:lastRenderedPageBreak/>
        <w:t>apresentação dos documentos de habilitação exigidos neste Edital e/ou de documentos complementares necessários à verificação das condições de habilitação, quando cabível.</w:t>
      </w:r>
    </w:p>
    <w:p w14:paraId="2E0405C0" w14:textId="77777777" w:rsidR="00032F8F" w:rsidRPr="00032F8F" w:rsidRDefault="00032F8F" w:rsidP="00032F8F">
      <w:pPr>
        <w:widowControl/>
        <w:autoSpaceDE/>
        <w:autoSpaceDN/>
        <w:spacing w:line="360" w:lineRule="auto"/>
        <w:rPr>
          <w:rFonts w:ascii="Verdana" w:eastAsia="Times New Roman" w:hAnsi="Verdana" w:cs="Times New Roman"/>
          <w:sz w:val="20"/>
          <w:szCs w:val="20"/>
          <w:lang w:val="pt-BR" w:eastAsia="pt-BR"/>
        </w:rPr>
      </w:pPr>
      <w:r w:rsidRPr="00032F8F">
        <w:rPr>
          <w:rFonts w:ascii="Verdana" w:eastAsia="Times New Roman" w:hAnsi="Verdana" w:cs="Times New Roman"/>
          <w:bCs/>
          <w:sz w:val="20"/>
          <w:szCs w:val="20"/>
          <w:lang w:val="pt-BR" w:eastAsia="pt-BR"/>
        </w:rPr>
        <w:t>4.2.1. O prazo para atendimento da convocação será fixado pelo Pregoeiro, conforme a natureza e a complexidade dos documentos solicitados, não podendo ser inferior a 3 (três) horas nem superior a 24 (vinte e quatro) horas, contado da convocação realizada no sistema eletrônico.</w:t>
      </w:r>
    </w:p>
    <w:p w14:paraId="6B5D7130" w14:textId="77777777" w:rsidR="00032F8F" w:rsidRPr="00032F8F" w:rsidRDefault="00032F8F" w:rsidP="00032F8F">
      <w:pPr>
        <w:widowControl/>
        <w:autoSpaceDE/>
        <w:autoSpaceDN/>
        <w:spacing w:line="360" w:lineRule="auto"/>
        <w:rPr>
          <w:rFonts w:ascii="Verdana" w:eastAsia="Times New Roman" w:hAnsi="Verdana" w:cs="Times New Roman"/>
          <w:sz w:val="20"/>
          <w:szCs w:val="20"/>
          <w:lang w:val="pt-BR" w:eastAsia="pt-BR"/>
        </w:rPr>
      </w:pPr>
      <w:r w:rsidRPr="00032F8F">
        <w:rPr>
          <w:rFonts w:ascii="Verdana" w:eastAsia="Times New Roman" w:hAnsi="Verdana" w:cs="Times New Roman"/>
          <w:bCs/>
          <w:sz w:val="20"/>
          <w:szCs w:val="20"/>
          <w:lang w:val="pt-BR" w:eastAsia="pt-BR"/>
        </w:rPr>
        <w:t>4.2.2. Fica facultado ao Pregoeiro, mediante justificativa registrada no sistema, prorrogar ou reabrir o prazo previsto no subitem anterior por igual período, quando entender necessário para assegurar a adequada instrução do procedimento, a competitividade e a obtenção da proposta mais vantajosa, desde que não haja prejuízo à isonomia entre os licitantes.</w:t>
      </w:r>
    </w:p>
    <w:p w14:paraId="7ACC217D" w14:textId="77777777" w:rsidR="00032F8F" w:rsidRPr="00032F8F" w:rsidRDefault="00032F8F" w:rsidP="00032F8F">
      <w:pPr>
        <w:widowControl/>
        <w:autoSpaceDE/>
        <w:autoSpaceDN/>
        <w:spacing w:line="360" w:lineRule="auto"/>
        <w:rPr>
          <w:rFonts w:ascii="Verdana" w:eastAsia="Times New Roman" w:hAnsi="Verdana" w:cs="Times New Roman"/>
          <w:sz w:val="20"/>
          <w:szCs w:val="20"/>
          <w:lang w:val="pt-BR" w:eastAsia="pt-BR"/>
        </w:rPr>
      </w:pPr>
      <w:r w:rsidRPr="00032F8F">
        <w:rPr>
          <w:rFonts w:ascii="Verdana" w:eastAsia="Times New Roman" w:hAnsi="Verdana" w:cs="Times New Roman"/>
          <w:bCs/>
          <w:sz w:val="20"/>
          <w:szCs w:val="20"/>
          <w:lang w:val="pt-BR" w:eastAsia="pt-BR"/>
        </w:rPr>
        <w:t>4.2.3. A prorrogação ou reabertura do prazo poderá ocorrer de ofício pelo Pregoeiro ou mediante solicitação fundamentada do licitante, apresentada</w:t>
      </w:r>
      <w:r w:rsidRPr="00032F8F">
        <w:rPr>
          <w:rFonts w:ascii="Verdana" w:eastAsia="Times New Roman" w:hAnsi="Verdana" w:cs="Times New Roman"/>
          <w:b/>
          <w:bCs/>
          <w:sz w:val="20"/>
          <w:szCs w:val="20"/>
          <w:lang w:val="pt-BR" w:eastAsia="pt-BR"/>
        </w:rPr>
        <w:t xml:space="preserve"> </w:t>
      </w:r>
      <w:r w:rsidRPr="00032F8F">
        <w:rPr>
          <w:rFonts w:ascii="Verdana" w:eastAsia="Times New Roman" w:hAnsi="Verdana" w:cs="Times New Roman"/>
          <w:bCs/>
          <w:sz w:val="20"/>
          <w:szCs w:val="20"/>
          <w:lang w:val="pt-BR" w:eastAsia="pt-BR"/>
        </w:rPr>
        <w:t>antes do encerramento do prazo originalmente concedido, cabendo ao Pregoeiro decidir sobre o pedido.</w:t>
      </w:r>
    </w:p>
    <w:p w14:paraId="042DBDB6" w14:textId="77777777" w:rsidR="00032F8F" w:rsidRPr="00032F8F" w:rsidRDefault="00032F8F" w:rsidP="00032F8F">
      <w:pPr>
        <w:widowControl/>
        <w:autoSpaceDE/>
        <w:autoSpaceDN/>
        <w:spacing w:line="360" w:lineRule="auto"/>
        <w:rPr>
          <w:rFonts w:ascii="Verdana" w:eastAsia="Times New Roman" w:hAnsi="Verdana" w:cs="Times New Roman"/>
          <w:sz w:val="20"/>
          <w:szCs w:val="20"/>
          <w:lang w:val="pt-BR" w:eastAsia="pt-BR"/>
        </w:rPr>
      </w:pPr>
      <w:r w:rsidRPr="00032F8F">
        <w:rPr>
          <w:rFonts w:ascii="Verdana" w:eastAsia="Times New Roman" w:hAnsi="Verdana" w:cs="Times New Roman"/>
          <w:bCs/>
          <w:sz w:val="20"/>
          <w:szCs w:val="20"/>
          <w:lang w:val="pt-BR" w:eastAsia="pt-BR"/>
        </w:rPr>
        <w:t>4.2.4. O não atendimento da convocação no prazo estabelecido, inclusive após eventual prorrogação, quando concedida, ensejará a adoção das medidas previstas neste Edital, observada a natureza do documento solicitado e o disposto na Lei nº 14.133/2021.</w:t>
      </w:r>
    </w:p>
    <w:p w14:paraId="5531C440" w14:textId="77777777" w:rsidR="002B5BFA" w:rsidRPr="00C65DF7" w:rsidRDefault="002B5BFA" w:rsidP="00C65DF7">
      <w:pPr>
        <w:spacing w:line="360" w:lineRule="auto"/>
        <w:rPr>
          <w:rFonts w:ascii="Verdana" w:hAnsi="Verdana" w:cs="Arial"/>
          <w:bCs/>
          <w:sz w:val="20"/>
          <w:szCs w:val="20"/>
        </w:rPr>
      </w:pPr>
      <w:r w:rsidRPr="00032F8F">
        <w:rPr>
          <w:rFonts w:ascii="Verdana" w:hAnsi="Verdana" w:cs="Arial"/>
          <w:bCs/>
          <w:sz w:val="20"/>
          <w:szCs w:val="20"/>
        </w:rPr>
        <w:t>4.3. Caso a fase de habilitação anteceda as fases de apresentação de propostas e lances, os licitantes encaminharão</w:t>
      </w:r>
      <w:r w:rsidRPr="00C65DF7">
        <w:rPr>
          <w:rFonts w:ascii="Verdana" w:hAnsi="Verdana" w:cs="Arial"/>
          <w:bCs/>
          <w:sz w:val="20"/>
          <w:szCs w:val="20"/>
        </w:rPr>
        <w:t xml:space="preserve">,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4.4.4. Cumpre as exigências de reserva de cargos para pessoa com deficiência e para </w:t>
      </w:r>
      <w:r w:rsidRPr="00C65DF7">
        <w:rPr>
          <w:rFonts w:ascii="Verdana" w:hAnsi="Verdana" w:cs="Arial"/>
          <w:bCs/>
          <w:sz w:val="20"/>
          <w:szCs w:val="20"/>
        </w:rPr>
        <w:lastRenderedPageBreak/>
        <w:t>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93144A" w:rsidRDefault="002B5BFA" w:rsidP="00C65DF7">
      <w:pPr>
        <w:spacing w:line="360" w:lineRule="auto"/>
        <w:rPr>
          <w:rFonts w:ascii="Verdana" w:eastAsiaTheme="majorEastAsia" w:hAnsi="Verdana" w:cs="Tahoma"/>
          <w:b/>
          <w:color w:val="156082" w:themeColor="accent1"/>
          <w:sz w:val="20"/>
          <w:szCs w:val="20"/>
        </w:rPr>
      </w:pPr>
      <w:r w:rsidRPr="0093144A">
        <w:rPr>
          <w:rFonts w:ascii="Verdana" w:eastAsiaTheme="majorEastAsia" w:hAnsi="Verdana" w:cs="Arial"/>
          <w:b/>
          <w:color w:val="156082" w:themeColor="accent1"/>
          <w:sz w:val="20"/>
          <w:szCs w:val="20"/>
        </w:rPr>
        <w:t>5</w:t>
      </w:r>
      <w:r w:rsidRPr="0093144A">
        <w:rPr>
          <w:rFonts w:ascii="Verdana" w:eastAsiaTheme="majorEastAsia" w:hAnsi="Verdana"/>
          <w:b/>
          <w:color w:val="156082" w:themeColor="accent1"/>
          <w:sz w:val="20"/>
          <w:szCs w:val="20"/>
        </w:rPr>
        <w:t>. DA GARANTIA DA PROPOSTA</w:t>
      </w:r>
    </w:p>
    <w:p w14:paraId="1000C7C7" w14:textId="77777777" w:rsidR="0093144A" w:rsidRPr="0093144A" w:rsidRDefault="0093144A" w:rsidP="001B3133">
      <w:pPr>
        <w:widowControl/>
        <w:autoSpaceDE/>
        <w:autoSpaceDN/>
        <w:spacing w:line="360" w:lineRule="auto"/>
        <w:rPr>
          <w:rFonts w:ascii="Verdana" w:eastAsia="Times New Roman" w:hAnsi="Verdana" w:cs="Times New Roman"/>
          <w:sz w:val="20"/>
          <w:szCs w:val="20"/>
          <w:lang w:val="pt-BR" w:eastAsia="pt-BR"/>
        </w:rPr>
      </w:pPr>
      <w:r w:rsidRPr="0093144A">
        <w:rPr>
          <w:rFonts w:ascii="Verdana" w:eastAsia="Times New Roman" w:hAnsi="Verdana" w:cs="Times New Roman"/>
          <w:bCs/>
          <w:sz w:val="20"/>
          <w:szCs w:val="20"/>
          <w:lang w:val="pt-BR" w:eastAsia="pt-BR"/>
        </w:rPr>
        <w:t>5.1. Não será exigida garantia de proposta como requisito de pré-habilitação, prevista no art. 58 da Lei nº 14.133/2021, considerando a natureza comum do objeto, o fornecimento parcelado e a ausência de complexidade ou risco que justifique a adoção dessa medida.</w:t>
      </w:r>
    </w:p>
    <w:p w14:paraId="08FCD964" w14:textId="15E5B0CB" w:rsidR="0093144A" w:rsidRDefault="0093144A" w:rsidP="001B3133">
      <w:pPr>
        <w:widowControl/>
        <w:autoSpaceDE/>
        <w:autoSpaceDN/>
        <w:spacing w:line="360" w:lineRule="auto"/>
        <w:rPr>
          <w:rFonts w:ascii="Verdana" w:eastAsia="Times New Roman" w:hAnsi="Verdana" w:cs="Times New Roman"/>
          <w:bCs/>
          <w:sz w:val="20"/>
          <w:szCs w:val="20"/>
          <w:lang w:val="pt-BR" w:eastAsia="pt-BR"/>
        </w:rPr>
      </w:pPr>
      <w:r w:rsidRPr="0093144A">
        <w:rPr>
          <w:rFonts w:ascii="Verdana" w:eastAsia="Times New Roman" w:hAnsi="Verdana" w:cs="Times New Roman"/>
          <w:bCs/>
          <w:sz w:val="20"/>
          <w:szCs w:val="20"/>
          <w:lang w:val="pt-BR" w:eastAsia="pt-BR"/>
        </w:rPr>
        <w:t>5.2. A não exigência da garantia de proposta não afasta a responsabilidade do licitante pela proposta apresentada, permanecendo sujeito às sanções previstas neste Edital e na Lei nº 14.133/2021 em caso de prática de atos que configurem infração administrativa.</w:t>
      </w:r>
    </w:p>
    <w:p w14:paraId="27BC0BED" w14:textId="77777777" w:rsidR="001B3133" w:rsidRPr="0093144A" w:rsidRDefault="001B3133" w:rsidP="001B3133">
      <w:pPr>
        <w:widowControl/>
        <w:autoSpaceDE/>
        <w:autoSpaceDN/>
        <w:spacing w:line="360" w:lineRule="auto"/>
        <w:rPr>
          <w:rFonts w:ascii="Verdana" w:eastAsia="Times New Roman" w:hAnsi="Verdana" w:cs="Times New Roman"/>
          <w:sz w:val="20"/>
          <w:szCs w:val="20"/>
          <w:lang w:val="pt-BR" w:eastAsia="pt-BR"/>
        </w:rPr>
      </w:pPr>
    </w:p>
    <w:p w14:paraId="769345AC" w14:textId="77777777" w:rsidR="002B5BFA" w:rsidRPr="0093144A" w:rsidRDefault="002B5BFA" w:rsidP="00C65DF7">
      <w:pPr>
        <w:pStyle w:val="Ttulo1"/>
        <w:spacing w:before="0" w:after="0" w:line="360" w:lineRule="auto"/>
        <w:rPr>
          <w:rFonts w:ascii="Verdana" w:hAnsi="Verdana" w:cs="Arial"/>
          <w:sz w:val="20"/>
          <w:szCs w:val="20"/>
        </w:rPr>
      </w:pPr>
      <w:bookmarkStart w:id="6" w:name="_Toc138354312"/>
      <w:r w:rsidRPr="0093144A">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93144A">
        <w:rPr>
          <w:rFonts w:ascii="Verdana" w:hAnsi="Verdana" w:cs="Arial"/>
          <w:bCs/>
          <w:sz w:val="20"/>
          <w:szCs w:val="20"/>
        </w:rPr>
        <w:t>6.1. O licitante deverá</w:t>
      </w:r>
      <w:r w:rsidRPr="00C65DF7">
        <w:rPr>
          <w:rFonts w:ascii="Verdana" w:hAnsi="Verdana" w:cs="Arial"/>
          <w:bCs/>
          <w:sz w:val="20"/>
          <w:szCs w:val="20"/>
        </w:rPr>
        <w:t xml:space="preserve">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6.3. Nos valores propostos estarão inclusos todos os custos operacionais, encargos previdenciários, trabalhistas, tributários, comerciais e quaisquer outros que incidam </w:t>
      </w:r>
      <w:r w:rsidRPr="00C65DF7">
        <w:rPr>
          <w:rFonts w:ascii="Verdana" w:hAnsi="Verdana" w:cs="Arial"/>
          <w:bCs/>
          <w:sz w:val="20"/>
          <w:szCs w:val="20"/>
        </w:rPr>
        <w:lastRenderedPageBreak/>
        <w:t>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 Os licitantes poderão retirar ou substituir a proposta ou os documentos de </w:t>
      </w:r>
      <w:r w:rsidRPr="00C65DF7">
        <w:rPr>
          <w:rFonts w:ascii="Verdana" w:hAnsi="Verdana" w:cs="Arial"/>
          <w:bCs/>
          <w:sz w:val="20"/>
          <w:szCs w:val="20"/>
        </w:rPr>
        <w:lastRenderedPageBreak/>
        <w:t>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 Caso seja adotado para o envio de lances no pregão eletrônico o modo de disputa </w:t>
      </w:r>
      <w:r w:rsidRPr="00C65DF7">
        <w:rPr>
          <w:rFonts w:ascii="Verdana" w:hAnsi="Verdana" w:cs="Arial"/>
          <w:bCs/>
          <w:sz w:val="20"/>
          <w:szCs w:val="20"/>
        </w:rPr>
        <w:lastRenderedPageBreak/>
        <w:t>“aberto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2307AF7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w:t>
      </w:r>
      <w:r w:rsidR="0047219E">
        <w:rPr>
          <w:rFonts w:ascii="Verdana" w:hAnsi="Verdana" w:cs="Arial"/>
          <w:b/>
          <w:bCs/>
          <w:sz w:val="20"/>
          <w:szCs w:val="20"/>
          <w:u w:val="single"/>
        </w:rPr>
        <w:t>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w:t>
      </w:r>
      <w:r w:rsidRPr="00C65DF7">
        <w:rPr>
          <w:rFonts w:ascii="Verdana" w:hAnsi="Verdana" w:cs="Arial"/>
          <w:bCs/>
          <w:sz w:val="20"/>
          <w:szCs w:val="20"/>
        </w:rPr>
        <w:lastRenderedPageBreak/>
        <w:t>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w:t>
      </w:r>
      <w:r w:rsidRPr="00C65DF7">
        <w:rPr>
          <w:rFonts w:ascii="Verdana" w:hAnsi="Verdana" w:cs="Arial"/>
          <w:bCs/>
          <w:sz w:val="20"/>
          <w:szCs w:val="20"/>
        </w:rPr>
        <w:lastRenderedPageBreak/>
        <w:t>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7.22.3. A negociação poderá ser feita com os demais licitantes, segundo a ordem de classificação inicialmente estabelecida, quando o primeiro colocado, mesmo após a </w:t>
      </w:r>
      <w:r w:rsidRPr="00C65DF7">
        <w:rPr>
          <w:rFonts w:ascii="Verdana" w:hAnsi="Verdana" w:cs="Arial"/>
          <w:bCs/>
          <w:sz w:val="20"/>
          <w:szCs w:val="20"/>
        </w:rPr>
        <w:lastRenderedPageBreak/>
        <w:t>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resultado da negociação será divulgado a todos os licitantes e anexado aos 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lastRenderedPageBreak/>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 xml:space="preserve">9.6. Os documentos exigidos para fins de habilitação poderão ser substituídos por registro cadastral emitido por órgão ou entidade pública, desde que o registro tenha sido </w:t>
      </w:r>
      <w:r w:rsidRPr="00C65DF7">
        <w:rPr>
          <w:rFonts w:ascii="Verdana" w:hAnsi="Verdana" w:cs="Arial"/>
          <w:sz w:val="20"/>
          <w:szCs w:val="20"/>
        </w:rPr>
        <w:lastRenderedPageBreak/>
        <w:t>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5D5751"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9.10. A verificação pelo Pregoeiro, em sítios eletrônicos oficiais de órgãos e entidades emissores de </w:t>
      </w:r>
      <w:r w:rsidRPr="005D5751">
        <w:rPr>
          <w:rFonts w:ascii="Verdana" w:hAnsi="Verdana" w:cs="Arial"/>
          <w:bCs/>
          <w:sz w:val="20"/>
          <w:szCs w:val="20"/>
        </w:rPr>
        <w:t>certidões constitui meio legal de prova, para fins de habilitação.</w:t>
      </w:r>
    </w:p>
    <w:p w14:paraId="4C439200" w14:textId="654338F2" w:rsidR="002B5BFA" w:rsidRPr="005D5751" w:rsidRDefault="002B5BFA" w:rsidP="00C65DF7">
      <w:pPr>
        <w:spacing w:line="360" w:lineRule="auto"/>
        <w:rPr>
          <w:rFonts w:ascii="Verdana" w:hAnsi="Verdana" w:cs="Arial"/>
          <w:bCs/>
          <w:sz w:val="20"/>
          <w:szCs w:val="20"/>
        </w:rPr>
      </w:pPr>
      <w:r w:rsidRPr="005D5751">
        <w:rPr>
          <w:rFonts w:ascii="Verdana" w:hAnsi="Verdana" w:cs="Arial"/>
          <w:bCs/>
          <w:sz w:val="20"/>
          <w:szCs w:val="20"/>
        </w:rPr>
        <w:t xml:space="preserve">9.10.1. Os documentos exigidos para habilitação serão enviados por meio do sistema ou outro meio informado pela administração, em formato digital, </w:t>
      </w:r>
      <w:r w:rsidR="005D5751" w:rsidRPr="005D5751">
        <w:rPr>
          <w:rFonts w:ascii="Verdana" w:hAnsi="Verdana"/>
          <w:sz w:val="20"/>
          <w:szCs w:val="20"/>
        </w:rPr>
        <w:t xml:space="preserve">prazo a ser fixado pelo Pregoeiro entre </w:t>
      </w:r>
      <w:r w:rsidR="005D5751" w:rsidRPr="005D5751">
        <w:rPr>
          <w:rStyle w:val="Forte"/>
          <w:rFonts w:ascii="Verdana" w:hAnsi="Verdana"/>
          <w:sz w:val="20"/>
          <w:szCs w:val="20"/>
        </w:rPr>
        <w:t>3 e 24 horas</w:t>
      </w:r>
      <w:r w:rsidR="005D5751" w:rsidRPr="005D5751">
        <w:rPr>
          <w:rFonts w:ascii="Verdana" w:hAnsi="Verdana"/>
          <w:sz w:val="20"/>
          <w:szCs w:val="20"/>
        </w:rPr>
        <w:t>, com possibilidade de prorrogação/reabertura por igual período</w:t>
      </w:r>
      <w:r w:rsidRPr="005D5751">
        <w:rPr>
          <w:rFonts w:ascii="Verdana" w:hAnsi="Verdana" w:cs="Arial"/>
          <w:bCs/>
          <w:sz w:val="20"/>
          <w:szCs w:val="20"/>
        </w:rPr>
        <w:t>.</w:t>
      </w:r>
    </w:p>
    <w:p w14:paraId="5744E3EA" w14:textId="77777777" w:rsidR="002B5BFA" w:rsidRPr="00C65DF7" w:rsidRDefault="002B5BFA" w:rsidP="00C65DF7">
      <w:pPr>
        <w:spacing w:line="360" w:lineRule="auto"/>
        <w:rPr>
          <w:rFonts w:ascii="Verdana" w:hAnsi="Verdana" w:cs="Arial"/>
          <w:bCs/>
          <w:sz w:val="20"/>
          <w:szCs w:val="20"/>
        </w:rPr>
      </w:pPr>
      <w:r w:rsidRPr="005D5751">
        <w:rPr>
          <w:rFonts w:ascii="Verdana" w:hAnsi="Verdana" w:cs="Arial"/>
          <w:bCs/>
          <w:sz w:val="20"/>
          <w:szCs w:val="20"/>
        </w:rPr>
        <w:t>9.10.2. Na hipótese de a fase de habilitação anteceder a fase de apresentação de propostas e lances, os licitantes</w:t>
      </w:r>
      <w:r w:rsidRPr="00C65DF7">
        <w:rPr>
          <w:rFonts w:ascii="Verdana" w:hAnsi="Verdana" w:cs="Arial"/>
          <w:bCs/>
          <w:sz w:val="20"/>
          <w:szCs w:val="20"/>
        </w:rPr>
        <w:t xml:space="preserve">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10.6. A existência de preços registrados implicará compromisso de fornecimento nas condições estabelecidas, mas não obrigará a Administração a contratar, facultada a </w:t>
      </w:r>
      <w:r w:rsidRPr="00C65DF7">
        <w:rPr>
          <w:rFonts w:ascii="Verdana" w:hAnsi="Verdana" w:cs="Arial"/>
          <w:sz w:val="20"/>
          <w:szCs w:val="20"/>
        </w:rPr>
        <w:lastRenderedPageBreak/>
        <w:t>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lastRenderedPageBreak/>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13.1.1. Deixar de entregar a documentação exigida para o certame ou não entregar </w:t>
      </w:r>
      <w:r w:rsidRPr="00C65DF7">
        <w:rPr>
          <w:rFonts w:ascii="Verdana" w:hAnsi="Verdana" w:cs="Arial"/>
          <w:bCs/>
          <w:sz w:val="20"/>
          <w:szCs w:val="20"/>
        </w:rPr>
        <w:lastRenderedPageBreak/>
        <w:t>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w:t>
      </w:r>
      <w:r w:rsidRPr="00DF6DC9">
        <w:rPr>
          <w:rFonts w:ascii="Verdana" w:hAnsi="Verdana" w:cs="Arial"/>
          <w:bCs/>
          <w:sz w:val="20"/>
          <w:szCs w:val="20"/>
        </w:rPr>
        <w:lastRenderedPageBreak/>
        <w:t xml:space="preserve">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lastRenderedPageBreak/>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3A16A011" w:rsidR="002B5BFA" w:rsidRDefault="002B5BFA" w:rsidP="00C65DF7">
      <w:pPr>
        <w:spacing w:line="360" w:lineRule="auto"/>
        <w:ind w:right="-15"/>
        <w:jc w:val="center"/>
        <w:rPr>
          <w:rFonts w:ascii="Verdana" w:hAnsi="Verdana" w:cs="Arial"/>
          <w:b/>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E40403" w:rsidRPr="00E40403">
        <w:rPr>
          <w:rFonts w:ascii="Verdana" w:hAnsi="Verdana" w:cs="Arial"/>
          <w:b/>
          <w:sz w:val="20"/>
          <w:szCs w:val="20"/>
        </w:rPr>
        <w:t>21</w:t>
      </w:r>
      <w:r w:rsidR="006D2A4A" w:rsidRPr="00960A0E">
        <w:rPr>
          <w:rFonts w:ascii="Verdana" w:hAnsi="Verdana" w:cs="Arial"/>
          <w:b/>
          <w:sz w:val="20"/>
          <w:szCs w:val="20"/>
        </w:rPr>
        <w:t xml:space="preserve"> </w:t>
      </w:r>
      <w:r w:rsidRPr="0042362C">
        <w:rPr>
          <w:rFonts w:ascii="Verdana" w:hAnsi="Verdana" w:cs="Arial"/>
          <w:b/>
          <w:sz w:val="20"/>
          <w:szCs w:val="20"/>
        </w:rPr>
        <w:t xml:space="preserve">de </w:t>
      </w:r>
      <w:r w:rsidR="00E40403">
        <w:rPr>
          <w:rFonts w:ascii="Verdana" w:hAnsi="Verdana" w:cs="Arial"/>
          <w:b/>
          <w:sz w:val="20"/>
          <w:szCs w:val="20"/>
        </w:rPr>
        <w:t>Outubro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50AE9CF7" w14:textId="77777777" w:rsidR="001409E7" w:rsidRPr="0042362C" w:rsidRDefault="001409E7" w:rsidP="00C65DF7">
      <w:pPr>
        <w:spacing w:line="360" w:lineRule="auto"/>
        <w:ind w:right="-15"/>
        <w:jc w:val="center"/>
        <w:rPr>
          <w:rFonts w:ascii="Verdana" w:hAnsi="Verdana" w:cs="Arial"/>
          <w:sz w:val="20"/>
          <w:szCs w:val="20"/>
        </w:rPr>
      </w:pP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0F116F3C" w14:textId="4E3AF497" w:rsidR="006D2A4A" w:rsidRDefault="00CB6AD2" w:rsidP="006D2A4A">
      <w:pPr>
        <w:spacing w:line="360" w:lineRule="auto"/>
        <w:jc w:val="center"/>
        <w:rPr>
          <w:rFonts w:ascii="Verdana" w:hAnsi="Verdana" w:cs="Arial"/>
          <w:sz w:val="20"/>
          <w:szCs w:val="20"/>
        </w:rPr>
      </w:pPr>
      <w:r>
        <w:rPr>
          <w:rFonts w:ascii="Verdana" w:hAnsi="Verdana" w:cs="Arial"/>
          <w:sz w:val="20"/>
          <w:szCs w:val="20"/>
        </w:rPr>
        <w:t>Cassimiro Castro e Silva – Prefeito em exercicio</w:t>
      </w:r>
    </w:p>
    <w:p w14:paraId="46C62F55" w14:textId="77777777" w:rsidR="00CB6AD2" w:rsidRDefault="00CB6AD2" w:rsidP="006D2A4A">
      <w:pPr>
        <w:spacing w:line="360" w:lineRule="auto"/>
        <w:jc w:val="center"/>
        <w:rPr>
          <w:rFonts w:ascii="Verdana" w:hAnsi="Verdana" w:cs="Arial"/>
          <w:sz w:val="20"/>
          <w:szCs w:val="20"/>
        </w:rPr>
      </w:pPr>
    </w:p>
    <w:p w14:paraId="410FE51C" w14:textId="19D5372B" w:rsidR="00B323D6" w:rsidRDefault="00B323D6" w:rsidP="006D2A4A">
      <w:pPr>
        <w:spacing w:line="360" w:lineRule="auto"/>
        <w:jc w:val="center"/>
        <w:rPr>
          <w:rFonts w:ascii="Verdana" w:hAnsi="Verdana" w:cs="Arial"/>
          <w:sz w:val="20"/>
          <w:szCs w:val="20"/>
        </w:rPr>
      </w:pPr>
    </w:p>
    <w:p w14:paraId="23B237DA" w14:textId="071567C3" w:rsidR="00B323D6" w:rsidRDefault="00B323D6" w:rsidP="006D2A4A">
      <w:pPr>
        <w:spacing w:line="360" w:lineRule="auto"/>
        <w:jc w:val="center"/>
        <w:rPr>
          <w:rFonts w:ascii="Verdana" w:hAnsi="Verdana" w:cs="Arial"/>
          <w:sz w:val="20"/>
          <w:szCs w:val="20"/>
        </w:rPr>
      </w:pPr>
    </w:p>
    <w:p w14:paraId="5B3A54D7" w14:textId="67D5B45D" w:rsidR="00B323D6" w:rsidRDefault="00B323D6" w:rsidP="006D2A4A">
      <w:pPr>
        <w:spacing w:line="360" w:lineRule="auto"/>
        <w:jc w:val="center"/>
        <w:rPr>
          <w:rFonts w:ascii="Verdana" w:hAnsi="Verdana" w:cs="Arial"/>
          <w:sz w:val="20"/>
          <w:szCs w:val="20"/>
        </w:rPr>
      </w:pPr>
    </w:p>
    <w:p w14:paraId="0C754215" w14:textId="0974E17F" w:rsidR="00B323D6" w:rsidRDefault="00B323D6" w:rsidP="006D2A4A">
      <w:pPr>
        <w:spacing w:line="360" w:lineRule="auto"/>
        <w:jc w:val="center"/>
        <w:rPr>
          <w:rFonts w:ascii="Verdana" w:hAnsi="Verdana" w:cs="Arial"/>
          <w:sz w:val="20"/>
          <w:szCs w:val="20"/>
        </w:rPr>
      </w:pPr>
    </w:p>
    <w:p w14:paraId="63FB6BA6" w14:textId="0B0A0B4C" w:rsidR="00B323D6" w:rsidRDefault="00B323D6" w:rsidP="006D2A4A">
      <w:pPr>
        <w:spacing w:line="360" w:lineRule="auto"/>
        <w:jc w:val="center"/>
        <w:rPr>
          <w:rFonts w:ascii="Verdana" w:hAnsi="Verdana" w:cs="Arial"/>
          <w:sz w:val="20"/>
          <w:szCs w:val="20"/>
        </w:rPr>
      </w:pPr>
    </w:p>
    <w:p w14:paraId="1B602898" w14:textId="77777777" w:rsidR="00CB6AD2" w:rsidRPr="0042362C" w:rsidRDefault="00CB6AD2" w:rsidP="006D2A4A">
      <w:pPr>
        <w:spacing w:line="360" w:lineRule="auto"/>
        <w:jc w:val="center"/>
        <w:rPr>
          <w:rFonts w:ascii="Verdana" w:hAnsi="Verdana" w:cs="Arial"/>
          <w:sz w:val="20"/>
          <w:szCs w:val="20"/>
        </w:rPr>
      </w:pPr>
    </w:p>
    <w:p w14:paraId="7D8D3A1C" w14:textId="2DFB4A98" w:rsidR="007E534E" w:rsidRPr="0042362C" w:rsidRDefault="007E534E" w:rsidP="006D2A4A">
      <w:pPr>
        <w:spacing w:line="360" w:lineRule="auto"/>
        <w:jc w:val="center"/>
        <w:rPr>
          <w:rFonts w:ascii="Verdana" w:hAnsi="Verdana" w:cs="Arial"/>
          <w:sz w:val="20"/>
          <w:szCs w:val="20"/>
        </w:rPr>
      </w:pPr>
    </w:p>
    <w:p w14:paraId="6EB6B747" w14:textId="77777777" w:rsidR="00794E77" w:rsidRPr="00794E77" w:rsidRDefault="00794E77" w:rsidP="00794E77">
      <w:pPr>
        <w:pStyle w:val="Ttulo"/>
        <w:jc w:val="center"/>
        <w:rPr>
          <w:rFonts w:ascii="Verdana" w:hAnsi="Verdana"/>
          <w:b/>
          <w:sz w:val="28"/>
          <w:szCs w:val="28"/>
        </w:rPr>
      </w:pPr>
      <w:r w:rsidRPr="00794E77">
        <w:rPr>
          <w:rFonts w:ascii="Verdana" w:hAnsi="Verdana"/>
          <w:b/>
          <w:sz w:val="28"/>
          <w:szCs w:val="28"/>
        </w:rPr>
        <w:lastRenderedPageBreak/>
        <w:t>Termo de Referência</w:t>
      </w:r>
    </w:p>
    <w:p w14:paraId="72A1FE53" w14:textId="77777777" w:rsidR="00794E77" w:rsidRPr="00AA4D6F" w:rsidRDefault="00794E77" w:rsidP="00794E77">
      <w:pPr>
        <w:rPr>
          <w:rFonts w:ascii="Verdana" w:hAnsi="Verdana"/>
        </w:rPr>
      </w:pPr>
      <w:r w:rsidRPr="00AA4D6F">
        <w:rPr>
          <w:rFonts w:ascii="Verdana" w:hAnsi="Verdana"/>
        </w:rPr>
        <w:t>Registro de preços para aquisição de café pelo menor preço global</w:t>
      </w:r>
    </w:p>
    <w:p w14:paraId="4BA6A6C5" w14:textId="77777777" w:rsidR="00794E77" w:rsidRPr="00AA4D6F" w:rsidRDefault="00794E77" w:rsidP="00794E77">
      <w:pPr>
        <w:rPr>
          <w:rFonts w:ascii="Verdana" w:hAnsi="Verdana"/>
        </w:rPr>
      </w:pPr>
      <w:r w:rsidRPr="00AA4D6F">
        <w:rPr>
          <w:rFonts w:ascii="Verdana" w:hAnsi="Verdana"/>
        </w:rPr>
        <w:t>Município de Correntina BA</w:t>
      </w:r>
      <w:r w:rsidRPr="00AA4D6F">
        <w:rPr>
          <w:rFonts w:ascii="Verdana" w:hAnsi="Verdana"/>
        </w:rPr>
        <w:br/>
        <w:t>Unidades beneficiárias: todas as secretarias municipais e respectivas unidades vinculadas.</w:t>
      </w:r>
      <w:r w:rsidRPr="00AA4D6F">
        <w:rPr>
          <w:rFonts w:ascii="Verdana" w:hAnsi="Verdana"/>
        </w:rPr>
        <w:br/>
        <w:t>Processo administrativo: 156/2026.</w:t>
      </w:r>
      <w:r w:rsidRPr="00AA4D6F">
        <w:rPr>
          <w:rFonts w:ascii="Verdana" w:hAnsi="Verdana"/>
        </w:rPr>
        <w:br/>
        <w:t>Unidade gerenciadora: Secretaria de Administração.</w:t>
      </w:r>
      <w:r w:rsidRPr="00AA4D6F">
        <w:rPr>
          <w:rFonts w:ascii="Verdana" w:hAnsi="Verdana"/>
        </w:rPr>
        <w:br/>
      </w:r>
    </w:p>
    <w:p w14:paraId="5358ADB4"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 Objeto e natureza da contratação</w:t>
      </w:r>
    </w:p>
    <w:p w14:paraId="0C0CBFF0" w14:textId="77777777" w:rsidR="00794E77" w:rsidRPr="00AA4D6F" w:rsidRDefault="00794E77" w:rsidP="00794E77">
      <w:pPr>
        <w:rPr>
          <w:rFonts w:ascii="Verdana" w:hAnsi="Verdana"/>
        </w:rPr>
      </w:pPr>
      <w:r w:rsidRPr="00AA4D6F">
        <w:rPr>
          <w:rFonts w:ascii="Verdana" w:hAnsi="Verdana"/>
        </w:rPr>
        <w:t>1.1 Registro de preços para futura e eventual aquisição de café descafeinado, café gourmet em grãos, café solúvel e café torrado e moído, com fornecimento parcelado, para atender às necessidades de todas as secretarias e respectivas unidades vinculadas do Município de Correntina/BA, conforme especificações, quantidades e condições deste Termo de Referência.</w:t>
      </w:r>
    </w:p>
    <w:p w14:paraId="602C2317" w14:textId="77777777" w:rsidR="00794E77" w:rsidRPr="00AA4D6F" w:rsidRDefault="00794E77" w:rsidP="00794E77">
      <w:pPr>
        <w:rPr>
          <w:rFonts w:ascii="Verdana" w:hAnsi="Verdana"/>
        </w:rPr>
      </w:pPr>
      <w:r w:rsidRPr="00AA4D6F">
        <w:rPr>
          <w:rFonts w:ascii="Verdana" w:hAnsi="Verdana"/>
        </w:rPr>
        <w:t>1.2 O objeto consiste em bens comuns de consumo, com características definíveis por especificações usuais de mercado. Não estão incluídos máquinas, locação, comodato, manutenção, serviço de preparo ou fornecimento de bebidas prontas.</w:t>
      </w:r>
    </w:p>
    <w:p w14:paraId="184B1F72" w14:textId="77777777" w:rsidR="00794E77" w:rsidRPr="00AA4D6F" w:rsidRDefault="00794E77" w:rsidP="00794E77">
      <w:pPr>
        <w:rPr>
          <w:rFonts w:ascii="Verdana" w:hAnsi="Verdana"/>
        </w:rPr>
      </w:pPr>
      <w:r w:rsidRPr="00AA4D6F">
        <w:rPr>
          <w:rFonts w:ascii="Verdana" w:hAnsi="Verdana"/>
        </w:rPr>
        <w:t>1.3 O quantitativo de cada item é estimado para planejamento de 12 meses. O registro de preços não obriga a Administração a contratar a totalidade das quantidades. As contratações decorrerão de necessidades formalizadas, observados saldos, recursos e condições do edital e da ata.</w:t>
      </w:r>
    </w:p>
    <w:p w14:paraId="15021615"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2 Fundamentação e necessidade</w:t>
      </w:r>
    </w:p>
    <w:p w14:paraId="0C15E9EA" w14:textId="77777777" w:rsidR="00794E77" w:rsidRPr="00AA4D6F" w:rsidRDefault="00794E77" w:rsidP="00794E77">
      <w:pPr>
        <w:rPr>
          <w:rFonts w:ascii="Verdana" w:hAnsi="Verdana"/>
        </w:rPr>
      </w:pPr>
      <w:r w:rsidRPr="00AA4D6F">
        <w:rPr>
          <w:rFonts w:ascii="Verdana" w:hAnsi="Verdana"/>
        </w:rPr>
        <w:t>2.1 A contratação fundamenta-se no DFD e no ETP da aquisição de café para todas as secretarias municipais, integrantes do processo. Destina-se ao abastecimento das copas das repartições e ao apoio às rotinas administrativas, reuniões, capacitações e atividades institucionais.</w:t>
      </w:r>
    </w:p>
    <w:p w14:paraId="3FBB7805" w14:textId="77777777" w:rsidR="00794E77" w:rsidRPr="00AA4D6F" w:rsidRDefault="00794E77" w:rsidP="00794E77">
      <w:pPr>
        <w:rPr>
          <w:rFonts w:ascii="Verdana" w:hAnsi="Verdana"/>
        </w:rPr>
      </w:pPr>
      <w:r w:rsidRPr="00AA4D6F">
        <w:rPr>
          <w:rFonts w:ascii="Verdana" w:hAnsi="Verdana"/>
        </w:rPr>
        <w:t>2.2 O planejamento conjunto busca padronizar os produtos, organizar a reposição, acompanhar o consumo por unidade e reduzir perdas por excesso de estoque. As entregas parceladas ajustam o abastecimento à capacidade de armazenamento e à utilização dos alimentos.</w:t>
      </w:r>
    </w:p>
    <w:p w14:paraId="15F832A2" w14:textId="77777777" w:rsidR="00794E77" w:rsidRPr="00AA4D6F" w:rsidRDefault="00794E77" w:rsidP="00794E77">
      <w:pPr>
        <w:rPr>
          <w:rFonts w:ascii="Verdana" w:hAnsi="Verdana"/>
        </w:rPr>
      </w:pPr>
      <w:r w:rsidRPr="00AA4D6F">
        <w:rPr>
          <w:rFonts w:ascii="Verdana" w:hAnsi="Verdana"/>
        </w:rPr>
        <w:t>2.3 A opção por aquisição de produtos decorre da adequação às rotinas de copa das unidades. O ETP examinou qualitativamente entregas únicas ou parceladas, máquinas com insumos e serviços de bebidas prontas. A estrutura de preparo e a necessidade das apresentações especiais deverão ser confirmadas no processo.</w:t>
      </w:r>
    </w:p>
    <w:p w14:paraId="6DBB2A05" w14:textId="77777777" w:rsidR="00794E77" w:rsidRPr="00AA4D6F" w:rsidRDefault="00794E77" w:rsidP="00794E77">
      <w:pPr>
        <w:rPr>
          <w:rFonts w:ascii="Verdana" w:hAnsi="Verdana"/>
        </w:rPr>
      </w:pPr>
      <w:r w:rsidRPr="00AA4D6F">
        <w:rPr>
          <w:rFonts w:ascii="Verdana" w:hAnsi="Verdana"/>
        </w:rPr>
        <w:t>2.4 Integram a base documental o DFD e ETP. Os quantitativos deverão ser ratificados por mapa de demanda das secretarias, acompanhado de memória de cálculo, saldos de estoque e informação sobre contratações vigentes, antes da publicação.</w:t>
      </w:r>
    </w:p>
    <w:p w14:paraId="4047F25C" w14:textId="77777777" w:rsidR="00794E77" w:rsidRPr="00AA4D6F" w:rsidRDefault="00794E77" w:rsidP="00794E77">
      <w:pPr>
        <w:pStyle w:val="Ttulo1"/>
        <w:pageBreakBefore/>
        <w:rPr>
          <w:rFonts w:ascii="Verdana" w:hAnsi="Verdana"/>
          <w:color w:val="auto"/>
          <w:sz w:val="22"/>
          <w:szCs w:val="22"/>
        </w:rPr>
      </w:pPr>
      <w:r w:rsidRPr="00AA4D6F">
        <w:rPr>
          <w:rFonts w:ascii="Verdana" w:hAnsi="Verdana"/>
          <w:color w:val="auto"/>
          <w:sz w:val="22"/>
          <w:szCs w:val="22"/>
        </w:rPr>
        <w:lastRenderedPageBreak/>
        <w:t>3 Quantidades e preços de referência</w:t>
      </w:r>
    </w:p>
    <w:tbl>
      <w:tblPr>
        <w:tblW w:w="9816" w:type="dxa"/>
        <w:tblLayout w:type="fixed"/>
        <w:tblLook w:val="04A0" w:firstRow="1" w:lastRow="0" w:firstColumn="1" w:lastColumn="0" w:noHBand="0" w:noVBand="1"/>
      </w:tblPr>
      <w:tblGrid>
        <w:gridCol w:w="558"/>
        <w:gridCol w:w="3859"/>
        <w:gridCol w:w="1107"/>
        <w:gridCol w:w="2360"/>
        <w:gridCol w:w="1932"/>
      </w:tblGrid>
      <w:tr w:rsidR="00794E77" w:rsidRPr="00AA4D6F" w14:paraId="11F3F058" w14:textId="77777777" w:rsidTr="00EA161D">
        <w:trPr>
          <w:tblHeader/>
        </w:trPr>
        <w:tc>
          <w:tcPr>
            <w:tcW w:w="567" w:type="dxa"/>
            <w:tcBorders>
              <w:top w:val="single" w:sz="4" w:space="0" w:color="D9D9D9"/>
              <w:left w:val="single" w:sz="4" w:space="0" w:color="D9D9D9"/>
              <w:bottom w:val="single" w:sz="4" w:space="0" w:color="D9D9D9"/>
              <w:right w:val="single" w:sz="4" w:space="0" w:color="D9D9D9"/>
            </w:tcBorders>
            <w:shd w:val="clear" w:color="auto" w:fill="E7E6E6"/>
          </w:tcPr>
          <w:p w14:paraId="232986AB" w14:textId="77777777" w:rsidR="00794E77" w:rsidRPr="00AA4D6F" w:rsidRDefault="00794E77" w:rsidP="00EA161D">
            <w:pPr>
              <w:keepNext/>
              <w:rPr>
                <w:rFonts w:ascii="Verdana" w:hAnsi="Verdana"/>
              </w:rPr>
            </w:pPr>
            <w:r w:rsidRPr="00AA4D6F">
              <w:rPr>
                <w:rFonts w:ascii="Verdana" w:hAnsi="Verdana"/>
              </w:rPr>
              <w:t>Nº</w:t>
            </w:r>
          </w:p>
        </w:tc>
        <w:tc>
          <w:tcPr>
            <w:tcW w:w="3969" w:type="dxa"/>
            <w:tcBorders>
              <w:top w:val="single" w:sz="4" w:space="0" w:color="D9D9D9"/>
              <w:left w:val="single" w:sz="4" w:space="0" w:color="D9D9D9"/>
              <w:bottom w:val="single" w:sz="4" w:space="0" w:color="D9D9D9"/>
              <w:right w:val="single" w:sz="4" w:space="0" w:color="D9D9D9"/>
            </w:tcBorders>
            <w:shd w:val="clear" w:color="auto" w:fill="E7E6E6"/>
          </w:tcPr>
          <w:p w14:paraId="0B202065" w14:textId="77777777" w:rsidR="00794E77" w:rsidRPr="00AA4D6F" w:rsidRDefault="00794E77" w:rsidP="00EA161D">
            <w:pPr>
              <w:keepNext/>
              <w:spacing w:before="100" w:after="100"/>
              <w:rPr>
                <w:rFonts w:ascii="Verdana" w:hAnsi="Verdana"/>
              </w:rPr>
            </w:pPr>
            <w:r w:rsidRPr="00AA4D6F">
              <w:rPr>
                <w:rFonts w:ascii="Verdana" w:hAnsi="Verdana"/>
                <w:b/>
              </w:rPr>
              <w:t>Produto</w:t>
            </w:r>
          </w:p>
        </w:tc>
        <w:tc>
          <w:tcPr>
            <w:tcW w:w="1134" w:type="dxa"/>
            <w:tcBorders>
              <w:top w:val="single" w:sz="4" w:space="0" w:color="D9D9D9"/>
              <w:left w:val="single" w:sz="4" w:space="0" w:color="D9D9D9"/>
              <w:bottom w:val="single" w:sz="4" w:space="0" w:color="D9D9D9"/>
              <w:right w:val="single" w:sz="4" w:space="0" w:color="D9D9D9"/>
            </w:tcBorders>
            <w:shd w:val="clear" w:color="auto" w:fill="E7E6E6"/>
          </w:tcPr>
          <w:p w14:paraId="6A878719" w14:textId="77777777" w:rsidR="00794E77" w:rsidRPr="00AA4D6F" w:rsidRDefault="00794E77" w:rsidP="00EA161D">
            <w:pPr>
              <w:keepNext/>
              <w:spacing w:before="100" w:after="100"/>
              <w:rPr>
                <w:rFonts w:ascii="Verdana" w:hAnsi="Verdana"/>
              </w:rPr>
            </w:pPr>
            <w:r w:rsidRPr="00AA4D6F">
              <w:rPr>
                <w:rFonts w:ascii="Verdana" w:hAnsi="Verdana"/>
                <w:b/>
              </w:rPr>
              <w:t>Qtd.</w:t>
            </w:r>
          </w:p>
        </w:tc>
        <w:tc>
          <w:tcPr>
            <w:tcW w:w="1417" w:type="dxa"/>
            <w:tcBorders>
              <w:top w:val="single" w:sz="4" w:space="0" w:color="D9D9D9"/>
              <w:left w:val="single" w:sz="4" w:space="0" w:color="D9D9D9"/>
              <w:bottom w:val="single" w:sz="4" w:space="0" w:color="D9D9D9"/>
              <w:right w:val="single" w:sz="4" w:space="0" w:color="D9D9D9"/>
            </w:tcBorders>
            <w:shd w:val="clear" w:color="auto" w:fill="E7E6E6"/>
          </w:tcPr>
          <w:p w14:paraId="6C56C410" w14:textId="77777777" w:rsidR="00794E77" w:rsidRPr="00AA4D6F" w:rsidRDefault="00794E77" w:rsidP="00EA161D">
            <w:pPr>
              <w:keepNext/>
              <w:spacing w:before="100" w:after="100"/>
              <w:rPr>
                <w:rFonts w:ascii="Verdana" w:hAnsi="Verdana"/>
              </w:rPr>
            </w:pPr>
            <w:r w:rsidRPr="00AA4D6F">
              <w:rPr>
                <w:rFonts w:ascii="Verdana" w:hAnsi="Verdana"/>
                <w:b/>
              </w:rPr>
              <w:t>Unitário R$</w:t>
            </w:r>
          </w:p>
        </w:tc>
        <w:tc>
          <w:tcPr>
            <w:tcW w:w="1984" w:type="dxa"/>
            <w:tcBorders>
              <w:top w:val="single" w:sz="4" w:space="0" w:color="D9D9D9"/>
              <w:left w:val="single" w:sz="4" w:space="0" w:color="D9D9D9"/>
              <w:bottom w:val="single" w:sz="4" w:space="0" w:color="D9D9D9"/>
              <w:right w:val="single" w:sz="4" w:space="0" w:color="D9D9D9"/>
            </w:tcBorders>
            <w:shd w:val="clear" w:color="auto" w:fill="E7E6E6"/>
          </w:tcPr>
          <w:p w14:paraId="57AC8EED" w14:textId="77777777" w:rsidR="00794E77" w:rsidRPr="00AA4D6F" w:rsidRDefault="00794E77" w:rsidP="00EA161D">
            <w:pPr>
              <w:keepNext/>
              <w:spacing w:before="100" w:after="100"/>
              <w:rPr>
                <w:rFonts w:ascii="Verdana" w:hAnsi="Verdana"/>
              </w:rPr>
            </w:pPr>
            <w:r w:rsidRPr="00AA4D6F">
              <w:rPr>
                <w:rFonts w:ascii="Verdana" w:hAnsi="Verdana"/>
                <w:b/>
              </w:rPr>
              <w:t>Total R$</w:t>
            </w:r>
          </w:p>
        </w:tc>
      </w:tr>
      <w:tr w:rsidR="00794E77" w:rsidRPr="00AA4D6F" w14:paraId="0AA7B325" w14:textId="77777777" w:rsidTr="00EA161D">
        <w:tc>
          <w:tcPr>
            <w:tcW w:w="567" w:type="dxa"/>
            <w:tcBorders>
              <w:top w:val="single" w:sz="4" w:space="0" w:color="D9D9D9"/>
              <w:left w:val="single" w:sz="4" w:space="0" w:color="D9D9D9"/>
              <w:bottom w:val="single" w:sz="4" w:space="0" w:color="D9D9D9"/>
              <w:right w:val="single" w:sz="4" w:space="0" w:color="D9D9D9"/>
            </w:tcBorders>
          </w:tcPr>
          <w:p w14:paraId="56581611" w14:textId="77777777" w:rsidR="00794E77" w:rsidRPr="00AA4D6F" w:rsidRDefault="00794E77" w:rsidP="00EA161D">
            <w:pPr>
              <w:keepNext/>
              <w:spacing w:before="100" w:after="100"/>
              <w:rPr>
                <w:rFonts w:ascii="Verdana" w:hAnsi="Verdana"/>
              </w:rPr>
            </w:pPr>
            <w:r w:rsidRPr="00AA4D6F">
              <w:rPr>
                <w:rFonts w:ascii="Verdana" w:hAnsi="Verdana"/>
              </w:rPr>
              <w:t>1</w:t>
            </w:r>
          </w:p>
        </w:tc>
        <w:tc>
          <w:tcPr>
            <w:tcW w:w="3969" w:type="dxa"/>
            <w:tcBorders>
              <w:top w:val="single" w:sz="4" w:space="0" w:color="D9D9D9"/>
              <w:left w:val="single" w:sz="4" w:space="0" w:color="D9D9D9"/>
              <w:bottom w:val="single" w:sz="4" w:space="0" w:color="D9D9D9"/>
              <w:right w:val="single" w:sz="4" w:space="0" w:color="D9D9D9"/>
            </w:tcBorders>
          </w:tcPr>
          <w:p w14:paraId="0C536990" w14:textId="77777777" w:rsidR="00794E77" w:rsidRPr="00AA4D6F" w:rsidRDefault="00794E77" w:rsidP="00EA161D">
            <w:pPr>
              <w:keepNext/>
              <w:spacing w:before="100" w:after="100"/>
              <w:rPr>
                <w:rFonts w:ascii="Verdana" w:hAnsi="Verdana"/>
              </w:rPr>
            </w:pPr>
            <w:r w:rsidRPr="00AA4D6F">
              <w:rPr>
                <w:rFonts w:ascii="Verdana" w:hAnsi="Verdana"/>
              </w:rPr>
              <w:t>Descafeinado 250 g</w:t>
            </w:r>
          </w:p>
        </w:tc>
        <w:tc>
          <w:tcPr>
            <w:tcW w:w="1134" w:type="dxa"/>
            <w:tcBorders>
              <w:top w:val="single" w:sz="4" w:space="0" w:color="D9D9D9"/>
              <w:left w:val="single" w:sz="4" w:space="0" w:color="D9D9D9"/>
              <w:bottom w:val="single" w:sz="4" w:space="0" w:color="D9D9D9"/>
              <w:right w:val="single" w:sz="4" w:space="0" w:color="D9D9D9"/>
            </w:tcBorders>
          </w:tcPr>
          <w:p w14:paraId="7705758D" w14:textId="77777777" w:rsidR="00794E77" w:rsidRPr="00AA4D6F" w:rsidRDefault="00794E77" w:rsidP="00EA161D">
            <w:pPr>
              <w:keepNext/>
              <w:spacing w:before="100" w:after="100"/>
              <w:rPr>
                <w:rFonts w:ascii="Verdana" w:hAnsi="Verdana"/>
              </w:rPr>
            </w:pPr>
            <w:r w:rsidRPr="00AA4D6F">
              <w:rPr>
                <w:rFonts w:ascii="Verdana" w:hAnsi="Verdana"/>
              </w:rPr>
              <w:t>180</w:t>
            </w:r>
          </w:p>
        </w:tc>
        <w:tc>
          <w:tcPr>
            <w:tcW w:w="1417" w:type="dxa"/>
            <w:tcBorders>
              <w:top w:val="single" w:sz="4" w:space="0" w:color="D9D9D9"/>
              <w:left w:val="single" w:sz="4" w:space="0" w:color="D9D9D9"/>
              <w:bottom w:val="single" w:sz="4" w:space="0" w:color="D9D9D9"/>
              <w:right w:val="single" w:sz="4" w:space="0" w:color="D9D9D9"/>
            </w:tcBorders>
          </w:tcPr>
          <w:p w14:paraId="277BA3ED" w14:textId="77777777" w:rsidR="00794E77" w:rsidRPr="00AA4D6F" w:rsidRDefault="00794E77" w:rsidP="00EA161D">
            <w:pPr>
              <w:keepNext/>
              <w:spacing w:before="100" w:after="100"/>
              <w:rPr>
                <w:rFonts w:ascii="Verdana" w:hAnsi="Verdana"/>
              </w:rPr>
            </w:pPr>
            <w:r w:rsidRPr="00AA4D6F">
              <w:rPr>
                <w:rFonts w:ascii="Verdana" w:hAnsi="Verdana"/>
              </w:rPr>
              <w:t>29,00</w:t>
            </w:r>
          </w:p>
        </w:tc>
        <w:tc>
          <w:tcPr>
            <w:tcW w:w="1984" w:type="dxa"/>
            <w:tcBorders>
              <w:top w:val="single" w:sz="4" w:space="0" w:color="D9D9D9"/>
              <w:left w:val="single" w:sz="4" w:space="0" w:color="D9D9D9"/>
              <w:bottom w:val="single" w:sz="4" w:space="0" w:color="D9D9D9"/>
              <w:right w:val="single" w:sz="4" w:space="0" w:color="D9D9D9"/>
            </w:tcBorders>
          </w:tcPr>
          <w:p w14:paraId="4D4C7EC2" w14:textId="77777777" w:rsidR="00794E77" w:rsidRPr="00AA4D6F" w:rsidRDefault="00794E77" w:rsidP="00EA161D">
            <w:pPr>
              <w:keepNext/>
              <w:spacing w:before="100" w:after="100"/>
              <w:rPr>
                <w:rFonts w:ascii="Verdana" w:hAnsi="Verdana"/>
              </w:rPr>
            </w:pPr>
            <w:r w:rsidRPr="00AA4D6F">
              <w:rPr>
                <w:rFonts w:ascii="Verdana" w:hAnsi="Verdana"/>
              </w:rPr>
              <w:t>5.220,00</w:t>
            </w:r>
          </w:p>
        </w:tc>
      </w:tr>
      <w:tr w:rsidR="00794E77" w:rsidRPr="00AA4D6F" w14:paraId="71144398" w14:textId="77777777" w:rsidTr="00EA161D">
        <w:tc>
          <w:tcPr>
            <w:tcW w:w="567" w:type="dxa"/>
            <w:tcBorders>
              <w:top w:val="single" w:sz="4" w:space="0" w:color="D9D9D9"/>
              <w:left w:val="single" w:sz="4" w:space="0" w:color="D9D9D9"/>
              <w:bottom w:val="single" w:sz="4" w:space="0" w:color="D9D9D9"/>
              <w:right w:val="single" w:sz="4" w:space="0" w:color="D9D9D9"/>
            </w:tcBorders>
          </w:tcPr>
          <w:p w14:paraId="5E903DAC" w14:textId="77777777" w:rsidR="00794E77" w:rsidRPr="00AA4D6F" w:rsidRDefault="00794E77" w:rsidP="00EA161D">
            <w:pPr>
              <w:keepNext/>
              <w:spacing w:before="100" w:after="100"/>
              <w:rPr>
                <w:rFonts w:ascii="Verdana" w:hAnsi="Verdana"/>
              </w:rPr>
            </w:pPr>
            <w:r w:rsidRPr="00AA4D6F">
              <w:rPr>
                <w:rFonts w:ascii="Verdana" w:hAnsi="Verdana"/>
              </w:rPr>
              <w:t>2</w:t>
            </w:r>
          </w:p>
        </w:tc>
        <w:tc>
          <w:tcPr>
            <w:tcW w:w="3969" w:type="dxa"/>
            <w:tcBorders>
              <w:top w:val="single" w:sz="4" w:space="0" w:color="D9D9D9"/>
              <w:left w:val="single" w:sz="4" w:space="0" w:color="D9D9D9"/>
              <w:bottom w:val="single" w:sz="4" w:space="0" w:color="D9D9D9"/>
              <w:right w:val="single" w:sz="4" w:space="0" w:color="D9D9D9"/>
            </w:tcBorders>
          </w:tcPr>
          <w:p w14:paraId="5E9AE844" w14:textId="77777777" w:rsidR="00794E77" w:rsidRPr="00AA4D6F" w:rsidRDefault="00794E77" w:rsidP="00EA161D">
            <w:pPr>
              <w:keepNext/>
              <w:spacing w:before="100" w:after="100"/>
              <w:rPr>
                <w:rFonts w:ascii="Verdana" w:hAnsi="Verdana"/>
              </w:rPr>
            </w:pPr>
            <w:r w:rsidRPr="00AA4D6F">
              <w:rPr>
                <w:rFonts w:ascii="Verdana" w:hAnsi="Verdana"/>
              </w:rPr>
              <w:t>Gourmet em grãos 250 g</w:t>
            </w:r>
          </w:p>
        </w:tc>
        <w:tc>
          <w:tcPr>
            <w:tcW w:w="1134" w:type="dxa"/>
            <w:tcBorders>
              <w:top w:val="single" w:sz="4" w:space="0" w:color="D9D9D9"/>
              <w:left w:val="single" w:sz="4" w:space="0" w:color="D9D9D9"/>
              <w:bottom w:val="single" w:sz="4" w:space="0" w:color="D9D9D9"/>
              <w:right w:val="single" w:sz="4" w:space="0" w:color="D9D9D9"/>
            </w:tcBorders>
          </w:tcPr>
          <w:p w14:paraId="77CD7169" w14:textId="77777777" w:rsidR="00794E77" w:rsidRPr="00AA4D6F" w:rsidRDefault="00794E77" w:rsidP="00EA161D">
            <w:pPr>
              <w:keepNext/>
              <w:spacing w:before="100" w:after="100"/>
              <w:rPr>
                <w:rFonts w:ascii="Verdana" w:hAnsi="Verdana"/>
              </w:rPr>
            </w:pPr>
            <w:r w:rsidRPr="00AA4D6F">
              <w:rPr>
                <w:rFonts w:ascii="Verdana" w:hAnsi="Verdana"/>
              </w:rPr>
              <w:t>2.900</w:t>
            </w:r>
          </w:p>
        </w:tc>
        <w:tc>
          <w:tcPr>
            <w:tcW w:w="1417" w:type="dxa"/>
            <w:tcBorders>
              <w:top w:val="single" w:sz="4" w:space="0" w:color="D9D9D9"/>
              <w:left w:val="single" w:sz="4" w:space="0" w:color="D9D9D9"/>
              <w:bottom w:val="single" w:sz="4" w:space="0" w:color="D9D9D9"/>
              <w:right w:val="single" w:sz="4" w:space="0" w:color="D9D9D9"/>
            </w:tcBorders>
          </w:tcPr>
          <w:p w14:paraId="1F84BAE3" w14:textId="77777777" w:rsidR="00794E77" w:rsidRPr="00AA4D6F" w:rsidRDefault="00794E77" w:rsidP="00EA161D">
            <w:pPr>
              <w:keepNext/>
              <w:spacing w:before="100" w:after="100"/>
              <w:rPr>
                <w:rFonts w:ascii="Verdana" w:hAnsi="Verdana"/>
              </w:rPr>
            </w:pPr>
            <w:r w:rsidRPr="00AA4D6F">
              <w:rPr>
                <w:rFonts w:ascii="Verdana" w:hAnsi="Verdana"/>
              </w:rPr>
              <w:t>37,16</w:t>
            </w:r>
          </w:p>
        </w:tc>
        <w:tc>
          <w:tcPr>
            <w:tcW w:w="1984" w:type="dxa"/>
            <w:tcBorders>
              <w:top w:val="single" w:sz="4" w:space="0" w:color="D9D9D9"/>
              <w:left w:val="single" w:sz="4" w:space="0" w:color="D9D9D9"/>
              <w:bottom w:val="single" w:sz="4" w:space="0" w:color="D9D9D9"/>
              <w:right w:val="single" w:sz="4" w:space="0" w:color="D9D9D9"/>
            </w:tcBorders>
          </w:tcPr>
          <w:p w14:paraId="4202661D" w14:textId="77777777" w:rsidR="00794E77" w:rsidRPr="00AA4D6F" w:rsidRDefault="00794E77" w:rsidP="00EA161D">
            <w:pPr>
              <w:keepNext/>
              <w:spacing w:before="100" w:after="100"/>
              <w:rPr>
                <w:rFonts w:ascii="Verdana" w:hAnsi="Verdana"/>
              </w:rPr>
            </w:pPr>
            <w:r w:rsidRPr="00AA4D6F">
              <w:rPr>
                <w:rFonts w:ascii="Verdana" w:hAnsi="Verdana"/>
              </w:rPr>
              <w:t>107.764,00</w:t>
            </w:r>
          </w:p>
        </w:tc>
      </w:tr>
      <w:tr w:rsidR="00794E77" w:rsidRPr="00AA4D6F" w14:paraId="501B4F80" w14:textId="77777777" w:rsidTr="00EA161D">
        <w:tc>
          <w:tcPr>
            <w:tcW w:w="567" w:type="dxa"/>
            <w:tcBorders>
              <w:top w:val="single" w:sz="4" w:space="0" w:color="D9D9D9"/>
              <w:left w:val="single" w:sz="4" w:space="0" w:color="D9D9D9"/>
              <w:bottom w:val="single" w:sz="4" w:space="0" w:color="D9D9D9"/>
              <w:right w:val="single" w:sz="4" w:space="0" w:color="D9D9D9"/>
            </w:tcBorders>
          </w:tcPr>
          <w:p w14:paraId="31720EFD" w14:textId="77777777" w:rsidR="00794E77" w:rsidRPr="00AA4D6F" w:rsidRDefault="00794E77" w:rsidP="00EA161D">
            <w:pPr>
              <w:keepNext/>
              <w:spacing w:before="100" w:after="100"/>
              <w:rPr>
                <w:rFonts w:ascii="Verdana" w:hAnsi="Verdana"/>
              </w:rPr>
            </w:pPr>
            <w:r w:rsidRPr="00AA4D6F">
              <w:rPr>
                <w:rFonts w:ascii="Verdana" w:hAnsi="Verdana"/>
              </w:rPr>
              <w:t>3</w:t>
            </w:r>
          </w:p>
        </w:tc>
        <w:tc>
          <w:tcPr>
            <w:tcW w:w="3969" w:type="dxa"/>
            <w:tcBorders>
              <w:top w:val="single" w:sz="4" w:space="0" w:color="D9D9D9"/>
              <w:left w:val="single" w:sz="4" w:space="0" w:color="D9D9D9"/>
              <w:bottom w:val="single" w:sz="4" w:space="0" w:color="D9D9D9"/>
              <w:right w:val="single" w:sz="4" w:space="0" w:color="D9D9D9"/>
            </w:tcBorders>
          </w:tcPr>
          <w:p w14:paraId="7FB5C19E" w14:textId="77777777" w:rsidR="00794E77" w:rsidRPr="00AA4D6F" w:rsidRDefault="00794E77" w:rsidP="00EA161D">
            <w:pPr>
              <w:keepNext/>
              <w:spacing w:before="100" w:after="100"/>
              <w:rPr>
                <w:rFonts w:ascii="Verdana" w:hAnsi="Verdana"/>
              </w:rPr>
            </w:pPr>
            <w:r w:rsidRPr="00AA4D6F">
              <w:rPr>
                <w:rFonts w:ascii="Verdana" w:hAnsi="Verdana"/>
              </w:rPr>
              <w:t>Solúvel 40 g</w:t>
            </w:r>
          </w:p>
        </w:tc>
        <w:tc>
          <w:tcPr>
            <w:tcW w:w="1134" w:type="dxa"/>
            <w:tcBorders>
              <w:top w:val="single" w:sz="4" w:space="0" w:color="D9D9D9"/>
              <w:left w:val="single" w:sz="4" w:space="0" w:color="D9D9D9"/>
              <w:bottom w:val="single" w:sz="4" w:space="0" w:color="D9D9D9"/>
              <w:right w:val="single" w:sz="4" w:space="0" w:color="D9D9D9"/>
            </w:tcBorders>
          </w:tcPr>
          <w:p w14:paraId="7AD1D610" w14:textId="77777777" w:rsidR="00794E77" w:rsidRPr="00AA4D6F" w:rsidRDefault="00794E77" w:rsidP="00EA161D">
            <w:pPr>
              <w:keepNext/>
              <w:spacing w:before="100" w:after="100"/>
              <w:rPr>
                <w:rFonts w:ascii="Verdana" w:hAnsi="Verdana"/>
              </w:rPr>
            </w:pPr>
            <w:r w:rsidRPr="00AA4D6F">
              <w:rPr>
                <w:rFonts w:ascii="Verdana" w:hAnsi="Verdana"/>
              </w:rPr>
              <w:t>290</w:t>
            </w:r>
          </w:p>
        </w:tc>
        <w:tc>
          <w:tcPr>
            <w:tcW w:w="1417" w:type="dxa"/>
            <w:tcBorders>
              <w:top w:val="single" w:sz="4" w:space="0" w:color="D9D9D9"/>
              <w:left w:val="single" w:sz="4" w:space="0" w:color="D9D9D9"/>
              <w:bottom w:val="single" w:sz="4" w:space="0" w:color="D9D9D9"/>
              <w:right w:val="single" w:sz="4" w:space="0" w:color="D9D9D9"/>
            </w:tcBorders>
          </w:tcPr>
          <w:p w14:paraId="5F0E13D4" w14:textId="77777777" w:rsidR="00794E77" w:rsidRPr="00AA4D6F" w:rsidRDefault="00794E77" w:rsidP="00EA161D">
            <w:pPr>
              <w:keepNext/>
              <w:spacing w:before="100" w:after="100"/>
              <w:rPr>
                <w:rFonts w:ascii="Verdana" w:hAnsi="Verdana"/>
              </w:rPr>
            </w:pPr>
            <w:r w:rsidRPr="00AA4D6F">
              <w:rPr>
                <w:rFonts w:ascii="Verdana" w:hAnsi="Verdana"/>
              </w:rPr>
              <w:t>12,59</w:t>
            </w:r>
          </w:p>
        </w:tc>
        <w:tc>
          <w:tcPr>
            <w:tcW w:w="1984" w:type="dxa"/>
            <w:tcBorders>
              <w:top w:val="single" w:sz="4" w:space="0" w:color="D9D9D9"/>
              <w:left w:val="single" w:sz="4" w:space="0" w:color="D9D9D9"/>
              <w:bottom w:val="single" w:sz="4" w:space="0" w:color="D9D9D9"/>
              <w:right w:val="single" w:sz="4" w:space="0" w:color="D9D9D9"/>
            </w:tcBorders>
          </w:tcPr>
          <w:p w14:paraId="3A1B9B23" w14:textId="77777777" w:rsidR="00794E77" w:rsidRPr="00AA4D6F" w:rsidRDefault="00794E77" w:rsidP="00EA161D">
            <w:pPr>
              <w:keepNext/>
              <w:spacing w:before="100" w:after="100"/>
              <w:rPr>
                <w:rFonts w:ascii="Verdana" w:hAnsi="Verdana"/>
              </w:rPr>
            </w:pPr>
            <w:r w:rsidRPr="00AA4D6F">
              <w:rPr>
                <w:rFonts w:ascii="Verdana" w:hAnsi="Verdana"/>
              </w:rPr>
              <w:t>3.651,10</w:t>
            </w:r>
          </w:p>
        </w:tc>
      </w:tr>
      <w:tr w:rsidR="00794E77" w:rsidRPr="00AA4D6F" w14:paraId="62649388" w14:textId="77777777" w:rsidTr="00EA161D">
        <w:tc>
          <w:tcPr>
            <w:tcW w:w="567" w:type="dxa"/>
            <w:tcBorders>
              <w:top w:val="single" w:sz="4" w:space="0" w:color="D9D9D9"/>
              <w:left w:val="single" w:sz="4" w:space="0" w:color="D9D9D9"/>
              <w:bottom w:val="single" w:sz="4" w:space="0" w:color="D9D9D9"/>
              <w:right w:val="single" w:sz="4" w:space="0" w:color="D9D9D9"/>
            </w:tcBorders>
          </w:tcPr>
          <w:p w14:paraId="42C5CDC6" w14:textId="77777777" w:rsidR="00794E77" w:rsidRPr="00AA4D6F" w:rsidRDefault="00794E77" w:rsidP="00EA161D">
            <w:pPr>
              <w:keepNext/>
              <w:spacing w:before="100" w:after="100"/>
              <w:rPr>
                <w:rFonts w:ascii="Verdana" w:hAnsi="Verdana"/>
              </w:rPr>
            </w:pPr>
            <w:r w:rsidRPr="00AA4D6F">
              <w:rPr>
                <w:rFonts w:ascii="Verdana" w:hAnsi="Verdana"/>
              </w:rPr>
              <w:t>4</w:t>
            </w:r>
          </w:p>
        </w:tc>
        <w:tc>
          <w:tcPr>
            <w:tcW w:w="3969" w:type="dxa"/>
            <w:tcBorders>
              <w:top w:val="single" w:sz="4" w:space="0" w:color="D9D9D9"/>
              <w:left w:val="single" w:sz="4" w:space="0" w:color="D9D9D9"/>
              <w:bottom w:val="single" w:sz="4" w:space="0" w:color="D9D9D9"/>
              <w:right w:val="single" w:sz="4" w:space="0" w:color="D9D9D9"/>
            </w:tcBorders>
          </w:tcPr>
          <w:p w14:paraId="3973EA77" w14:textId="77777777" w:rsidR="00794E77" w:rsidRPr="00AA4D6F" w:rsidRDefault="00794E77" w:rsidP="00EA161D">
            <w:pPr>
              <w:keepNext/>
              <w:spacing w:before="100" w:after="100"/>
              <w:rPr>
                <w:rFonts w:ascii="Verdana" w:hAnsi="Verdana"/>
              </w:rPr>
            </w:pPr>
            <w:r w:rsidRPr="00AA4D6F">
              <w:rPr>
                <w:rFonts w:ascii="Verdana" w:hAnsi="Verdana"/>
              </w:rPr>
              <w:t>Torrado e moído 250 g</w:t>
            </w:r>
          </w:p>
        </w:tc>
        <w:tc>
          <w:tcPr>
            <w:tcW w:w="1134" w:type="dxa"/>
            <w:tcBorders>
              <w:top w:val="single" w:sz="4" w:space="0" w:color="D9D9D9"/>
              <w:left w:val="single" w:sz="4" w:space="0" w:color="D9D9D9"/>
              <w:bottom w:val="single" w:sz="4" w:space="0" w:color="D9D9D9"/>
              <w:right w:val="single" w:sz="4" w:space="0" w:color="D9D9D9"/>
            </w:tcBorders>
          </w:tcPr>
          <w:p w14:paraId="2EF6A049" w14:textId="77777777" w:rsidR="00794E77" w:rsidRPr="00AA4D6F" w:rsidRDefault="00794E77" w:rsidP="00EA161D">
            <w:pPr>
              <w:keepNext/>
              <w:spacing w:before="100" w:after="100"/>
              <w:rPr>
                <w:rFonts w:ascii="Verdana" w:hAnsi="Verdana"/>
              </w:rPr>
            </w:pPr>
            <w:r w:rsidRPr="00AA4D6F">
              <w:rPr>
                <w:rFonts w:ascii="Verdana" w:hAnsi="Verdana"/>
              </w:rPr>
              <w:t>10.500</w:t>
            </w:r>
          </w:p>
        </w:tc>
        <w:tc>
          <w:tcPr>
            <w:tcW w:w="1417" w:type="dxa"/>
            <w:tcBorders>
              <w:top w:val="single" w:sz="4" w:space="0" w:color="D9D9D9"/>
              <w:left w:val="single" w:sz="4" w:space="0" w:color="D9D9D9"/>
              <w:bottom w:val="single" w:sz="4" w:space="0" w:color="D9D9D9"/>
              <w:right w:val="single" w:sz="4" w:space="0" w:color="D9D9D9"/>
            </w:tcBorders>
          </w:tcPr>
          <w:p w14:paraId="466FEE2E" w14:textId="77777777" w:rsidR="00794E77" w:rsidRPr="00AA4D6F" w:rsidRDefault="00794E77" w:rsidP="00EA161D">
            <w:pPr>
              <w:keepNext/>
              <w:spacing w:before="100" w:after="100"/>
              <w:rPr>
                <w:rFonts w:ascii="Verdana" w:hAnsi="Verdana"/>
              </w:rPr>
            </w:pPr>
            <w:r w:rsidRPr="00AA4D6F">
              <w:rPr>
                <w:rFonts w:ascii="Verdana" w:hAnsi="Verdana"/>
              </w:rPr>
              <w:t>28,98</w:t>
            </w:r>
          </w:p>
        </w:tc>
        <w:tc>
          <w:tcPr>
            <w:tcW w:w="1984" w:type="dxa"/>
            <w:tcBorders>
              <w:top w:val="single" w:sz="4" w:space="0" w:color="D9D9D9"/>
              <w:left w:val="single" w:sz="4" w:space="0" w:color="D9D9D9"/>
              <w:bottom w:val="single" w:sz="4" w:space="0" w:color="D9D9D9"/>
              <w:right w:val="single" w:sz="4" w:space="0" w:color="D9D9D9"/>
            </w:tcBorders>
          </w:tcPr>
          <w:p w14:paraId="4F11367F" w14:textId="77777777" w:rsidR="00794E77" w:rsidRPr="00AA4D6F" w:rsidRDefault="00794E77" w:rsidP="00EA161D">
            <w:pPr>
              <w:keepNext/>
              <w:spacing w:before="100" w:after="100"/>
              <w:rPr>
                <w:rFonts w:ascii="Verdana" w:hAnsi="Verdana"/>
              </w:rPr>
            </w:pPr>
            <w:r w:rsidRPr="00AA4D6F">
              <w:rPr>
                <w:rFonts w:ascii="Verdana" w:hAnsi="Verdana"/>
              </w:rPr>
              <w:t>304.290,00</w:t>
            </w:r>
          </w:p>
        </w:tc>
      </w:tr>
      <w:tr w:rsidR="00794E77" w:rsidRPr="00AA4D6F" w14:paraId="55FAD067" w14:textId="77777777" w:rsidTr="00EA161D">
        <w:tc>
          <w:tcPr>
            <w:tcW w:w="8095" w:type="dxa"/>
            <w:gridSpan w:val="4"/>
            <w:tcBorders>
              <w:top w:val="single" w:sz="4" w:space="0" w:color="D9D9D9"/>
              <w:left w:val="single" w:sz="4" w:space="0" w:color="D9D9D9"/>
              <w:bottom w:val="single" w:sz="4" w:space="0" w:color="D9D9D9"/>
              <w:right w:val="single" w:sz="4" w:space="0" w:color="D9D9D9"/>
            </w:tcBorders>
          </w:tcPr>
          <w:p w14:paraId="477CA9BD" w14:textId="77777777" w:rsidR="00794E77" w:rsidRPr="00AA4D6F" w:rsidRDefault="00794E77" w:rsidP="00EA161D">
            <w:pPr>
              <w:rPr>
                <w:rFonts w:ascii="Verdana" w:hAnsi="Verdana"/>
              </w:rPr>
            </w:pPr>
            <w:r w:rsidRPr="00AA4D6F">
              <w:rPr>
                <w:rFonts w:ascii="Verdana" w:hAnsi="Verdana"/>
              </w:rPr>
              <w:t>VALOR GLOBAL ESTIMADO DO LOTE ÚNICO</w:t>
            </w:r>
          </w:p>
        </w:tc>
        <w:tc>
          <w:tcPr>
            <w:tcW w:w="1721" w:type="dxa"/>
            <w:tcBorders>
              <w:top w:val="single" w:sz="4" w:space="0" w:color="D9D9D9"/>
              <w:left w:val="single" w:sz="4" w:space="0" w:color="D9D9D9"/>
              <w:bottom w:val="single" w:sz="4" w:space="0" w:color="D9D9D9"/>
              <w:right w:val="single" w:sz="4" w:space="0" w:color="D9D9D9"/>
            </w:tcBorders>
          </w:tcPr>
          <w:p w14:paraId="14888FA1" w14:textId="77777777" w:rsidR="00794E77" w:rsidRPr="00AA4D6F" w:rsidRDefault="00794E77" w:rsidP="00EA161D">
            <w:pPr>
              <w:rPr>
                <w:rFonts w:ascii="Verdana" w:hAnsi="Verdana"/>
              </w:rPr>
            </w:pPr>
            <w:r w:rsidRPr="00AA4D6F">
              <w:rPr>
                <w:rFonts w:ascii="Verdana" w:hAnsi="Verdana"/>
              </w:rPr>
              <w:t>420.925,10</w:t>
            </w:r>
          </w:p>
        </w:tc>
      </w:tr>
    </w:tbl>
    <w:p w14:paraId="1219F31C" w14:textId="77777777" w:rsidR="00794E77" w:rsidRPr="00AA4D6F" w:rsidRDefault="00794E77" w:rsidP="00794E77">
      <w:pPr>
        <w:rPr>
          <w:rFonts w:ascii="Verdana" w:hAnsi="Verdana"/>
        </w:rPr>
      </w:pPr>
      <w:r w:rsidRPr="00AA4D6F">
        <w:rPr>
          <w:rFonts w:ascii="Verdana" w:hAnsi="Verdana"/>
        </w:rPr>
        <w:t>3.1 Unidade de fornecimento: uma embalagem individual com o peso líquido especificado. Caixas ou fardos serão apenas formas de acondicionamento, sem alterar a unidade de preço e a quantidade contratada.</w:t>
      </w:r>
    </w:p>
    <w:p w14:paraId="08903E09" w14:textId="77777777" w:rsidR="00794E77" w:rsidRPr="00AA4D6F" w:rsidRDefault="00794E77" w:rsidP="00794E77">
      <w:pPr>
        <w:rPr>
          <w:rFonts w:ascii="Verdana" w:hAnsi="Verdana"/>
        </w:rPr>
      </w:pPr>
      <w:r w:rsidRPr="00AA4D6F">
        <w:rPr>
          <w:rFonts w:ascii="Verdana" w:hAnsi="Verdana"/>
        </w:rPr>
        <w:t>3.2 Valor global de referência: R$ 420.925,10 (quatrocentos e vinte mil, novecentos e vinte e cinco reais e dez centavos). O orçamento resulta da quantidade multiplicada pelo preço unitário de cada item, com soma dos subtotais. A pesquisa utiliza a mediana, conforme relatório anexo.</w:t>
      </w:r>
    </w:p>
    <w:p w14:paraId="20A88FFA" w14:textId="77777777" w:rsidR="00794E77" w:rsidRPr="00AA4D6F" w:rsidRDefault="00794E77" w:rsidP="00794E77">
      <w:pPr>
        <w:rPr>
          <w:rFonts w:ascii="Verdana" w:hAnsi="Verdana"/>
        </w:rPr>
      </w:pPr>
      <w:r w:rsidRPr="00AA4D6F">
        <w:rPr>
          <w:rFonts w:ascii="Verdana" w:hAnsi="Verdana"/>
        </w:rPr>
        <w:t>3.3 A pesquisa deverá ser atualizada ou ratificada mediante análise crítica de datas, apresentação, qualidade, volumes, frete e condições das fontes. Os valores indicados não dispensam a definição de preços máximos aceitáveis em orçamento aprovado. A decisão sobre divulgação do orçamento observará o edital e a motivação do processo.</w:t>
      </w:r>
    </w:p>
    <w:p w14:paraId="7DA81FD7"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4 Especificações técnicas dos produtos</w:t>
      </w:r>
    </w:p>
    <w:p w14:paraId="35DA79E3" w14:textId="77777777" w:rsidR="00794E77" w:rsidRPr="00AA4D6F" w:rsidRDefault="00794E77" w:rsidP="00794E77">
      <w:pPr>
        <w:rPr>
          <w:rFonts w:ascii="Verdana" w:hAnsi="Verdana"/>
        </w:rPr>
      </w:pPr>
      <w:r w:rsidRPr="00AA4D6F">
        <w:rPr>
          <w:rFonts w:ascii="Verdana" w:hAnsi="Verdana"/>
        </w:rPr>
        <w:t>4.1 Item 1 — Café descafeinado, torrado e moído, para preparo por infusão ou filtração, em embalagem com peso líquido de 250 g. Produto constituído de café submetido ao processo de descafeinação, com identidade e composição compatíveis com a denominação, aroma e sabor próprios. Embalagem hermética, íntegra e adequada à conservação. A apresentação torrada e moída aqui proposta deverá ser confirmada pela unidade técnica antes da publicação e compatibilizada com a pesquisa de preços.</w:t>
      </w:r>
    </w:p>
    <w:p w14:paraId="1982B9D5" w14:textId="77777777" w:rsidR="00794E77" w:rsidRPr="00AA4D6F" w:rsidRDefault="00794E77" w:rsidP="00794E77">
      <w:pPr>
        <w:rPr>
          <w:rFonts w:ascii="Verdana" w:hAnsi="Verdana"/>
        </w:rPr>
      </w:pPr>
      <w:r w:rsidRPr="00AA4D6F">
        <w:rPr>
          <w:rFonts w:ascii="Verdana" w:hAnsi="Verdana"/>
        </w:rPr>
        <w:t>4.2 Item 2 — Café gourmet em grãos, torrado, em embalagem com peso líquido de 250 g, com grãos e características compatíveis com a denominação declarada, aroma e sabor próprios, sem sabores ou odores indicativos de deterioração. Acondicionamento hermético que preserve a qualidade. A planilha de origem menciona preferência por 100% arábica e torra média; essas preferências não constituem, por si, critério eliminatório. A manutenção da categoria gourmet exige definição técnica objetiva do padrão e de sua comprovação em anexo ao edital, além de justificativa da demanda e disponibilidade de equipamento de preparo.</w:t>
      </w:r>
    </w:p>
    <w:p w14:paraId="471FD4FA" w14:textId="77777777" w:rsidR="00794E77" w:rsidRPr="00AA4D6F" w:rsidRDefault="00794E77" w:rsidP="00794E77">
      <w:pPr>
        <w:rPr>
          <w:rFonts w:ascii="Verdana" w:hAnsi="Verdana"/>
        </w:rPr>
      </w:pPr>
      <w:r w:rsidRPr="00AA4D6F">
        <w:rPr>
          <w:rFonts w:ascii="Verdana" w:hAnsi="Verdana"/>
        </w:rPr>
        <w:t>4.3 Item 3 — Café solúvel, granulado ou em pó, constituído de 100% café, sem adição de açúcar, em embalagem hermética com peso líquido de 40 g, com aroma e sabor próprios e sem sinais de umidade ou deterioração. Não serão aceitas misturas para bebidas com açúcar, leite ou outros ingredientes substituindo o produto especificado.</w:t>
      </w:r>
    </w:p>
    <w:p w14:paraId="2B3A684B" w14:textId="77777777" w:rsidR="00794E77" w:rsidRPr="00AA4D6F" w:rsidRDefault="00794E77" w:rsidP="00794E77">
      <w:pPr>
        <w:rPr>
          <w:rFonts w:ascii="Verdana" w:hAnsi="Verdana"/>
        </w:rPr>
      </w:pPr>
      <w:r w:rsidRPr="00AA4D6F">
        <w:rPr>
          <w:rFonts w:ascii="Verdana" w:hAnsi="Verdana"/>
        </w:rPr>
        <w:t xml:space="preserve">4.4 Item 4 — Café torrado e moído, tradicional ou extraforte, pó com características próprias do produto, para preparo por filtração ou infusão, em </w:t>
      </w:r>
      <w:r w:rsidRPr="00AA4D6F">
        <w:rPr>
          <w:rFonts w:ascii="Verdana" w:hAnsi="Verdana"/>
        </w:rPr>
        <w:lastRenderedPageBreak/>
        <w:t>embalagem com peso líquido de 250 g, a vácuo ou em atmosfera protetora. Produto com identidade e qualidade compatíveis com a denominação de venda, sem ingredientes ou matérias estranhas em desacordo com as normas aplicáveis.</w:t>
      </w:r>
    </w:p>
    <w:p w14:paraId="7ABFC72E" w14:textId="77777777" w:rsidR="00794E77" w:rsidRPr="00AA4D6F" w:rsidRDefault="00794E77" w:rsidP="00794E77">
      <w:pPr>
        <w:rPr>
          <w:rFonts w:ascii="Verdana" w:hAnsi="Verdana"/>
        </w:rPr>
      </w:pPr>
      <w:r w:rsidRPr="00AA4D6F">
        <w:rPr>
          <w:rFonts w:ascii="Verdana" w:hAnsi="Verdana"/>
        </w:rPr>
        <w:t>4.5 Todos os itens deverão atender às regras sanitárias, de identidade, qualidade, conteúdo líquido e rotulagem aplicáveis à respectiva categoria, inclusive ao padrão oficial de classificação do café torrado quando pertinente. Não serão aceitos produtos sujeitos a proibição de comercialização ou recolhimento pelo órgão competente.</w:t>
      </w:r>
    </w:p>
    <w:p w14:paraId="2A4929EC" w14:textId="77777777" w:rsidR="00794E77" w:rsidRPr="00AA4D6F" w:rsidRDefault="00794E77" w:rsidP="00794E77">
      <w:pPr>
        <w:rPr>
          <w:rFonts w:ascii="Verdana" w:hAnsi="Verdana"/>
        </w:rPr>
      </w:pPr>
      <w:r w:rsidRPr="00AA4D6F">
        <w:rPr>
          <w:rFonts w:ascii="Verdana" w:hAnsi="Verdana"/>
        </w:rPr>
        <w:t>4.6 As embalagens deverão conter as informações exigidas para a categoria, incluindo denominação, conteúdo líquido, lote, validade, origem e identificação do fabricante, além das informações nutricionais, ingredientes e advertências quando legalmente exigíveis. Os dados deverão estar legíveis, sem rasura ou sobreposição que comprometa sua autenticidade.</w:t>
      </w:r>
    </w:p>
    <w:p w14:paraId="53DA001A" w14:textId="77777777" w:rsidR="00794E77" w:rsidRPr="00AA4D6F" w:rsidRDefault="00794E77" w:rsidP="00794E77">
      <w:pPr>
        <w:rPr>
          <w:rFonts w:ascii="Verdana" w:hAnsi="Verdana"/>
        </w:rPr>
      </w:pPr>
      <w:r w:rsidRPr="00AA4D6F">
        <w:rPr>
          <w:rFonts w:ascii="Verdana" w:hAnsi="Verdana"/>
        </w:rPr>
        <w:t>4.7 Na entrega, cada produto deverá possuir validade remanescente mínima de seis meses. A equipe técnica deverá confirmar a viabilidade comercial desse prazo para as quatro apresentações antes da publicação; eventual ajuste deverá constar expressamente do edital, sem flexibilização informal durante a execução.</w:t>
      </w:r>
    </w:p>
    <w:p w14:paraId="6D42B637" w14:textId="77777777" w:rsidR="00794E77" w:rsidRPr="00AA4D6F" w:rsidRDefault="00794E77" w:rsidP="00794E77">
      <w:pPr>
        <w:rPr>
          <w:rFonts w:ascii="Verdana" w:hAnsi="Verdana"/>
        </w:rPr>
      </w:pPr>
      <w:r w:rsidRPr="00AA4D6F">
        <w:rPr>
          <w:rFonts w:ascii="Verdana" w:hAnsi="Verdana"/>
        </w:rPr>
        <w:t>4.8 Não há indicação de marca obrigatória. Referências comerciais ou a selos privados nos documentos de pesquisa não constituem exclusividade, exigência de associação ou substituição da análise objetiva de conformidade. Certificação, quando apresentada, poderá servir como evidência de qualidade, sem afastar outras comprovações equivalentes admitidas no instrumento convocatório.</w:t>
      </w:r>
    </w:p>
    <w:p w14:paraId="335554D7"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5 Solução e requisitos operacionais</w:t>
      </w:r>
    </w:p>
    <w:p w14:paraId="6BA4957E" w14:textId="77777777" w:rsidR="00794E77" w:rsidRPr="00AA4D6F" w:rsidRDefault="00794E77" w:rsidP="00794E77">
      <w:pPr>
        <w:rPr>
          <w:rFonts w:ascii="Verdana" w:hAnsi="Verdana"/>
        </w:rPr>
      </w:pPr>
      <w:r w:rsidRPr="00AA4D6F">
        <w:rPr>
          <w:rFonts w:ascii="Verdana" w:hAnsi="Verdana"/>
        </w:rPr>
        <w:t>5.1 A solução abrange seleção do fornecedor, registro de preços, formalização das contratações, emissão de ordens de fornecimento, transporte, entrega, conferência, substituição de produtos recusados e pagamento pelas quantidades efetivamente recebidas e aceitas.</w:t>
      </w:r>
    </w:p>
    <w:p w14:paraId="2407F75D" w14:textId="77777777" w:rsidR="00794E77" w:rsidRPr="00AA4D6F" w:rsidRDefault="00794E77" w:rsidP="00794E77">
      <w:pPr>
        <w:rPr>
          <w:rFonts w:ascii="Verdana" w:hAnsi="Verdana"/>
        </w:rPr>
      </w:pPr>
      <w:r w:rsidRPr="00AA4D6F">
        <w:rPr>
          <w:rFonts w:ascii="Verdana" w:hAnsi="Verdana"/>
        </w:rPr>
        <w:t>5.2 O transporte, a carga, a descarga, as embalagens e todos os custos necessários à entrega correrão por conta da contratada. O veículo e o acondicionamento deverão proteger os alimentos contra umidade, sol, contaminação e danos, sem transporte conjunto com produtos capazes de comprometer sua segurança.</w:t>
      </w:r>
    </w:p>
    <w:p w14:paraId="60A97689" w14:textId="77777777" w:rsidR="00794E77" w:rsidRPr="00AA4D6F" w:rsidRDefault="00794E77" w:rsidP="00794E77">
      <w:pPr>
        <w:rPr>
          <w:rFonts w:ascii="Verdana" w:hAnsi="Verdana"/>
        </w:rPr>
      </w:pPr>
      <w:r w:rsidRPr="00AA4D6F">
        <w:rPr>
          <w:rFonts w:ascii="Verdana" w:hAnsi="Verdana"/>
        </w:rPr>
        <w:t>5.3 As unidades requisitantes deverão dispor de armazenamento seco, limpo e protegido e de equipamentos compatíveis com a forma de preparo. O inventário de equipamentos constitui condição para manutenção da quantidade de café em grãos. Não se admite ampliar o objeto para incluir máquinas durante a execução.</w:t>
      </w:r>
    </w:p>
    <w:p w14:paraId="6035581C" w14:textId="77777777" w:rsidR="00794E77" w:rsidRPr="00AA4D6F" w:rsidRDefault="00794E77" w:rsidP="00794E77">
      <w:pPr>
        <w:rPr>
          <w:rFonts w:ascii="Verdana" w:hAnsi="Verdana"/>
        </w:rPr>
      </w:pPr>
      <w:r w:rsidRPr="00AA4D6F">
        <w:rPr>
          <w:rFonts w:ascii="Verdana" w:hAnsi="Verdana"/>
        </w:rPr>
        <w:t>5.4 Não se exigem vistoria prévia, instalação ou garantia técnica de equipamentos. A responsabilidade pela qualidade e pelos vícios dos alimentos subsistirá pelo prazo aplicável, inclusive após o recebimento definitivo, observadas as condições corretas de armazenamento pela Administração.</w:t>
      </w:r>
    </w:p>
    <w:p w14:paraId="79820B0D"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6 Seleção e julgamento</w:t>
      </w:r>
    </w:p>
    <w:p w14:paraId="0CEEEC9C" w14:textId="77777777" w:rsidR="00794E77" w:rsidRPr="00AA4D6F" w:rsidRDefault="00794E77" w:rsidP="00794E77">
      <w:pPr>
        <w:rPr>
          <w:rFonts w:ascii="Verdana" w:hAnsi="Verdana"/>
        </w:rPr>
      </w:pPr>
      <w:r w:rsidRPr="00AA4D6F">
        <w:rPr>
          <w:rFonts w:ascii="Verdana" w:hAnsi="Verdana"/>
        </w:rPr>
        <w:t>6.1 A seleção será realizada por pregão eletrônico, com sistema de registro de preços, pelo critério de MENOR PREÇO GLOBAL DO LOTE ÚNICO, composto pelos quatro itens da planilha. A classificação, o julgamento e a adjudicação considerarão o somatório dos valores totais de todos os itens, observados os requisitos técnicos e os limites de aceitabilidade global e unitários.</w:t>
      </w:r>
    </w:p>
    <w:p w14:paraId="44F7CBF4" w14:textId="77777777" w:rsidR="00794E77" w:rsidRPr="00AA4D6F" w:rsidRDefault="00794E77" w:rsidP="00794E77">
      <w:pPr>
        <w:rPr>
          <w:rFonts w:ascii="Verdana" w:hAnsi="Verdana"/>
        </w:rPr>
      </w:pPr>
      <w:r w:rsidRPr="00AA4D6F">
        <w:rPr>
          <w:rFonts w:ascii="Verdana" w:hAnsi="Verdana"/>
        </w:rPr>
        <w:lastRenderedPageBreak/>
        <w:t>6.2 Os quatro itens integrarão um único lote, a ser adjudicado integralmente a um único licitante. O agrupamento busca coordenar o abastecimento das unidades, as entregas parceladas e a gestão do fornecimento. Sua adoção fica condicionada à demonstração, no ETP e em justificativa específica do processo, da inviabilidade de adjudicação por item e da vantagem técnica e econômica do agrupamento, conforme o art. 82, § 1º, da Lei nº 14.133/2021. A afinidade entre os produtos e a simplificação administrativa, isoladamente, não substituem essa demonstração. A denominação do lote na pesquisa de preços não constitui fundamento suficiente para o agrupamento.</w:t>
      </w:r>
    </w:p>
    <w:p w14:paraId="71581AB7" w14:textId="77777777" w:rsidR="00794E77" w:rsidRPr="00AA4D6F" w:rsidRDefault="00794E77" w:rsidP="00794E77">
      <w:pPr>
        <w:rPr>
          <w:rFonts w:ascii="Verdana" w:hAnsi="Verdana"/>
        </w:rPr>
      </w:pPr>
      <w:r w:rsidRPr="00AA4D6F">
        <w:rPr>
          <w:rFonts w:ascii="Verdana" w:hAnsi="Verdana"/>
        </w:rPr>
        <w:t>6.2.1 A contratação posterior de item específico integrante do lote dependerá de prévia pesquisa de mercado e demonstração de sua vantagem para a Administração, nos termos do art. 82, § 2º, da Lei nº 14.133/2021. O fornecimento continuará parcelado, conforme as necessidades formalizadas e as condições legais.</w:t>
      </w:r>
    </w:p>
    <w:p w14:paraId="5C05DED5" w14:textId="77777777" w:rsidR="00794E77" w:rsidRPr="00AA4D6F" w:rsidRDefault="00794E77" w:rsidP="00794E77">
      <w:pPr>
        <w:rPr>
          <w:rFonts w:ascii="Verdana" w:hAnsi="Verdana"/>
        </w:rPr>
      </w:pPr>
      <w:r w:rsidRPr="00AA4D6F">
        <w:rPr>
          <w:rFonts w:ascii="Verdana" w:hAnsi="Verdana"/>
        </w:rPr>
        <w:t>6.3 O edital disciplinará o tratamento diferenciado às microempresas e empresas de pequeno porte, conforme a Lei Complementar nº 123/2006. A estrutura de lote único não afasta automaticamente as regras aplicáveis a bens divisíveis. Antes da publicação, a Administração deverá definir o tratamento das cotas e eventual hipótese legal de não aplicação, com motivação específica nos autos e compatibilização do edital, do ETP e deste TR, sem fracionamento indevido ou restrição injustificada à competição.</w:t>
      </w:r>
    </w:p>
    <w:p w14:paraId="6842710F" w14:textId="77777777" w:rsidR="00794E77" w:rsidRPr="00AA4D6F" w:rsidRDefault="00794E77" w:rsidP="00794E77">
      <w:pPr>
        <w:rPr>
          <w:rFonts w:ascii="Verdana" w:hAnsi="Verdana"/>
        </w:rPr>
      </w:pPr>
      <w:r w:rsidRPr="00AA4D6F">
        <w:rPr>
          <w:rFonts w:ascii="Verdana" w:hAnsi="Verdana"/>
        </w:rPr>
        <w:t>6.4 A proposta abrangerá obrigatoriamente os quatro itens e suas quantidades integrais estimadas, identificando item, marca, fabricante, apresentação, peso líquido, quantidade, preço unitário, preço total de cada item e VALOR GLOBAL DO LOTE. O valor global corresponderá à soma dos quantitativos multiplicados pelos respectivos preços unitários. Os lances serão ofertados pelo valor global do lote único. A proposta final readequada deverá demonstrar a correspondência entre a planilha e o lance final, sem majoração deste. Serão admitidos documentos técnicos ou imagens de rótulo que identifiquem o produto. Os preços incluirão tributos, frete, carga, descarga e demais encargos.</w:t>
      </w:r>
    </w:p>
    <w:p w14:paraId="57F84AED" w14:textId="77777777" w:rsidR="00794E77" w:rsidRPr="00AA4D6F" w:rsidRDefault="00794E77" w:rsidP="00794E77">
      <w:pPr>
        <w:rPr>
          <w:rFonts w:ascii="Verdana" w:hAnsi="Verdana"/>
        </w:rPr>
      </w:pPr>
      <w:r w:rsidRPr="00AA4D6F">
        <w:rPr>
          <w:rFonts w:ascii="Verdana" w:hAnsi="Verdana"/>
        </w:rPr>
        <w:t>6.5 A proposta será classificada e julgada pelo menor valor global do lote único. A aceitação dependerá também da conformidade técnica de todos os itens e da observância dos preços unitários máximos, correspondentes aos valores de referência da planilha, após sua ratificação no orçamento aprovado. O preço global máximo será de R$ 420.925,10, condicionado à ratificação ou atualização da pesquisa antes da publicação. Não será admitida compensação de preço unitário superior ao máximo por desconto em outro item. Não haverá adjudicação isolada de itens. Diligências, saneamento e análise de exequibilidade observarão a Lei nº 14.133/2021 e o edital, sem presunção de inexequibilidade apenas pelo desconto elevado.</w:t>
      </w:r>
    </w:p>
    <w:p w14:paraId="6B5F5750" w14:textId="77777777" w:rsidR="00794E77" w:rsidRPr="00AA4D6F" w:rsidRDefault="00794E77" w:rsidP="00794E77">
      <w:pPr>
        <w:rPr>
          <w:rFonts w:ascii="Verdana" w:hAnsi="Verdana"/>
        </w:rPr>
      </w:pPr>
      <w:r w:rsidRPr="00AA4D6F">
        <w:rPr>
          <w:rFonts w:ascii="Verdana" w:hAnsi="Verdana"/>
        </w:rPr>
        <w:t>6.6 Não se estabelece teste de degustação subjetivo nem amostra obrigatória nesta versão. A conferência da proposta será documental, sem prejuízo da inspeção dos produtos entregues. Caso a equipe decida exigir amostras ou análise sensorial para caracterização da categoria gourmet, deverá incluir previamente protocolo objetivo com parâmetros, método, responsáveis, quantidade, prazo e consequências no edital, vedada a criação de testes após a disputa.</w:t>
      </w:r>
    </w:p>
    <w:p w14:paraId="43A58383"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lastRenderedPageBreak/>
        <w:t>7 Documentos de habilitação</w:t>
      </w:r>
    </w:p>
    <w:p w14:paraId="3FB2FE59" w14:textId="77777777" w:rsidR="00794E77" w:rsidRPr="00AA4D6F" w:rsidRDefault="00794E77" w:rsidP="00794E77">
      <w:pPr>
        <w:rPr>
          <w:rFonts w:ascii="Verdana" w:hAnsi="Verdana"/>
        </w:rPr>
      </w:pPr>
      <w:r w:rsidRPr="00AA4D6F">
        <w:rPr>
          <w:rFonts w:ascii="Verdana" w:hAnsi="Verdana"/>
        </w:rPr>
        <w:t>7.1 Habilitação jurídica: registro empresarial ou ato constitutivo vigente, com alterações ou consolidação, e documentos de representação compatíveis com a natureza da licitante. Para empresário individual e microempreendedor individual, serão aceitos os registros próprios de seu enquadramento, na forma do edital.</w:t>
      </w:r>
    </w:p>
    <w:p w14:paraId="50D47A4B" w14:textId="77777777" w:rsidR="00794E77" w:rsidRPr="00AA4D6F" w:rsidRDefault="00794E77" w:rsidP="00794E77">
      <w:pPr>
        <w:rPr>
          <w:rFonts w:ascii="Verdana" w:hAnsi="Verdana"/>
        </w:rPr>
      </w:pPr>
      <w:r w:rsidRPr="00AA4D6F">
        <w:rPr>
          <w:rFonts w:ascii="Verdana" w:hAnsi="Verdana"/>
        </w:rPr>
        <w:t>7.2 Regularidade fiscal, social e trabalhista: inscrição no CNPJ; inscrição no cadastro de contribuintes estadual e/ou municipal, se houver, pertinente ao ramo e compatível com o objeto; regularidade perante as Fazendas federal, estadual e municipal competentes; regularidade perante o FGTS e a Justiça do Trabalho; e comprovação do atendimento às exigências relativas à Seguridade Social, na forma dos documentos legalmente admitidos. Situações de isenção ou não incidência poderão ser demonstradas por documentação idônea.</w:t>
      </w:r>
    </w:p>
    <w:p w14:paraId="0264608C" w14:textId="77777777" w:rsidR="00794E77" w:rsidRPr="00AA4D6F" w:rsidRDefault="00794E77" w:rsidP="00794E77">
      <w:pPr>
        <w:rPr>
          <w:rFonts w:ascii="Verdana" w:hAnsi="Verdana"/>
        </w:rPr>
      </w:pPr>
      <w:r w:rsidRPr="00AA4D6F">
        <w:rPr>
          <w:rFonts w:ascii="Verdana" w:hAnsi="Verdana"/>
        </w:rPr>
        <w:t>7.3 As microempresas e empresas de pequeno porte terão assegurado o tratamento legal quanto à regularização fiscal e trabalhista. A relação documental e o momento da comprovação observarão o edital e a legislação, sem afastar a apresentação exigível para participação.</w:t>
      </w:r>
    </w:p>
    <w:p w14:paraId="5FD89168" w14:textId="77777777" w:rsidR="00794E77" w:rsidRPr="00AA4D6F" w:rsidRDefault="00794E77" w:rsidP="00794E77">
      <w:pPr>
        <w:rPr>
          <w:rFonts w:ascii="Verdana" w:hAnsi="Verdana"/>
        </w:rPr>
      </w:pPr>
      <w:r w:rsidRPr="00AA4D6F">
        <w:rPr>
          <w:rFonts w:ascii="Verdana" w:hAnsi="Verdana"/>
        </w:rPr>
        <w:t>7.4 Qualificação econômico-financeira: certidão negativa de feitos sobre falência expedida pelo distribuidor da sede da pessoa jurídica, quando aplicável; balanço patrimonial, demonstração de resultado do exercício e demais demonstrações contábeis dos dois últimos exercícios sociais, na forma legal. Para pessoa jurídica constituída há menos de dois anos, os documentos limitar-se-ão ao último exercício; empresas criadas no exercício poderão apresentar balanço de abertura, observada a legislação. Não se exigem índices financeiros, capital mínimo ou patrimônio líquido mínimo adicionais. O edital observará as particularidades legais de cada enquadramento e eventuais dispensas legalmente cabíveis, devidamente motivadas, sem dispensa genérica fundada apenas na simplicidade do objeto.</w:t>
      </w:r>
    </w:p>
    <w:p w14:paraId="124F259E" w14:textId="77777777" w:rsidR="00794E77" w:rsidRPr="00AA4D6F" w:rsidRDefault="00794E77" w:rsidP="00794E77">
      <w:pPr>
        <w:rPr>
          <w:rFonts w:ascii="Verdana" w:hAnsi="Verdana"/>
        </w:rPr>
      </w:pPr>
      <w:r w:rsidRPr="00AA4D6F">
        <w:rPr>
          <w:rFonts w:ascii="Verdana" w:hAnsi="Verdana"/>
        </w:rPr>
        <w:t>7.5 Qualificação técnica: não se exige quantitativo mínimo de atestados de capacidade técnica, por se tratar de fornecimento comum de alimentos embalados, sem complexidade operacional demonstrada. A aptidão será aferida pela conformidade da proposta e pelos documentos de atividade regularmente exigíveis. Eventual acréscimo de atestado dependerá de fundamentação prévia, sem restrição injustificada.</w:t>
      </w:r>
    </w:p>
    <w:p w14:paraId="0162D8EC" w14:textId="77777777" w:rsidR="00794E77" w:rsidRPr="00AA4D6F" w:rsidRDefault="00794E77" w:rsidP="00794E77">
      <w:pPr>
        <w:rPr>
          <w:rFonts w:ascii="Verdana" w:hAnsi="Verdana"/>
        </w:rPr>
      </w:pPr>
      <w:r w:rsidRPr="00AA4D6F">
        <w:rPr>
          <w:rFonts w:ascii="Verdana" w:hAnsi="Verdana"/>
        </w:rPr>
        <w:t>7.6 Licença ou alvará sanitário será exigido quando obrigatório para a atividade efetivamente exercida pelo estabelecimento, expedido pelo órgão competente, admitida prova oficial de dispensa quando aplicável. Não se exigirá indistintamente de distribuidor registro próprio da indústria nem registro individual do produto quando a categoria estiver legalmente dispensada.</w:t>
      </w:r>
    </w:p>
    <w:p w14:paraId="482883E4" w14:textId="77777777" w:rsidR="00794E77" w:rsidRPr="00AA4D6F" w:rsidRDefault="00794E77" w:rsidP="00794E77">
      <w:pPr>
        <w:rPr>
          <w:rFonts w:ascii="Verdana" w:hAnsi="Verdana"/>
        </w:rPr>
      </w:pPr>
      <w:r w:rsidRPr="00AA4D6F">
        <w:rPr>
          <w:rFonts w:ascii="Verdana" w:hAnsi="Verdana"/>
        </w:rPr>
        <w:t>7.7 Serão exigidas as declarações legais pertinentes, incluindo cumprimento das regras sobre trabalho de menores, inexistência de impedimentos e atendimento às exigências de reserva de cargos, quando aplicáveis. O edital especificará meios, prazos e forma de apresentação, evitando duplicidade de comprovações disponíveis em cadastro admitido.</w:t>
      </w:r>
    </w:p>
    <w:p w14:paraId="55589779"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8 Ata e formalização das contratações</w:t>
      </w:r>
    </w:p>
    <w:p w14:paraId="42B7D380" w14:textId="77777777" w:rsidR="00794E77" w:rsidRPr="00AA4D6F" w:rsidRDefault="00794E77" w:rsidP="00794E77">
      <w:pPr>
        <w:rPr>
          <w:rFonts w:ascii="Verdana" w:hAnsi="Verdana"/>
        </w:rPr>
      </w:pPr>
      <w:r w:rsidRPr="00AA4D6F">
        <w:rPr>
          <w:rFonts w:ascii="Verdana" w:hAnsi="Verdana"/>
        </w:rPr>
        <w:t xml:space="preserve">8.1 A ata de registro de preços terá vigência de um ano e poderá ser prorrogada por igual período, desde que comprovada a vantajosidade do preço e atendidas as condições legais e regulamentares. O termo inicial será definido na minuta da </w:t>
      </w:r>
      <w:r w:rsidRPr="00AA4D6F">
        <w:rPr>
          <w:rFonts w:ascii="Verdana" w:hAnsi="Verdana"/>
        </w:rPr>
        <w:lastRenderedPageBreak/>
        <w:t>ata conforme a disciplina aplicável, com as publicações exigíveis.</w:t>
      </w:r>
    </w:p>
    <w:p w14:paraId="2139A779" w14:textId="77777777" w:rsidR="00794E77" w:rsidRPr="00AA4D6F" w:rsidRDefault="00794E77" w:rsidP="00794E77">
      <w:pPr>
        <w:rPr>
          <w:rFonts w:ascii="Verdana" w:hAnsi="Verdana"/>
        </w:rPr>
      </w:pPr>
      <w:r w:rsidRPr="00AA4D6F">
        <w:rPr>
          <w:rFonts w:ascii="Verdana" w:hAnsi="Verdana"/>
        </w:rPr>
        <w:t>8.2 A prorrogação não importará recomposição automática dos quantitativos. Qualquer disciplina de quantitativos na prorrogação deverá observar a legislação, a regulamentação aplicável e as condições expressas do edital e da ata.</w:t>
      </w:r>
    </w:p>
    <w:p w14:paraId="3BDA9BDB" w14:textId="77777777" w:rsidR="00794E77" w:rsidRPr="00AA4D6F" w:rsidRDefault="00794E77" w:rsidP="00794E77">
      <w:pPr>
        <w:rPr>
          <w:rFonts w:ascii="Verdana" w:hAnsi="Verdana"/>
        </w:rPr>
      </w:pPr>
      <w:r w:rsidRPr="00AA4D6F">
        <w:rPr>
          <w:rFonts w:ascii="Verdana" w:hAnsi="Verdana"/>
        </w:rPr>
        <w:t>8.3 As contratações decorrentes serão formalizadas durante a vigência da ata por contrato ou instrumento legalmente admissível. Para o fornecimento parcelado com obrigações futuras, adotar-se-á termo contratual, salvo hipótese legal devidamente enquadrada. A vigência inicial proposta é de 12 meses, sem início de execução antes da eficácia do instrumento.</w:t>
      </w:r>
    </w:p>
    <w:p w14:paraId="4C9A04AA" w14:textId="77777777" w:rsidR="00794E77" w:rsidRPr="00AA4D6F" w:rsidRDefault="00794E77" w:rsidP="00794E77">
      <w:pPr>
        <w:rPr>
          <w:rFonts w:ascii="Verdana" w:hAnsi="Verdana"/>
        </w:rPr>
      </w:pPr>
      <w:r w:rsidRPr="00AA4D6F">
        <w:rPr>
          <w:rFonts w:ascii="Verdana" w:hAnsi="Verdana"/>
        </w:rPr>
        <w:t>8.4 Eventual prorrogação contratual dependerá do enquadramento legal do fornecimento, de previsão no edital e contrato e de demonstração das condições exigíveis. Não se confunde a vigência do contrato com a da ata. Quantidades contratadas, saldo da ata e pedidos serão controlados separadamente.</w:t>
      </w:r>
    </w:p>
    <w:p w14:paraId="4BB1BB02" w14:textId="77777777" w:rsidR="00794E77" w:rsidRPr="00AA4D6F" w:rsidRDefault="00794E77" w:rsidP="00794E77">
      <w:pPr>
        <w:rPr>
          <w:rFonts w:ascii="Verdana" w:hAnsi="Verdana"/>
        </w:rPr>
      </w:pPr>
      <w:r w:rsidRPr="00AA4D6F">
        <w:rPr>
          <w:rFonts w:ascii="Verdana" w:hAnsi="Verdana"/>
        </w:rPr>
        <w:t>8.5 Não será exigida garantia de execução, considerando o caráter comum do fornecimento, a possibilidade de recusa dos produtos e o pagamento após o recebimento, sem prejuízo das responsabilidades contratuais.</w:t>
      </w:r>
    </w:p>
    <w:p w14:paraId="7C601FFA"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9 Pedidos e entregas</w:t>
      </w:r>
    </w:p>
    <w:p w14:paraId="0EB7BB60" w14:textId="77777777" w:rsidR="00794E77" w:rsidRPr="00AA4D6F" w:rsidRDefault="00794E77" w:rsidP="00794E77">
      <w:pPr>
        <w:rPr>
          <w:rFonts w:ascii="Verdana" w:hAnsi="Verdana"/>
        </w:rPr>
      </w:pPr>
      <w:r w:rsidRPr="00AA4D6F">
        <w:rPr>
          <w:rFonts w:ascii="Verdana" w:hAnsi="Verdana"/>
        </w:rPr>
        <w:t>9.1 O fornecimento ocorrerá conforme ordens escritas emitidas por agente autorizado, contendo instrumento contratual, item, marca aceita, quantidade, endereço, data limite, servidor de contato e identificação da unidade requisitante. A emissão será precedida da verificação dos saldos e das condições orçamentárias.</w:t>
      </w:r>
    </w:p>
    <w:p w14:paraId="399C0799" w14:textId="77777777" w:rsidR="00794E77" w:rsidRPr="00AA4D6F" w:rsidRDefault="00794E77" w:rsidP="00794E77">
      <w:pPr>
        <w:rPr>
          <w:rFonts w:ascii="Verdana" w:hAnsi="Verdana"/>
        </w:rPr>
      </w:pPr>
      <w:r w:rsidRPr="00AA4D6F">
        <w:rPr>
          <w:rFonts w:ascii="Verdana" w:hAnsi="Verdana"/>
        </w:rPr>
        <w:t>9.2 Fixa-se como prazo proposto de entrega até 10 dias úteis a partir do recebimento comprovado da ordem. As entregas serão efetuadas em dias úteis, em horário de expediente, mediante agendamento. O prazo deverá ser validado pela equipe com as condições logísticas do mercado antes da publicação.</w:t>
      </w:r>
    </w:p>
    <w:p w14:paraId="31DC5B7D" w14:textId="4EDE4713" w:rsidR="00794E77" w:rsidRPr="00AA4D6F" w:rsidRDefault="00794E77" w:rsidP="00794E77">
      <w:pPr>
        <w:rPr>
          <w:rFonts w:ascii="Verdana" w:hAnsi="Verdana"/>
        </w:rPr>
      </w:pPr>
      <w:r w:rsidRPr="00AA4D6F">
        <w:rPr>
          <w:rFonts w:ascii="Verdana" w:hAnsi="Verdana"/>
        </w:rPr>
        <w:t>9.3 O</w:t>
      </w:r>
      <w:r w:rsidR="003563A0">
        <w:rPr>
          <w:rFonts w:ascii="Verdana" w:hAnsi="Verdana"/>
        </w:rPr>
        <w:t xml:space="preserve"> local</w:t>
      </w:r>
      <w:r w:rsidRPr="00AA4D6F">
        <w:rPr>
          <w:rFonts w:ascii="Verdana" w:hAnsi="Verdana"/>
        </w:rPr>
        <w:t xml:space="preserve"> de entrega, </w:t>
      </w:r>
      <w:r w:rsidR="003563A0">
        <w:rPr>
          <w:rFonts w:ascii="Verdana" w:hAnsi="Verdana"/>
        </w:rPr>
        <w:t>será na Rua da Chacará, 445, Lot. Antonio de França. Correntina – Ba, setor de Compras da Prefeitura Municipal de Correntina</w:t>
      </w:r>
      <w:r w:rsidRPr="00AA4D6F">
        <w:rPr>
          <w:rFonts w:ascii="Verdana" w:hAnsi="Verdana"/>
        </w:rPr>
        <w:t>, inclusive quanto a distritos ou zona rural. Não será imposto posteriormente endereço que altere materialmente a logística sem o tratamento contratual cabível.</w:t>
      </w:r>
    </w:p>
    <w:p w14:paraId="6DAE9B41" w14:textId="77777777" w:rsidR="00794E77" w:rsidRPr="00AA4D6F" w:rsidRDefault="00794E77" w:rsidP="00794E77">
      <w:pPr>
        <w:rPr>
          <w:rFonts w:ascii="Verdana" w:hAnsi="Verdana"/>
        </w:rPr>
      </w:pPr>
      <w:r w:rsidRPr="00AA4D6F">
        <w:rPr>
          <w:rFonts w:ascii="Verdana" w:hAnsi="Verdana"/>
        </w:rPr>
        <w:t>9.4 Não se estabelece compra mensal obrigatória ou quantidade mínima garantida. A Administração organizará os pedidos para evitar remessas antieconômicas e manter compatibilidade com o consumo. O fornecedor não poderá exigir consumo integral da ata nem condicionar entrega regular à aquisição de outro item.</w:t>
      </w:r>
    </w:p>
    <w:p w14:paraId="5E870C70" w14:textId="77777777" w:rsidR="00794E77" w:rsidRPr="00AA4D6F" w:rsidRDefault="00794E77" w:rsidP="00794E77">
      <w:pPr>
        <w:rPr>
          <w:rFonts w:ascii="Verdana" w:hAnsi="Verdana"/>
        </w:rPr>
      </w:pPr>
      <w:r w:rsidRPr="00AA4D6F">
        <w:rPr>
          <w:rFonts w:ascii="Verdana" w:hAnsi="Verdana"/>
        </w:rPr>
        <w:t>9.5 A contratada comunicará impedimentos tão logo deles tenha conhecimento, com justificativa e documentos. A comunicação não prorroga automaticamente o prazo, cabendo decisão fundamentada da Administração. Entrega parcial ou antecipada dependerá de concordância expressa.</w:t>
      </w:r>
    </w:p>
    <w:p w14:paraId="7DF52064" w14:textId="77777777" w:rsidR="00794E77" w:rsidRPr="00AA4D6F" w:rsidRDefault="00794E77" w:rsidP="00794E77">
      <w:pPr>
        <w:rPr>
          <w:rFonts w:ascii="Verdana" w:hAnsi="Verdana"/>
        </w:rPr>
      </w:pPr>
      <w:r w:rsidRPr="00AA4D6F">
        <w:rPr>
          <w:rFonts w:ascii="Verdana" w:hAnsi="Verdana"/>
        </w:rPr>
        <w:t>9.6 A marca aceita não poderá ser substituída unilateralmente. Pedido de alteração deverá demonstrar equivalência integral, motivo e ausência de prejuízo ou aumento de preço, sujeito à análise prévia. Não será admitida alteração que descaracterize a proposta ou comprometa a isonomia.</w:t>
      </w:r>
    </w:p>
    <w:p w14:paraId="3FE89843"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10 Recebimento e controle de qualidade</w:t>
      </w:r>
    </w:p>
    <w:p w14:paraId="59260699" w14:textId="77777777" w:rsidR="00794E77" w:rsidRPr="00AA4D6F" w:rsidRDefault="00794E77" w:rsidP="00794E77">
      <w:pPr>
        <w:rPr>
          <w:rFonts w:ascii="Verdana" w:hAnsi="Verdana"/>
        </w:rPr>
      </w:pPr>
      <w:r w:rsidRPr="00AA4D6F">
        <w:rPr>
          <w:rFonts w:ascii="Verdana" w:hAnsi="Verdana"/>
        </w:rPr>
        <w:t xml:space="preserve">10.1 O recebimento provisório será realizado de forma sumária no ato da entrega, pelo responsável por acompanhamento e fiscalização, para posterior </w:t>
      </w:r>
      <w:r w:rsidRPr="00AA4D6F">
        <w:rPr>
          <w:rFonts w:ascii="Verdana" w:hAnsi="Verdana"/>
        </w:rPr>
        <w:lastRenderedPageBreak/>
        <w:t>verificação de conformidade, com registro das quantidades e das condições aparentes. A assinatura de comprovante logístico não representa aceitação definitiva.</w:t>
      </w:r>
    </w:p>
    <w:p w14:paraId="22D807A1" w14:textId="77777777" w:rsidR="00794E77" w:rsidRPr="00AA4D6F" w:rsidRDefault="00794E77" w:rsidP="00794E77">
      <w:pPr>
        <w:rPr>
          <w:rFonts w:ascii="Verdana" w:hAnsi="Verdana"/>
        </w:rPr>
      </w:pPr>
      <w:r w:rsidRPr="00AA4D6F">
        <w:rPr>
          <w:rFonts w:ascii="Verdana" w:hAnsi="Verdana"/>
        </w:rPr>
        <w:t>10.2 O recebimento definitivo ocorrerá em até cinco dias úteis após a entrega e a disponibilização da documentação necessária, por servidor ou comissão designados, mediante termo detalhado que comprove o atendimento das exigências. As conferências serão registradas por item e lote.</w:t>
      </w:r>
    </w:p>
    <w:p w14:paraId="54A9827B" w14:textId="77777777" w:rsidR="00794E77" w:rsidRPr="00AA4D6F" w:rsidRDefault="00794E77" w:rsidP="00794E77">
      <w:pPr>
        <w:rPr>
          <w:rFonts w:ascii="Verdana" w:hAnsi="Verdana"/>
        </w:rPr>
      </w:pPr>
      <w:r w:rsidRPr="00AA4D6F">
        <w:rPr>
          <w:rFonts w:ascii="Verdana" w:hAnsi="Verdana"/>
        </w:rPr>
        <w:t>10.3 Serão verificados: correspondência com a proposta e a ordem, apresentação e conteúdo líquido, integridade das embalagens, lote, validade, rotulagem, conservação e ausência de indícios de adulteração ou deterioração. A abertura de embalagens para inspeção será documentada e proporcional à dúvida técnica.</w:t>
      </w:r>
    </w:p>
    <w:p w14:paraId="05FF7E1B" w14:textId="77777777" w:rsidR="00794E77" w:rsidRPr="00AA4D6F" w:rsidRDefault="00794E77" w:rsidP="00794E77">
      <w:pPr>
        <w:rPr>
          <w:rFonts w:ascii="Verdana" w:hAnsi="Verdana"/>
        </w:rPr>
      </w:pPr>
      <w:r w:rsidRPr="00AA4D6F">
        <w:rPr>
          <w:rFonts w:ascii="Verdana" w:hAnsi="Verdana"/>
        </w:rPr>
        <w:t>10.4 Produtos desconformes poderão ser rejeitados no todo ou em parte. A contratada deverá recolher e substituir os produtos recusados em até cinco dias úteis da notificação, sem ônus adicional. Esse prazo proposto deverá ser validado antes da publicação. A substituição não afasta a apuração de atraso ou de outras infrações.</w:t>
      </w:r>
    </w:p>
    <w:p w14:paraId="359587FC" w14:textId="77777777" w:rsidR="00794E77" w:rsidRPr="00AA4D6F" w:rsidRDefault="00794E77" w:rsidP="00794E77">
      <w:pPr>
        <w:rPr>
          <w:rFonts w:ascii="Verdana" w:hAnsi="Verdana"/>
        </w:rPr>
      </w:pPr>
      <w:r w:rsidRPr="00AA4D6F">
        <w:rPr>
          <w:rFonts w:ascii="Verdana" w:hAnsi="Verdana"/>
        </w:rPr>
        <w:t>10.5 Havendo dúvida técnica justificada, a Administração poderá determinar avaliação por órgão ou laboratório competente, com identificação da amostra, preservação da rastreabilidade e oportunidade de manifestação da contratada. A atribuição dos custos seguirá a legislação e as condições contratuais, sem imposição posterior de critério de qualidade não previsto.</w:t>
      </w:r>
    </w:p>
    <w:p w14:paraId="448E8E89" w14:textId="77777777" w:rsidR="00794E77" w:rsidRPr="00AA4D6F" w:rsidRDefault="00794E77" w:rsidP="00794E77">
      <w:pPr>
        <w:rPr>
          <w:rFonts w:ascii="Verdana" w:hAnsi="Verdana"/>
        </w:rPr>
      </w:pPr>
      <w:r w:rsidRPr="00AA4D6F">
        <w:rPr>
          <w:rFonts w:ascii="Verdana" w:hAnsi="Verdana"/>
        </w:rPr>
        <w:t>10.6 O recebimento não exclui a responsabilidade por vícios ocultos ou desconformidades identificadas posteriormente. Constatado alerta sanitário ou recolhimento de lote entregue, a contratada deverá comunicar imediatamente, orientar a segregação e providenciar a substituição ou outra medida determinada pelo órgão competente.</w:t>
      </w:r>
    </w:p>
    <w:p w14:paraId="2BFEFC41"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11 Modelo de gestão e fiscalização</w:t>
      </w:r>
    </w:p>
    <w:p w14:paraId="70202553" w14:textId="77777777" w:rsidR="00794E77" w:rsidRPr="00AA4D6F" w:rsidRDefault="00794E77" w:rsidP="00794E77">
      <w:pPr>
        <w:rPr>
          <w:rFonts w:ascii="Verdana" w:hAnsi="Verdana"/>
        </w:rPr>
      </w:pPr>
      <w:r w:rsidRPr="00AA4D6F">
        <w:rPr>
          <w:rFonts w:ascii="Verdana" w:hAnsi="Verdana"/>
        </w:rPr>
        <w:t>11.1 O Município designará gestor e fiscais, com substitutos quando cabível. O gestor acompanhará vigência, saldos, regularidade dos instrumentos, pedidos de alteração e providências administrativas. O fiscal acompanhará entregas, qualidade, validade, registros de recebimento e cumprimento das obrigações.</w:t>
      </w:r>
    </w:p>
    <w:p w14:paraId="1C44C795" w14:textId="77777777" w:rsidR="00794E77" w:rsidRPr="00AA4D6F" w:rsidRDefault="00794E77" w:rsidP="00794E77">
      <w:pPr>
        <w:rPr>
          <w:rFonts w:ascii="Verdana" w:hAnsi="Verdana"/>
        </w:rPr>
      </w:pPr>
      <w:r w:rsidRPr="00AA4D6F">
        <w:rPr>
          <w:rFonts w:ascii="Verdana" w:hAnsi="Verdana"/>
        </w:rPr>
        <w:t>11.2 Cada secretaria indicará servidor de contato para requisições e recebimento, integrado ao controle da unidade gerenciadora. O controle conterá item, quantidade prevista, contratada, requisitada e recebida, além de saldo, unidade destinatária e ocorrências.</w:t>
      </w:r>
    </w:p>
    <w:p w14:paraId="15A95E4C" w14:textId="77777777" w:rsidR="00794E77" w:rsidRPr="00AA4D6F" w:rsidRDefault="00794E77" w:rsidP="00794E77">
      <w:pPr>
        <w:rPr>
          <w:rFonts w:ascii="Verdana" w:hAnsi="Verdana"/>
        </w:rPr>
      </w:pPr>
      <w:r w:rsidRPr="00AA4D6F">
        <w:rPr>
          <w:rFonts w:ascii="Verdana" w:hAnsi="Verdana"/>
        </w:rPr>
        <w:t>11.3 O fiscal notificará falhas, fixará as correções previstas e comunicará ao gestor as situações que ultrapassem sua competência. A fiscalização não autoriza alteração informal de objeto, preço, prazo ou quantidade, nem exclui a responsabilidade da contratada.</w:t>
      </w:r>
    </w:p>
    <w:p w14:paraId="1D9341CF" w14:textId="77777777" w:rsidR="00794E77" w:rsidRPr="00AA4D6F" w:rsidRDefault="00794E77" w:rsidP="00794E77">
      <w:pPr>
        <w:rPr>
          <w:rFonts w:ascii="Verdana" w:hAnsi="Verdana"/>
        </w:rPr>
      </w:pPr>
      <w:r w:rsidRPr="00AA4D6F">
        <w:rPr>
          <w:rFonts w:ascii="Verdana" w:hAnsi="Verdana"/>
        </w:rPr>
        <w:t>11.4 Serão acompanhados pontualidade das entregas, conformidade dos lotes, substituições, perdas e consumo por secretaria. As ocorrências subsidiarão as medidas contratuais e a revisão de estimativas futuras.</w:t>
      </w:r>
    </w:p>
    <w:p w14:paraId="35505E84"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12 Liquidação e pagamento</w:t>
      </w:r>
    </w:p>
    <w:p w14:paraId="6746D042" w14:textId="77777777" w:rsidR="00794E77" w:rsidRPr="00AA4D6F" w:rsidRDefault="00794E77" w:rsidP="00794E77">
      <w:pPr>
        <w:rPr>
          <w:rFonts w:ascii="Verdana" w:hAnsi="Verdana"/>
        </w:rPr>
      </w:pPr>
      <w:r w:rsidRPr="00AA4D6F">
        <w:rPr>
          <w:rFonts w:ascii="Verdana" w:hAnsi="Verdana"/>
        </w:rPr>
        <w:t xml:space="preserve">12.1 O julgamento pelo valor global do lote não implica pagamento integral antecipado nem obrigação de consumo de toda a estimativa. A medição corresponderá às embalagens efetivamente entregues e aceitas, multiplicadas </w:t>
      </w:r>
      <w:r w:rsidRPr="00AA4D6F">
        <w:rPr>
          <w:rFonts w:ascii="Verdana" w:hAnsi="Verdana"/>
        </w:rPr>
        <w:lastRenderedPageBreak/>
        <w:t>pelos preços unitários da proposta final readequada e registrados na ata e no contrato, com as retenções legais. Não haverá pagamento por saldo não solicitado, produto rejeitado, transporte separado ou entrega sem respaldo contratual.</w:t>
      </w:r>
    </w:p>
    <w:p w14:paraId="22B059CE" w14:textId="77777777" w:rsidR="00794E77" w:rsidRPr="00AA4D6F" w:rsidRDefault="00794E77" w:rsidP="00794E77">
      <w:pPr>
        <w:rPr>
          <w:rFonts w:ascii="Verdana" w:hAnsi="Verdana"/>
        </w:rPr>
      </w:pPr>
      <w:r w:rsidRPr="00AA4D6F">
        <w:rPr>
          <w:rFonts w:ascii="Verdana" w:hAnsi="Verdana"/>
        </w:rPr>
        <w:t>12.2 A nota fiscal deverá identificar o Município ou unidade contratante, CNPJ informado na contratação, processo ou contrato, ordem de fornecimento, itens, quantidades, preços e dados bancários. Deverão acompanhá-la os documentos exigíveis para liquidação e comprovação da entrega.</w:t>
      </w:r>
    </w:p>
    <w:p w14:paraId="627207E7" w14:textId="77777777" w:rsidR="00794E77" w:rsidRPr="00AA4D6F" w:rsidRDefault="00794E77" w:rsidP="00794E77">
      <w:pPr>
        <w:rPr>
          <w:rFonts w:ascii="Verdana" w:hAnsi="Verdana"/>
        </w:rPr>
      </w:pPr>
      <w:r w:rsidRPr="00AA4D6F">
        <w:rPr>
          <w:rFonts w:ascii="Verdana" w:hAnsi="Verdana"/>
        </w:rPr>
        <w:t>12.3 Propõe-se prazo de até 10 dias úteis para liquidação, contado do recebimento da nota fiscal regularmente instruída e da comprovação do adimplemento. O pagamento ocorrerá em até 10 dias úteis após a liquidação, por crédito em conta de titularidade da contratada, respeitadas as regras municipais e a ordem cronológica aplicável. Esses prazos deverão ser compatibilizados com a norma municipal antes da publicação.</w:t>
      </w:r>
    </w:p>
    <w:p w14:paraId="4BA6217A" w14:textId="77777777" w:rsidR="00794E77" w:rsidRPr="00AA4D6F" w:rsidRDefault="00794E77" w:rsidP="00794E77">
      <w:pPr>
        <w:rPr>
          <w:rFonts w:ascii="Verdana" w:hAnsi="Verdana"/>
        </w:rPr>
      </w:pPr>
      <w:r w:rsidRPr="00AA4D6F">
        <w:rPr>
          <w:rFonts w:ascii="Verdana" w:hAnsi="Verdana"/>
        </w:rPr>
        <w:t>12.4 Havendo erro ou falta documental que impeça a liquidação, a contratada será notificada. O prazo ficará suspenso quanto à parcela afetada até o saneamento, sem prejuízo do processamento da parcela incontroversa quando identificável. Divergências de qualidade ou quantidade serão tratadas de forma documentada.</w:t>
      </w:r>
    </w:p>
    <w:p w14:paraId="3F5F2920" w14:textId="77777777" w:rsidR="00794E77" w:rsidRPr="00AA4D6F" w:rsidRDefault="00794E77" w:rsidP="00794E77">
      <w:pPr>
        <w:rPr>
          <w:rFonts w:ascii="Verdana" w:hAnsi="Verdana"/>
        </w:rPr>
      </w:pPr>
      <w:r w:rsidRPr="00AA4D6F">
        <w:rPr>
          <w:rFonts w:ascii="Verdana" w:hAnsi="Verdana"/>
        </w:rPr>
        <w:t>12.5 A regularidade fiscal e trabalhista será acompanhada durante a execução. A irregularidade superveniente ensejará notificação e providências próprias, sem retenção automática do pagamento por fornecimento comprovadamente executado e aceito. Não se admite pagamento antecipado.</w:t>
      </w:r>
    </w:p>
    <w:p w14:paraId="40B9885E" w14:textId="77777777" w:rsidR="00794E77" w:rsidRPr="00AA4D6F" w:rsidRDefault="00794E77" w:rsidP="00794E77">
      <w:pPr>
        <w:rPr>
          <w:rFonts w:ascii="Verdana" w:hAnsi="Verdana"/>
        </w:rPr>
      </w:pPr>
      <w:r w:rsidRPr="00AA4D6F">
        <w:rPr>
          <w:rFonts w:ascii="Verdana" w:hAnsi="Verdana"/>
        </w:rPr>
        <w:t>12.6 No atraso de pagamento imputável à Administração, haverá atualização monetária pelo IPCA desde o vencimento até o efetivo pagamento, observadas as condições da minuta contratual e vedada duplicidade de atualização pelo mesmo fato.</w:t>
      </w:r>
    </w:p>
    <w:p w14:paraId="28B14C86"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13 Obrigações da contratada</w:t>
      </w:r>
    </w:p>
    <w:p w14:paraId="34D18A5F" w14:textId="77777777" w:rsidR="00794E77" w:rsidRPr="00AA4D6F" w:rsidRDefault="00794E77" w:rsidP="00794E77">
      <w:pPr>
        <w:rPr>
          <w:rFonts w:ascii="Verdana" w:hAnsi="Verdana"/>
        </w:rPr>
      </w:pPr>
      <w:r w:rsidRPr="00AA4D6F">
        <w:rPr>
          <w:rFonts w:ascii="Verdana" w:hAnsi="Verdana"/>
        </w:rPr>
        <w:t>13.1 Entregar os produtos conforme proposta, TR, contrato e ordens, respondendo por transporte, encargos, qualidade, conteúdo líquido e segurança do fornecimento; manter preposto e canais de comunicação; preservar a rastreabilidade dos lotes; substituir os produtos recusados e cumprir as determinações regulares da fiscalização.</w:t>
      </w:r>
    </w:p>
    <w:p w14:paraId="65B6223F" w14:textId="77777777" w:rsidR="00794E77" w:rsidRPr="00AA4D6F" w:rsidRDefault="00794E77" w:rsidP="00794E77">
      <w:pPr>
        <w:rPr>
          <w:rFonts w:ascii="Verdana" w:hAnsi="Verdana"/>
        </w:rPr>
      </w:pPr>
      <w:r w:rsidRPr="00AA4D6F">
        <w:rPr>
          <w:rFonts w:ascii="Verdana" w:hAnsi="Verdana"/>
        </w:rPr>
        <w:t>13.2 Manter durante a execução as condições de habilitação exigíveis, comunicar alterações relevantes e cumprir obrigações fiscais, trabalhistas e comerciais. A Administração não assumirá encargos privados da contratada.</w:t>
      </w:r>
    </w:p>
    <w:p w14:paraId="174CAC85" w14:textId="77777777" w:rsidR="00794E77" w:rsidRPr="00AA4D6F" w:rsidRDefault="00794E77" w:rsidP="00794E77">
      <w:pPr>
        <w:rPr>
          <w:rFonts w:ascii="Verdana" w:hAnsi="Verdana"/>
        </w:rPr>
      </w:pPr>
      <w:r w:rsidRPr="00AA4D6F">
        <w:rPr>
          <w:rFonts w:ascii="Verdana" w:hAnsi="Verdana"/>
        </w:rPr>
        <w:t>13.3 Comunicar riscos à segurança alimentar, indisponibilidade e circunstâncias que possam afetar a entrega; não fornecer produto com venda proibida ou lote recolhido; reparar danos imputáveis à sua atuação; e fornecer informações necessárias à apuração de ocorrências.</w:t>
      </w:r>
    </w:p>
    <w:p w14:paraId="738337CA" w14:textId="77777777" w:rsidR="00794E77" w:rsidRPr="00AA4D6F" w:rsidRDefault="00794E77" w:rsidP="00794E77">
      <w:pPr>
        <w:rPr>
          <w:rFonts w:ascii="Verdana" w:hAnsi="Verdana"/>
        </w:rPr>
      </w:pPr>
      <w:r w:rsidRPr="00AA4D6F">
        <w:rPr>
          <w:rFonts w:ascii="Verdana" w:hAnsi="Verdana"/>
        </w:rPr>
        <w:t>13.4 Não transferir a responsabilidade pelo fornecimento. Não se admite subcontratação do objeto principal; a contratação de transportador constitui atividade auxiliar, permanecendo integralmente a responsabilidade da contratada pela entrega e pela conservação.</w:t>
      </w:r>
    </w:p>
    <w:p w14:paraId="0C00398C"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14 Obrigações da Administração</w:t>
      </w:r>
    </w:p>
    <w:p w14:paraId="7FAC5864" w14:textId="77777777" w:rsidR="00794E77" w:rsidRPr="00AA4D6F" w:rsidRDefault="00794E77" w:rsidP="00794E77">
      <w:pPr>
        <w:rPr>
          <w:rFonts w:ascii="Verdana" w:hAnsi="Verdana"/>
        </w:rPr>
      </w:pPr>
      <w:r w:rsidRPr="00AA4D6F">
        <w:rPr>
          <w:rFonts w:ascii="Verdana" w:hAnsi="Verdana"/>
        </w:rPr>
        <w:t xml:space="preserve">14.1 Formalizar os pedidos e disponibilizar endereços e contatos; manter controle de saldos; oferecer acesso ao local de entrega; conferir os produtos; </w:t>
      </w:r>
      <w:r w:rsidRPr="00AA4D6F">
        <w:rPr>
          <w:rFonts w:ascii="Verdana" w:hAnsi="Verdana"/>
        </w:rPr>
        <w:lastRenderedPageBreak/>
        <w:t>notificar irregularidades; receber os bens conformes e efetuar os pagamentos devidos.</w:t>
      </w:r>
    </w:p>
    <w:p w14:paraId="11C7FECC" w14:textId="77777777" w:rsidR="00794E77" w:rsidRPr="00AA4D6F" w:rsidRDefault="00794E77" w:rsidP="00794E77">
      <w:pPr>
        <w:rPr>
          <w:rFonts w:ascii="Verdana" w:hAnsi="Verdana"/>
        </w:rPr>
      </w:pPr>
      <w:r w:rsidRPr="00AA4D6F">
        <w:rPr>
          <w:rFonts w:ascii="Verdana" w:hAnsi="Verdana"/>
        </w:rPr>
        <w:t>14.2 Designar os responsáveis, decidir pedidos fundamentadamente e assegurar contraditório e ampla defesa. Após o recebimento, observar armazenamento e conservação adequados, não atribuindo à contratada deterioração causada exclusivamente por guarda inadequada do Município.</w:t>
      </w:r>
    </w:p>
    <w:p w14:paraId="4086A55C"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15 Reajuste e equilíbrio econômico financeiro</w:t>
      </w:r>
    </w:p>
    <w:p w14:paraId="08829EAE" w14:textId="77777777" w:rsidR="00794E77" w:rsidRPr="00AA4D6F" w:rsidRDefault="00794E77" w:rsidP="00794E77">
      <w:pPr>
        <w:rPr>
          <w:rFonts w:ascii="Verdana" w:hAnsi="Verdana"/>
        </w:rPr>
      </w:pPr>
      <w:r w:rsidRPr="00AA4D6F">
        <w:rPr>
          <w:rFonts w:ascii="Verdana" w:hAnsi="Verdana"/>
        </w:rPr>
        <w:t>15.1 Os contratos deverão conter data-base vinculada à data do orçamento estimado aprovado [preencher data], admitido reajuste após o interregno mínimo de um ano, pelo IPCA, para obrigações alcançadas pela periodicidade legal. A data da proposta não substituirá a data-base legal do orçamento.</w:t>
      </w:r>
    </w:p>
    <w:p w14:paraId="160E2E0A" w14:textId="77777777" w:rsidR="00794E77" w:rsidRPr="00AA4D6F" w:rsidRDefault="00794E77" w:rsidP="00794E77">
      <w:pPr>
        <w:rPr>
          <w:rFonts w:ascii="Verdana" w:hAnsi="Verdana"/>
        </w:rPr>
      </w:pPr>
      <w:r w:rsidRPr="00AA4D6F">
        <w:rPr>
          <w:rFonts w:ascii="Verdana" w:hAnsi="Verdana"/>
        </w:rPr>
        <w:t>15.2 O restabelecimento do equilíbrio econômico-financeiro dependerá de requerimento e demonstração dos pressupostos legais, com documentos e memória de cálculo do impacto. Variação ordinária de preços ou notícia genérica de mercado não autoriza alteração automática.</w:t>
      </w:r>
    </w:p>
    <w:p w14:paraId="3908EB48" w14:textId="77777777" w:rsidR="00794E77" w:rsidRPr="00AA4D6F" w:rsidRDefault="00794E77" w:rsidP="00794E77">
      <w:pPr>
        <w:rPr>
          <w:rFonts w:ascii="Verdana" w:hAnsi="Verdana"/>
        </w:rPr>
      </w:pPr>
      <w:r w:rsidRPr="00AA4D6F">
        <w:rPr>
          <w:rFonts w:ascii="Verdana" w:hAnsi="Verdana"/>
        </w:rPr>
        <w:t>15.3 A atualização ou revisão dos preços da ata obedecerá à disciplina legal e regulamentar e à respectiva minuta. O deferimento de pedido relativo à ata não dispensará a análise dos efeitos sobre contratos já celebrados. Nenhuma alteração autoriza interrupção unilateral do fornecimento.</w:t>
      </w:r>
    </w:p>
    <w:p w14:paraId="26370518"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16 Infrações e sanções</w:t>
      </w:r>
    </w:p>
    <w:p w14:paraId="27CB3EB0" w14:textId="77777777" w:rsidR="00794E77" w:rsidRPr="00AA4D6F" w:rsidRDefault="00794E77" w:rsidP="00794E77">
      <w:pPr>
        <w:rPr>
          <w:rFonts w:ascii="Verdana" w:hAnsi="Verdana"/>
        </w:rPr>
      </w:pPr>
      <w:r w:rsidRPr="00AA4D6F">
        <w:rPr>
          <w:rFonts w:ascii="Verdana" w:hAnsi="Verdana"/>
        </w:rPr>
        <w:t>16.1 O descumprimento será apurado em processo administrativo, com contraditório, ampla defesa, proporcionalidade e competência decisória, observados os arts. 155 a 163 da Lei nº 14.133/2021 e a regulamentação aplicável.</w:t>
      </w:r>
    </w:p>
    <w:p w14:paraId="3B30BF07" w14:textId="77777777" w:rsidR="00794E77" w:rsidRPr="00AA4D6F" w:rsidRDefault="00794E77" w:rsidP="00794E77">
      <w:pPr>
        <w:rPr>
          <w:rFonts w:ascii="Verdana" w:hAnsi="Verdana"/>
        </w:rPr>
      </w:pPr>
      <w:r w:rsidRPr="00AA4D6F">
        <w:rPr>
          <w:rFonts w:ascii="Verdana" w:hAnsi="Verdana"/>
        </w:rPr>
        <w:t>16.2 Propõe-se multa moratória de 0,5% por dia de atraso injustificado, incidente sobre o valor da parcela em atraso, limitada a 10% dessa parcela. O limite não constitui autorização para atraso. A persistência poderá ensejar apuração de inexecução e extinção nas hipóteses legais.</w:t>
      </w:r>
    </w:p>
    <w:p w14:paraId="581D4842" w14:textId="77777777" w:rsidR="00794E77" w:rsidRPr="00AA4D6F" w:rsidRDefault="00794E77" w:rsidP="00794E77">
      <w:pPr>
        <w:rPr>
          <w:rFonts w:ascii="Verdana" w:hAnsi="Verdana"/>
        </w:rPr>
      </w:pPr>
      <w:r w:rsidRPr="00AA4D6F">
        <w:rPr>
          <w:rFonts w:ascii="Verdana" w:hAnsi="Verdana"/>
        </w:rPr>
        <w:t>16.3 Para inexecução parcial, propõe-se multa compensatória de 10% do valor da parcela inadimplida; para inexecução total, 10% do valor do contrato ou instrumento correspondente. A multa compensatória substituirá a moratória pelo mesmo fato, com abatimento de valores já aplicados, evitando duplicidade.</w:t>
      </w:r>
    </w:p>
    <w:p w14:paraId="7669E836" w14:textId="77777777" w:rsidR="00794E77" w:rsidRPr="00AA4D6F" w:rsidRDefault="00794E77" w:rsidP="00794E77">
      <w:pPr>
        <w:rPr>
          <w:rFonts w:ascii="Verdana" w:hAnsi="Verdana"/>
        </w:rPr>
      </w:pPr>
      <w:r w:rsidRPr="00AA4D6F">
        <w:rPr>
          <w:rFonts w:ascii="Verdana" w:hAnsi="Verdana"/>
        </w:rPr>
        <w:t>16.4 Advertência, impedimento e declaração de inidoneidade serão aplicados nas hipóteses e limites legais, conforme gravidade e demais circunstâncias. As multas e suas bases deverão ser harmonizadas com o edital e a minuta contratual antes da publicação. A aplicação das sanções não afasta o ressarcimento de danos comprovados.</w:t>
      </w:r>
    </w:p>
    <w:p w14:paraId="57FE5075"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17 Sustentabilidade e prevenção de perdas</w:t>
      </w:r>
    </w:p>
    <w:p w14:paraId="5261879F" w14:textId="77777777" w:rsidR="00794E77" w:rsidRPr="00AA4D6F" w:rsidRDefault="00794E77" w:rsidP="00794E77">
      <w:pPr>
        <w:rPr>
          <w:rFonts w:ascii="Verdana" w:hAnsi="Verdana"/>
        </w:rPr>
      </w:pPr>
      <w:r w:rsidRPr="00AA4D6F">
        <w:rPr>
          <w:rFonts w:ascii="Verdana" w:hAnsi="Verdana"/>
        </w:rPr>
        <w:t>17.1 Os pedidos deverão considerar o estoque e o consumo, evitando vencimento. As unidades adotarão controle de validade, organização dos lotes e acondicionamento adequado. As entregas deverão ser agrupadas quando isso for compatível com a necessidade e reduzir deslocamentos.</w:t>
      </w:r>
    </w:p>
    <w:p w14:paraId="029CC6EB" w14:textId="77777777" w:rsidR="00794E77" w:rsidRPr="00AA4D6F" w:rsidRDefault="00794E77" w:rsidP="00794E77">
      <w:pPr>
        <w:rPr>
          <w:rFonts w:ascii="Verdana" w:hAnsi="Verdana"/>
        </w:rPr>
      </w:pPr>
      <w:r w:rsidRPr="00AA4D6F">
        <w:rPr>
          <w:rFonts w:ascii="Verdana" w:hAnsi="Verdana"/>
        </w:rPr>
        <w:t xml:space="preserve">17.2 As embalagens terão destinação conforme a rotina municipal de resíduos, priorizando segregação e reciclagem quando houver estrutura disponível. Não serão exigidos selos ambientais genéricos ou logística reversa específica sem </w:t>
      </w:r>
      <w:r w:rsidRPr="00AA4D6F">
        <w:rPr>
          <w:rFonts w:ascii="Verdana" w:hAnsi="Verdana"/>
        </w:rPr>
        <w:lastRenderedPageBreak/>
        <w:t>fundamento aplicável ao produto.</w:t>
      </w:r>
    </w:p>
    <w:p w14:paraId="5387C4EA"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18 Adequação orçamentária</w:t>
      </w:r>
    </w:p>
    <w:p w14:paraId="1A9A30E9" w14:textId="77777777" w:rsidR="00794E77" w:rsidRPr="00AA4D6F" w:rsidRDefault="00794E77" w:rsidP="00794E77">
      <w:pPr>
        <w:rPr>
          <w:rFonts w:ascii="Verdana" w:hAnsi="Verdana"/>
        </w:rPr>
      </w:pPr>
      <w:r w:rsidRPr="00AA4D6F">
        <w:rPr>
          <w:rFonts w:ascii="Verdana" w:hAnsi="Verdana"/>
        </w:rPr>
        <w:t>18.1 Por se tratar de registro de preços, a identificação dos créditos necessários será realizada na formalização de cada contratação, observada a legislação e a regulamentação municipal. A existência de ata não autoriza contratação sem recursos.</w:t>
      </w:r>
    </w:p>
    <w:p w14:paraId="28531457" w14:textId="77777777" w:rsidR="00794E77" w:rsidRPr="00AA4D6F" w:rsidRDefault="00794E77" w:rsidP="00794E77">
      <w:pPr>
        <w:rPr>
          <w:rFonts w:ascii="Verdana" w:hAnsi="Verdana"/>
        </w:rPr>
      </w:pPr>
      <w:r w:rsidRPr="00AA4D6F">
        <w:rPr>
          <w:rFonts w:ascii="Verdana" w:hAnsi="Verdana"/>
        </w:rPr>
        <w:t>18.2 Para cada instrumento, registrar: unidade orçamentária [preencher]; projeto ou atividade [preencher]; elemento de despesa [preencher]; fonte de recursos [preencher]; exercício [preencher]. A classificação definitiva será conferida pelo setor contábil.</w:t>
      </w:r>
    </w:p>
    <w:p w14:paraId="16402234" w14:textId="77777777" w:rsidR="00794E77" w:rsidRPr="00AA4D6F" w:rsidRDefault="00794E77" w:rsidP="00794E77">
      <w:pPr>
        <w:pStyle w:val="Ttulo1"/>
        <w:rPr>
          <w:rFonts w:ascii="Verdana" w:hAnsi="Verdana"/>
          <w:color w:val="auto"/>
          <w:sz w:val="22"/>
          <w:szCs w:val="22"/>
        </w:rPr>
      </w:pPr>
      <w:r w:rsidRPr="00AA4D6F">
        <w:rPr>
          <w:rFonts w:ascii="Verdana" w:hAnsi="Verdana"/>
          <w:color w:val="auto"/>
          <w:sz w:val="22"/>
          <w:szCs w:val="22"/>
        </w:rPr>
        <w:t>19 Anexos e compatibilização final</w:t>
      </w:r>
    </w:p>
    <w:p w14:paraId="356CDB24" w14:textId="77777777" w:rsidR="00794E77" w:rsidRPr="00AA4D6F" w:rsidRDefault="00794E77" w:rsidP="00794E77">
      <w:pPr>
        <w:rPr>
          <w:rFonts w:ascii="Verdana" w:hAnsi="Verdana"/>
        </w:rPr>
      </w:pPr>
      <w:r w:rsidRPr="00AA4D6F">
        <w:rPr>
          <w:rFonts w:ascii="Verdana" w:hAnsi="Verdana"/>
        </w:rPr>
        <w:t>19.1 Integram a instrução: DFD, ETP, pesquisa de preços e memória de cálculo, mapa de demanda por secretaria, Anexo I de locais de entrega e, se mantida exigência específica de categoria gourmet, o protocolo técnico objetivo de qualidade correspondente.</w:t>
      </w:r>
    </w:p>
    <w:p w14:paraId="2C1FBB09" w14:textId="77777777" w:rsidR="00794E77" w:rsidRPr="00AA4D6F" w:rsidRDefault="00794E77" w:rsidP="00794E77">
      <w:pPr>
        <w:rPr>
          <w:rFonts w:ascii="Verdana" w:hAnsi="Verdana"/>
        </w:rPr>
      </w:pPr>
      <w:r w:rsidRPr="00AA4D6F">
        <w:rPr>
          <w:rFonts w:ascii="Verdana" w:hAnsi="Verdana"/>
        </w:rPr>
        <w:t>19.2 Antes de anexar este TR ao edital, a unidade responsável deverá: validar quantitativos e preços; confirmar apresentação do descafeinado, necessidade e padrão verificável do café gourmet; preencher os locais de entrega; ratificar prazos operacionais e de pagamento; definir exclusividades e cotas de ME/EPP; preencher identificação e data-base; e compatibilizar o texto com as minutas da ata e do contrato. As indicações de preenchimento e validação deverão ser resolvidas na versão publicada.</w:t>
      </w:r>
    </w:p>
    <w:p w14:paraId="585722A2" w14:textId="77777777" w:rsidR="00794E77" w:rsidRPr="00AA4D6F" w:rsidRDefault="00794E77" w:rsidP="00794E77">
      <w:pPr>
        <w:rPr>
          <w:rFonts w:ascii="Verdana" w:hAnsi="Verdana"/>
        </w:rPr>
      </w:pPr>
      <w:r w:rsidRPr="00AA4D6F">
        <w:rPr>
          <w:rFonts w:ascii="Verdana" w:hAnsi="Verdana"/>
        </w:rPr>
        <w:t>19.3 A revisão deverá preservar coerência entre edital, TR, planilha, ata e contrato quanto ao lote único e ao menor preço global. A cláusula de lances do edital deverá prever expressamente a oferta pelo valor global do lote. Divergências materiais serão corrigidas formalmente antes da disputa; não se admite criar obrigações ou critérios de aceitação por orientação verbal posterior.</w:t>
      </w:r>
    </w:p>
    <w:p w14:paraId="6B528209" w14:textId="77777777" w:rsidR="00CB6AD2" w:rsidRPr="00AA4D6F" w:rsidRDefault="00CB6AD2" w:rsidP="00E15E69">
      <w:pPr>
        <w:widowControl/>
        <w:autoSpaceDE/>
        <w:autoSpaceDN/>
        <w:jc w:val="center"/>
        <w:rPr>
          <w:rFonts w:ascii="Verdana" w:eastAsia="Times New Roman" w:hAnsi="Verdana" w:cs="Arial"/>
          <w:b/>
          <w:bCs/>
          <w:color w:val="0D0D0D"/>
          <w:lang w:val="pt-BR" w:eastAsia="pt-BR"/>
        </w:rPr>
      </w:pPr>
    </w:p>
    <w:p w14:paraId="39BB1865" w14:textId="77777777" w:rsidR="00CB6AD2" w:rsidRPr="00AA4D6F" w:rsidRDefault="00CB6AD2" w:rsidP="00E15E69">
      <w:pPr>
        <w:widowControl/>
        <w:autoSpaceDE/>
        <w:autoSpaceDN/>
        <w:jc w:val="center"/>
        <w:rPr>
          <w:rFonts w:ascii="Verdana" w:eastAsia="Times New Roman" w:hAnsi="Verdana" w:cs="Arial"/>
          <w:b/>
          <w:bCs/>
          <w:color w:val="0D0D0D"/>
          <w:lang w:val="pt-BR" w:eastAsia="pt-BR"/>
        </w:rPr>
      </w:pPr>
    </w:p>
    <w:p w14:paraId="30BC9F3F" w14:textId="77777777" w:rsidR="00E15E69" w:rsidRPr="00AA4D6F" w:rsidRDefault="00E15E69" w:rsidP="00BB61C5">
      <w:pPr>
        <w:widowControl/>
        <w:autoSpaceDE/>
        <w:autoSpaceDN/>
        <w:jc w:val="center"/>
        <w:rPr>
          <w:rFonts w:ascii="Verdana" w:eastAsia="Times New Roman" w:hAnsi="Verdana" w:cs="Arial"/>
          <w:b/>
          <w:bCs/>
          <w:color w:val="000000" w:themeColor="text1"/>
          <w:lang w:val="pt-BR" w:eastAsia="pt-BR"/>
        </w:rPr>
      </w:pPr>
    </w:p>
    <w:p w14:paraId="64A5CDAD" w14:textId="77777777" w:rsidR="00E15E69" w:rsidRPr="00AA4D6F" w:rsidRDefault="00E15E69" w:rsidP="00BB61C5">
      <w:pPr>
        <w:widowControl/>
        <w:autoSpaceDE/>
        <w:autoSpaceDN/>
        <w:jc w:val="center"/>
        <w:rPr>
          <w:rFonts w:ascii="Verdana" w:eastAsia="Times New Roman" w:hAnsi="Verdana" w:cs="Arial"/>
          <w:b/>
          <w:bCs/>
          <w:color w:val="000000" w:themeColor="text1"/>
          <w:lang w:val="pt-BR" w:eastAsia="pt-BR"/>
        </w:rPr>
      </w:pPr>
    </w:p>
    <w:p w14:paraId="1D94F8AD" w14:textId="77777777" w:rsidR="00E15E69" w:rsidRPr="00AA4D6F" w:rsidRDefault="00E15E69" w:rsidP="00BB61C5">
      <w:pPr>
        <w:widowControl/>
        <w:autoSpaceDE/>
        <w:autoSpaceDN/>
        <w:jc w:val="center"/>
        <w:rPr>
          <w:rFonts w:ascii="Verdana" w:eastAsia="Times New Roman" w:hAnsi="Verdana" w:cs="Arial"/>
          <w:b/>
          <w:bCs/>
          <w:color w:val="000000" w:themeColor="text1"/>
          <w:lang w:val="pt-BR" w:eastAsia="pt-BR"/>
        </w:rPr>
      </w:pPr>
    </w:p>
    <w:p w14:paraId="3BE3A799" w14:textId="2726B484" w:rsidR="00D34879" w:rsidRPr="00AA4D6F" w:rsidRDefault="00D34879" w:rsidP="006D2A4A">
      <w:pPr>
        <w:spacing w:line="360" w:lineRule="auto"/>
        <w:jc w:val="center"/>
        <w:rPr>
          <w:rFonts w:ascii="Verdana" w:hAnsi="Verdana" w:cs="Arial"/>
          <w:color w:val="000000" w:themeColor="text1"/>
        </w:rPr>
      </w:pPr>
    </w:p>
    <w:p w14:paraId="41E906D9" w14:textId="44446201" w:rsidR="00C35635" w:rsidRPr="00AA4D6F" w:rsidRDefault="0042362C" w:rsidP="00AD3391">
      <w:pPr>
        <w:pStyle w:val="Corpodetexto"/>
        <w:spacing w:before="25"/>
        <w:jc w:val="center"/>
        <w:rPr>
          <w:rFonts w:ascii="Verdana" w:hAnsi="Verdana"/>
          <w:color w:val="000000" w:themeColor="text1"/>
          <w:sz w:val="22"/>
          <w:szCs w:val="22"/>
        </w:rPr>
      </w:pPr>
      <w:r w:rsidRPr="00AA4D6F">
        <w:rPr>
          <w:rFonts w:ascii="Verdana" w:hAnsi="Verdana"/>
          <w:color w:val="000000" w:themeColor="text1"/>
          <w:sz w:val="22"/>
          <w:szCs w:val="22"/>
        </w:rPr>
        <w:t>Luciano Neves da Silva</w:t>
      </w:r>
    </w:p>
    <w:p w14:paraId="23B88C4C" w14:textId="2984FD35" w:rsidR="00C35635" w:rsidRPr="00AA4D6F" w:rsidRDefault="00C35635" w:rsidP="00AD3391">
      <w:pPr>
        <w:pStyle w:val="Corpodetexto"/>
        <w:spacing w:before="3"/>
        <w:jc w:val="center"/>
        <w:rPr>
          <w:rFonts w:ascii="Verdana" w:hAnsi="Verdana"/>
          <w:color w:val="000000" w:themeColor="text1"/>
          <w:sz w:val="22"/>
          <w:szCs w:val="22"/>
        </w:rPr>
      </w:pPr>
      <w:r w:rsidRPr="00AA4D6F">
        <w:rPr>
          <w:rFonts w:ascii="Verdana" w:hAnsi="Verdana"/>
          <w:color w:val="000000" w:themeColor="text1"/>
          <w:spacing w:val="-2"/>
          <w:sz w:val="22"/>
          <w:szCs w:val="22"/>
        </w:rPr>
        <w:t>Secretário</w:t>
      </w:r>
      <w:r w:rsidRPr="00AA4D6F">
        <w:rPr>
          <w:rFonts w:ascii="Verdana" w:hAnsi="Verdana"/>
          <w:color w:val="000000" w:themeColor="text1"/>
          <w:spacing w:val="-26"/>
          <w:sz w:val="22"/>
          <w:szCs w:val="22"/>
        </w:rPr>
        <w:t xml:space="preserve"> </w:t>
      </w:r>
      <w:r w:rsidRPr="00AA4D6F">
        <w:rPr>
          <w:rFonts w:ascii="Verdana" w:hAnsi="Verdana"/>
          <w:color w:val="000000" w:themeColor="text1"/>
          <w:spacing w:val="-2"/>
          <w:sz w:val="22"/>
          <w:szCs w:val="22"/>
        </w:rPr>
        <w:t>de</w:t>
      </w:r>
      <w:r w:rsidRPr="00AA4D6F">
        <w:rPr>
          <w:rFonts w:ascii="Verdana" w:hAnsi="Verdana"/>
          <w:color w:val="000000" w:themeColor="text1"/>
          <w:spacing w:val="-24"/>
          <w:sz w:val="22"/>
          <w:szCs w:val="22"/>
        </w:rPr>
        <w:t xml:space="preserve"> </w:t>
      </w:r>
      <w:r w:rsidR="0042362C" w:rsidRPr="00AA4D6F">
        <w:rPr>
          <w:rFonts w:ascii="Verdana" w:hAnsi="Verdana"/>
          <w:color w:val="000000" w:themeColor="text1"/>
          <w:spacing w:val="-2"/>
          <w:sz w:val="22"/>
          <w:szCs w:val="22"/>
        </w:rPr>
        <w:t>Administração</w:t>
      </w:r>
    </w:p>
    <w:p w14:paraId="5EA0AFE6" w14:textId="05621959" w:rsidR="007E534E" w:rsidRPr="00AA4D6F" w:rsidRDefault="007E534E" w:rsidP="006D2A4A">
      <w:pPr>
        <w:spacing w:line="360" w:lineRule="auto"/>
        <w:jc w:val="center"/>
        <w:rPr>
          <w:rFonts w:ascii="Verdana" w:hAnsi="Verdana" w:cs="Arial"/>
          <w:color w:val="000000" w:themeColor="text1"/>
        </w:rPr>
      </w:pPr>
    </w:p>
    <w:p w14:paraId="1F732015" w14:textId="1EA29AAD" w:rsidR="00BB61C5" w:rsidRPr="009E0C49" w:rsidRDefault="00BB61C5" w:rsidP="006D2A4A">
      <w:pPr>
        <w:spacing w:line="360" w:lineRule="auto"/>
        <w:jc w:val="center"/>
        <w:rPr>
          <w:rFonts w:ascii="Verdana" w:hAnsi="Verdana" w:cs="Arial"/>
          <w:color w:val="000000" w:themeColor="text1"/>
          <w:sz w:val="20"/>
          <w:szCs w:val="20"/>
        </w:rPr>
      </w:pPr>
    </w:p>
    <w:p w14:paraId="5F14988A" w14:textId="080F26DB" w:rsidR="00BB61C5" w:rsidRDefault="00BB61C5" w:rsidP="006D2A4A">
      <w:pPr>
        <w:spacing w:line="360" w:lineRule="auto"/>
        <w:jc w:val="center"/>
        <w:rPr>
          <w:rFonts w:ascii="Verdana" w:hAnsi="Verdana" w:cs="Arial"/>
          <w:sz w:val="20"/>
          <w:szCs w:val="20"/>
        </w:rPr>
      </w:pPr>
    </w:p>
    <w:p w14:paraId="48524A1E" w14:textId="17F24155" w:rsidR="000818AE" w:rsidRDefault="000818AE" w:rsidP="006D2A4A">
      <w:pPr>
        <w:spacing w:line="360" w:lineRule="auto"/>
        <w:jc w:val="center"/>
        <w:rPr>
          <w:rFonts w:ascii="Verdana" w:hAnsi="Verdana" w:cs="Arial"/>
          <w:sz w:val="20"/>
          <w:szCs w:val="20"/>
        </w:rPr>
      </w:pPr>
    </w:p>
    <w:p w14:paraId="43C12AF4" w14:textId="64999AA5" w:rsidR="000818AE" w:rsidRDefault="000818AE" w:rsidP="006D2A4A">
      <w:pPr>
        <w:spacing w:line="360" w:lineRule="auto"/>
        <w:jc w:val="center"/>
        <w:rPr>
          <w:rFonts w:ascii="Verdana" w:hAnsi="Verdana" w:cs="Arial"/>
          <w:sz w:val="20"/>
          <w:szCs w:val="20"/>
        </w:rPr>
      </w:pPr>
    </w:p>
    <w:p w14:paraId="73CE9B22" w14:textId="2376668E" w:rsidR="000818AE" w:rsidRDefault="000818AE" w:rsidP="006D2A4A">
      <w:pPr>
        <w:spacing w:line="360" w:lineRule="auto"/>
        <w:jc w:val="center"/>
        <w:rPr>
          <w:rFonts w:ascii="Verdana" w:hAnsi="Verdana" w:cs="Arial"/>
          <w:sz w:val="20"/>
          <w:szCs w:val="20"/>
        </w:rPr>
      </w:pPr>
    </w:p>
    <w:p w14:paraId="10492B9B" w14:textId="621AA0DD" w:rsidR="00AA4D6F" w:rsidRDefault="00AA4D6F" w:rsidP="006D2A4A">
      <w:pPr>
        <w:spacing w:line="360" w:lineRule="auto"/>
        <w:jc w:val="center"/>
        <w:rPr>
          <w:rFonts w:ascii="Verdana" w:hAnsi="Verdana" w:cs="Arial"/>
          <w:sz w:val="20"/>
          <w:szCs w:val="20"/>
        </w:rPr>
      </w:pPr>
    </w:p>
    <w:p w14:paraId="329A2A08" w14:textId="77777777" w:rsidR="00AA4D6F" w:rsidRDefault="00AA4D6F" w:rsidP="006D2A4A">
      <w:pPr>
        <w:spacing w:line="360" w:lineRule="auto"/>
        <w:jc w:val="center"/>
        <w:rPr>
          <w:rFonts w:ascii="Verdana" w:hAnsi="Verdana" w:cs="Arial"/>
          <w:sz w:val="20"/>
          <w:szCs w:val="20"/>
        </w:rPr>
      </w:pPr>
    </w:p>
    <w:p w14:paraId="385C21D2" w14:textId="418A422A" w:rsidR="000818AE" w:rsidRDefault="000818AE" w:rsidP="006D2A4A">
      <w:pPr>
        <w:spacing w:line="360" w:lineRule="auto"/>
        <w:jc w:val="center"/>
        <w:rPr>
          <w:rFonts w:ascii="Verdana" w:hAnsi="Verdana" w:cs="Arial"/>
          <w:sz w:val="20"/>
          <w:szCs w:val="20"/>
        </w:rPr>
      </w:pPr>
    </w:p>
    <w:p w14:paraId="70192D08" w14:textId="10E17BB4" w:rsidR="000818AE" w:rsidRDefault="000818AE"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727B8273"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6D3A75">
        <w:rPr>
          <w:rFonts w:ascii="Verdana" w:hAnsi="Verdana" w:cstheme="minorHAnsi"/>
          <w:b/>
          <w:i/>
          <w:iCs/>
          <w:sz w:val="20"/>
          <w:szCs w:val="20"/>
        </w:rPr>
        <w:t>3</w:t>
      </w:r>
      <w:r w:rsidR="00A82D65">
        <w:rPr>
          <w:rFonts w:ascii="Verdana" w:hAnsi="Verdana" w:cstheme="minorHAnsi"/>
          <w:b/>
          <w:i/>
          <w:iCs/>
          <w:sz w:val="20"/>
          <w:szCs w:val="20"/>
        </w:rPr>
        <w:t>9</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2BF290B7" w14:textId="42E02FBD"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A82D65" w:rsidRPr="00A82D65">
        <w:rPr>
          <w:rFonts w:ascii="Verdana" w:hAnsi="Verdana"/>
          <w:sz w:val="20"/>
        </w:rPr>
        <w:t>Registro de preços para futura e eventual aquisição de café, nas apresentações descafeinado, gourmet em grãos, solúvel e torrado e moído, com fornecimento parcelado, destinado ao atendimento das necessidades de todas as Secretarias Municipais de Correntina/BA e de suas respectivas unidades administrativas, conforme condições, quantitativos e especificações estabelecidos no Termo de Referência e seus anexos</w:t>
      </w:r>
      <w:r w:rsidR="00C80EAE" w:rsidRPr="00D0651A">
        <w:rPr>
          <w:rFonts w:ascii="Verdana" w:hAnsi="Verdana"/>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0A74EE8D"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w:t>
      </w:r>
      <w:r w:rsidR="00FC1B87">
        <w:rPr>
          <w:rFonts w:ascii="Verdana" w:hAnsi="Verdana" w:cs="Arial"/>
          <w:bCs/>
          <w:sz w:val="20"/>
          <w:szCs w:val="20"/>
        </w:rPr>
        <w:t xml:space="preserve"> não</w:t>
      </w:r>
      <w:r w:rsidRPr="00CD3E0E">
        <w:rPr>
          <w:rFonts w:ascii="Verdana" w:hAnsi="Verdana" w:cs="Arial"/>
          <w:bCs/>
          <w:sz w:val="20"/>
          <w:szCs w:val="20"/>
        </w:rPr>
        <w:t xml:space="preserve"> s</w:t>
      </w:r>
      <w:bookmarkStart w:id="20" w:name="_GoBack"/>
      <w:bookmarkEnd w:id="20"/>
      <w:r w:rsidRPr="00CD3E0E">
        <w:rPr>
          <w:rFonts w:ascii="Verdana" w:hAnsi="Verdana" w:cs="Arial"/>
          <w:bCs/>
          <w:sz w:val="20"/>
          <w:szCs w:val="20"/>
        </w:rPr>
        <w:t>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1" w:name="_Toc138359489"/>
      <w:r w:rsidRPr="00CD3E0E">
        <w:rPr>
          <w:rStyle w:val="Ttulo1Char"/>
          <w:rFonts w:ascii="Verdana" w:hAnsi="Verdana" w:cs="Arial"/>
          <w:sz w:val="20"/>
          <w:szCs w:val="20"/>
        </w:rPr>
        <w:t>CLÁUSULA TERCEIRA – DO MODELOS DE EXECUÇÃO E GESTÃO</w:t>
      </w:r>
      <w:bookmarkEnd w:id="21"/>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2" w:name="_Toc138359490"/>
      <w:r w:rsidRPr="00CD3E0E">
        <w:rPr>
          <w:rStyle w:val="Ttulo1Char"/>
          <w:rFonts w:ascii="Verdana" w:hAnsi="Verdana" w:cs="Arial"/>
          <w:sz w:val="20"/>
          <w:szCs w:val="20"/>
        </w:rPr>
        <w:t>CLÁUSULA QUARTA – DA SUBCONTRATAÇÃO</w:t>
      </w:r>
      <w:bookmarkEnd w:id="22"/>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3" w:name="_Toc138359491"/>
      <w:r w:rsidRPr="00CD3E0E">
        <w:rPr>
          <w:rStyle w:val="Ttulo1Char"/>
          <w:rFonts w:ascii="Verdana" w:hAnsi="Verdana" w:cs="Arial"/>
          <w:sz w:val="20"/>
          <w:szCs w:val="20"/>
        </w:rPr>
        <w:t>CLÁUSULA QUINTA – DO VALOR</w:t>
      </w:r>
      <w:bookmarkEnd w:id="23"/>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4" w:name="_Toc138359492"/>
      <w:r w:rsidRPr="00CD3E0E">
        <w:rPr>
          <w:rStyle w:val="Ttulo1Char"/>
          <w:rFonts w:ascii="Verdana" w:hAnsi="Verdana"/>
          <w:sz w:val="20"/>
          <w:szCs w:val="20"/>
        </w:rPr>
        <w:t>CLÁUSULA SEXTA - PAGAMENTO</w:t>
      </w:r>
      <w:bookmarkEnd w:id="24"/>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3"/>
      <w:r w:rsidRPr="00CD3E0E">
        <w:rPr>
          <w:rStyle w:val="Ttulo1Char"/>
          <w:rFonts w:ascii="Verdana" w:hAnsi="Verdana"/>
          <w:sz w:val="20"/>
          <w:szCs w:val="20"/>
        </w:rPr>
        <w:t>CLÁUSULA SÉTIMA – DO REAJUSTE</w:t>
      </w:r>
      <w:bookmarkEnd w:id="25"/>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w:t>
      </w:r>
      <w:r w:rsidRPr="00CD3E0E">
        <w:rPr>
          <w:rFonts w:ascii="Verdana" w:hAnsi="Verdana" w:cstheme="minorHAnsi"/>
          <w:bCs/>
          <w:sz w:val="20"/>
          <w:szCs w:val="20"/>
        </w:rPr>
        <w:lastRenderedPageBreak/>
        <w:t>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4"/>
      <w:r w:rsidRPr="00CD3E0E">
        <w:rPr>
          <w:rStyle w:val="Ttulo1Char"/>
          <w:rFonts w:ascii="Verdana" w:hAnsi="Verdana"/>
          <w:sz w:val="20"/>
          <w:szCs w:val="20"/>
        </w:rPr>
        <w:t>CLÁUSULA OITAVA – DAS OBRIGAÇÕES DO CONTRATANTE</w:t>
      </w:r>
      <w:bookmarkEnd w:id="26"/>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8.1.8. Responder eventuais pedidos de reestabelecimento do equilíbrio econômico-</w:t>
      </w:r>
      <w:r w:rsidRPr="00CD3E0E">
        <w:rPr>
          <w:rFonts w:ascii="Verdana" w:hAnsi="Verdana" w:cstheme="minorHAnsi"/>
          <w:bCs/>
          <w:sz w:val="20"/>
          <w:szCs w:val="20"/>
        </w:rPr>
        <w:lastRenderedPageBreak/>
        <w:t xml:space="preserve">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7" w:name="_Toc138359495"/>
      <w:r w:rsidRPr="00CD3E0E">
        <w:rPr>
          <w:rStyle w:val="Ttulo1Char"/>
          <w:rFonts w:ascii="Verdana" w:hAnsi="Verdana" w:cs="Arial"/>
          <w:sz w:val="20"/>
          <w:szCs w:val="20"/>
        </w:rPr>
        <w:t>CLÁUSULA NONA – DAS OBRIGAÇÕES DO CONTRATADO</w:t>
      </w:r>
      <w:bookmarkEnd w:id="27"/>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6D08F689" w:rsidR="002B5BFA" w:rsidRDefault="002B5BFA" w:rsidP="00CD3E0E">
      <w:pPr>
        <w:spacing w:line="360" w:lineRule="auto"/>
        <w:rPr>
          <w:rFonts w:ascii="Verdana" w:hAnsi="Verdana" w:cs="Arial"/>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0BE6C9E1" w14:textId="77777777" w:rsidR="00D35A2D" w:rsidRPr="00CD3E0E" w:rsidRDefault="00D35A2D" w:rsidP="00CD3E0E">
      <w:pPr>
        <w:spacing w:line="360" w:lineRule="auto"/>
        <w:rPr>
          <w:rFonts w:ascii="Verdana" w:hAnsi="Verdana" w:cs="Arial"/>
          <w:bCs/>
          <w:sz w:val="20"/>
          <w:szCs w:val="20"/>
        </w:rPr>
      </w:pP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8" w:name="_Toc138359496"/>
      <w:r w:rsidRPr="00CD3E0E">
        <w:rPr>
          <w:rStyle w:val="Ttulo1Char"/>
          <w:rFonts w:ascii="Verdana" w:hAnsi="Verdana"/>
          <w:color w:val="156082" w:themeColor="accent1"/>
          <w:sz w:val="20"/>
          <w:szCs w:val="20"/>
        </w:rPr>
        <w:lastRenderedPageBreak/>
        <w:t>CLÁUSULA DÉCIMA – DA GARANTIA DE EXECUÇÃO</w:t>
      </w:r>
      <w:bookmarkEnd w:id="28"/>
      <w:r w:rsidRPr="00CD3E0E">
        <w:rPr>
          <w:rStyle w:val="Forte"/>
          <w:rFonts w:ascii="Verdana" w:eastAsiaTheme="majorEastAsia" w:hAnsi="Verdana"/>
          <w:color w:val="156082" w:themeColor="accent1"/>
          <w:sz w:val="20"/>
          <w:szCs w:val="20"/>
        </w:rPr>
        <w:t xml:space="preserve"> (ART. 92, XII E XIII DA LEI Nº 14.133, DE 2021)</w:t>
      </w:r>
    </w:p>
    <w:p w14:paraId="48362C2C" w14:textId="77777777" w:rsidR="00D35A2D" w:rsidRPr="00D35A2D" w:rsidRDefault="00D35A2D" w:rsidP="00D35A2D">
      <w:pPr>
        <w:widowControl/>
        <w:autoSpaceDE/>
        <w:autoSpaceDN/>
        <w:spacing w:line="360" w:lineRule="auto"/>
        <w:rPr>
          <w:rFonts w:ascii="Verdana" w:eastAsia="Times New Roman" w:hAnsi="Verdana" w:cs="Times New Roman"/>
          <w:sz w:val="20"/>
          <w:szCs w:val="20"/>
          <w:lang w:val="pt-BR" w:eastAsia="pt-BR"/>
        </w:rPr>
      </w:pPr>
      <w:r w:rsidRPr="00D35A2D">
        <w:rPr>
          <w:rFonts w:ascii="Verdana" w:eastAsia="Times New Roman" w:hAnsi="Verdana" w:cs="Times New Roman"/>
          <w:bCs/>
          <w:sz w:val="20"/>
          <w:szCs w:val="20"/>
          <w:lang w:val="pt-BR" w:eastAsia="pt-BR"/>
        </w:rPr>
        <w:t>10.1. Não será exigida garantia de execução contratual prevista nos arts. 96 e seguintes da Lei nº 14.133/2021, considerando a natureza comum do objeto, o fornecimento parcelado e a ausência de complexidade ou risco contratual que justifique sua exigência.</w:t>
      </w:r>
    </w:p>
    <w:p w14:paraId="61496DAD" w14:textId="34E517BE" w:rsidR="00D35A2D" w:rsidRDefault="00D35A2D" w:rsidP="00D35A2D">
      <w:pPr>
        <w:widowControl/>
        <w:autoSpaceDE/>
        <w:autoSpaceDN/>
        <w:spacing w:line="360" w:lineRule="auto"/>
        <w:rPr>
          <w:rFonts w:ascii="Verdana" w:eastAsia="Times New Roman" w:hAnsi="Verdana" w:cs="Times New Roman"/>
          <w:bCs/>
          <w:sz w:val="20"/>
          <w:szCs w:val="20"/>
          <w:lang w:val="pt-BR" w:eastAsia="pt-BR"/>
        </w:rPr>
      </w:pPr>
      <w:r w:rsidRPr="00D35A2D">
        <w:rPr>
          <w:rFonts w:ascii="Verdana" w:eastAsia="Times New Roman" w:hAnsi="Verdana" w:cs="Times New Roman"/>
          <w:bCs/>
          <w:sz w:val="20"/>
          <w:szCs w:val="20"/>
          <w:lang w:val="pt-BR" w:eastAsia="pt-BR"/>
        </w:rPr>
        <w:t>10.2. A não exigência de garantia de execução não afasta a responsabilidade da CONTRATADA pela qualidade, regularidade, segurança e conformidade dos produtos fornecidos, nem sua obrigação de substituir, sem ônus para a Administração, os produtos entregues em desacordo com as especificações deste instrumento, do Termo de Referência ou da legislação aplicável.</w:t>
      </w:r>
    </w:p>
    <w:p w14:paraId="53CCA5FE" w14:textId="77777777" w:rsidR="00D35A2D" w:rsidRPr="00D35A2D" w:rsidRDefault="00D35A2D" w:rsidP="00D35A2D">
      <w:pPr>
        <w:widowControl/>
        <w:autoSpaceDE/>
        <w:autoSpaceDN/>
        <w:spacing w:line="360" w:lineRule="auto"/>
        <w:rPr>
          <w:rFonts w:ascii="Verdana" w:eastAsia="Times New Roman" w:hAnsi="Verdana" w:cs="Times New Roman"/>
          <w:sz w:val="20"/>
          <w:szCs w:val="20"/>
          <w:lang w:val="pt-BR" w:eastAsia="pt-BR"/>
        </w:rPr>
      </w:pP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9" w:name="_Toc138359497"/>
      <w:r w:rsidRPr="00CD3E0E">
        <w:rPr>
          <w:rStyle w:val="Ttulo1Char"/>
          <w:rFonts w:ascii="Verdana" w:hAnsi="Verdana"/>
          <w:sz w:val="20"/>
          <w:szCs w:val="20"/>
        </w:rPr>
        <w:t>CLÁUSULA DÉCIMA PRIMEIRA – DAS INFRAÇÕES E DAS SANÇÕES ADMINISTRATIVAS</w:t>
      </w:r>
      <w:bookmarkEnd w:id="29"/>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w:t>
      </w:r>
      <w:r w:rsidRPr="00CD3E0E">
        <w:rPr>
          <w:rFonts w:ascii="Verdana" w:hAnsi="Verdana" w:cstheme="minorHAnsi"/>
          <w:bCs/>
          <w:sz w:val="20"/>
          <w:szCs w:val="20"/>
        </w:rPr>
        <w:lastRenderedPageBreak/>
        <w:t xml:space="preserve">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680782"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w:t>
      </w:r>
      <w:r w:rsidRPr="00680782">
        <w:rPr>
          <w:rFonts w:ascii="Verdana" w:hAnsi="Verdana" w:cstheme="minorHAnsi"/>
          <w:bCs/>
          <w:sz w:val="20"/>
          <w:szCs w:val="20"/>
        </w:rPr>
        <w:t xml:space="preserve">2.4. </w:t>
      </w:r>
      <w:r w:rsidRPr="00680782">
        <w:rPr>
          <w:rFonts w:ascii="Verdana" w:hAnsi="Verdana" w:cstheme="minorHAnsi"/>
          <w:b/>
          <w:sz w:val="20"/>
          <w:szCs w:val="20"/>
        </w:rPr>
        <w:t>Multa:</w:t>
      </w:r>
    </w:p>
    <w:p w14:paraId="5853CBE8" w14:textId="067CEE95" w:rsidR="00680782" w:rsidRPr="00680782" w:rsidRDefault="00680782" w:rsidP="00490EAB">
      <w:pPr>
        <w:pStyle w:val="pdq2pgselectionanchorcontainer"/>
        <w:spacing w:before="0" w:beforeAutospacing="0" w:after="0" w:afterAutospacing="0" w:line="360" w:lineRule="auto"/>
        <w:rPr>
          <w:rFonts w:ascii="Verdana" w:hAnsi="Verdana"/>
          <w:sz w:val="20"/>
          <w:szCs w:val="20"/>
        </w:rPr>
      </w:pPr>
      <w:r w:rsidRPr="00680782">
        <w:rPr>
          <w:rStyle w:val="Forte"/>
          <w:rFonts w:ascii="Verdana" w:eastAsiaTheme="majorEastAsia" w:hAnsi="Verdana"/>
          <w:sz w:val="20"/>
          <w:szCs w:val="20"/>
        </w:rPr>
        <w:t>11.2.4.1.</w:t>
      </w:r>
      <w:r w:rsidRPr="00680782">
        <w:rPr>
          <w:rFonts w:ascii="Verdana" w:hAnsi="Verdana"/>
          <w:sz w:val="20"/>
          <w:szCs w:val="20"/>
        </w:rPr>
        <w:t xml:space="preserve"> Multa moratória de </w:t>
      </w:r>
      <w:r w:rsidRPr="00680782">
        <w:rPr>
          <w:rStyle w:val="Forte"/>
          <w:rFonts w:ascii="Verdana" w:eastAsiaTheme="majorEastAsia" w:hAnsi="Verdana"/>
          <w:sz w:val="20"/>
          <w:szCs w:val="20"/>
        </w:rPr>
        <w:t>0,5% (cinco décimos por cento) por dia de atraso injustificado</w:t>
      </w:r>
      <w:r w:rsidRPr="00680782">
        <w:rPr>
          <w:rFonts w:ascii="Verdana" w:hAnsi="Verdana"/>
          <w:sz w:val="20"/>
          <w:szCs w:val="20"/>
        </w:rPr>
        <w:t xml:space="preserve">, incidente sobre o valor da obrigação inadimplida ou, quando não for possível sua mensuração, sobre o valor total do contrato, limitada a </w:t>
      </w:r>
      <w:r w:rsidRPr="00680782">
        <w:rPr>
          <w:rStyle w:val="Forte"/>
          <w:rFonts w:ascii="Verdana" w:eastAsiaTheme="majorEastAsia" w:hAnsi="Verdana"/>
          <w:sz w:val="20"/>
          <w:szCs w:val="20"/>
        </w:rPr>
        <w:t>10% (dez por cento)</w:t>
      </w:r>
      <w:r w:rsidRPr="00680782">
        <w:rPr>
          <w:rFonts w:ascii="Verdana" w:hAnsi="Verdana"/>
          <w:sz w:val="20"/>
          <w:szCs w:val="20"/>
        </w:rPr>
        <w:t>, pela inobservância do prazo fixado para apresentação, complementação, renovação ou reposição da garantia contratual</w:t>
      </w:r>
      <w:r w:rsidR="00357282">
        <w:rPr>
          <w:rFonts w:ascii="Verdana" w:hAnsi="Verdana"/>
          <w:sz w:val="20"/>
          <w:szCs w:val="20"/>
        </w:rPr>
        <w:t xml:space="preserve"> quando exigido</w:t>
      </w:r>
      <w:r w:rsidRPr="00680782">
        <w:rPr>
          <w:rFonts w:ascii="Verdana" w:hAnsi="Verdana"/>
          <w:sz w:val="20"/>
          <w:szCs w:val="20"/>
        </w:rPr>
        <w:t>.</w:t>
      </w:r>
    </w:p>
    <w:p w14:paraId="21C25D1F" w14:textId="77777777" w:rsidR="00680782" w:rsidRPr="00680782" w:rsidRDefault="00680782" w:rsidP="00490EAB">
      <w:pPr>
        <w:pStyle w:val="NormalWeb"/>
        <w:spacing w:before="0" w:beforeAutospacing="0" w:after="0" w:afterAutospacing="0" w:line="360" w:lineRule="auto"/>
        <w:rPr>
          <w:rFonts w:ascii="Verdana" w:hAnsi="Verdana"/>
          <w:szCs w:val="20"/>
        </w:rPr>
      </w:pPr>
      <w:r w:rsidRPr="00680782">
        <w:rPr>
          <w:rStyle w:val="Forte"/>
          <w:rFonts w:ascii="Verdana" w:eastAsiaTheme="majorEastAsia" w:hAnsi="Verdana"/>
          <w:szCs w:val="20"/>
        </w:rPr>
        <w:t>11.2.4.1.1.</w:t>
      </w:r>
      <w:r w:rsidRPr="00680782">
        <w:rPr>
          <w:rFonts w:ascii="Verdana" w:hAnsi="Verdana"/>
          <w:szCs w:val="20"/>
        </w:rPr>
        <w:t xml:space="preserve"> O atraso superior a </w:t>
      </w:r>
      <w:r w:rsidRPr="00680782">
        <w:rPr>
          <w:rStyle w:val="Forte"/>
          <w:rFonts w:ascii="Verdana" w:eastAsiaTheme="majorEastAsia" w:hAnsi="Verdana"/>
          <w:szCs w:val="20"/>
        </w:rPr>
        <w:t>20 (vinte) dias</w:t>
      </w:r>
      <w:r w:rsidRPr="00680782">
        <w:rPr>
          <w:rFonts w:ascii="Verdana" w:hAnsi="Verdana"/>
          <w:szCs w:val="20"/>
        </w:rPr>
        <w:t>, ou o atingimento do limite máximo da multa moratória, poderá autorizar a Administração, mediante juízo de conveniência e oportunidade, a promover a extinção do contrato por descumprimento de suas cláusulas, nos termos do inciso I do art. 137 da Lei nº 14.133/2021.</w:t>
      </w:r>
    </w:p>
    <w:p w14:paraId="43439604" w14:textId="77777777" w:rsidR="00680782" w:rsidRPr="00680782" w:rsidRDefault="00680782" w:rsidP="00490EAB">
      <w:pPr>
        <w:pStyle w:val="pdq2pgselectionanchorcontainer"/>
        <w:spacing w:before="0" w:beforeAutospacing="0" w:after="0" w:afterAutospacing="0" w:line="360" w:lineRule="auto"/>
        <w:rPr>
          <w:rFonts w:ascii="Verdana" w:hAnsi="Verdana"/>
          <w:sz w:val="20"/>
          <w:szCs w:val="20"/>
        </w:rPr>
      </w:pPr>
      <w:r w:rsidRPr="00680782">
        <w:rPr>
          <w:rStyle w:val="Forte"/>
          <w:rFonts w:ascii="Verdana" w:eastAsiaTheme="majorEastAsia" w:hAnsi="Verdana"/>
          <w:sz w:val="20"/>
          <w:szCs w:val="20"/>
        </w:rPr>
        <w:t>11.2.4.2.</w:t>
      </w:r>
      <w:r w:rsidRPr="00680782">
        <w:rPr>
          <w:rFonts w:ascii="Verdana" w:hAnsi="Verdana"/>
          <w:sz w:val="20"/>
          <w:szCs w:val="20"/>
        </w:rPr>
        <w:t xml:space="preserve"> Multa compensatória de </w:t>
      </w:r>
      <w:r w:rsidRPr="00680782">
        <w:rPr>
          <w:rStyle w:val="Forte"/>
          <w:rFonts w:ascii="Verdana" w:eastAsiaTheme="majorEastAsia" w:hAnsi="Verdana"/>
          <w:sz w:val="20"/>
          <w:szCs w:val="20"/>
        </w:rPr>
        <w:t>10% (dez por cento) a 30% (trinta por cento)</w:t>
      </w:r>
      <w:r w:rsidRPr="00680782">
        <w:rPr>
          <w:rFonts w:ascii="Verdana" w:hAnsi="Verdana"/>
          <w:sz w:val="20"/>
          <w:szCs w:val="20"/>
        </w:rPr>
        <w:t xml:space="preserve"> sobre o valor total do contrato, para as infrações descritas nos subitens 11.1.5 a 11.1.8, observada a gravidade da conduta, os prejuízos causados à Administração, a vantagem auferida pelo contratado e os princípios da razoabilidade e da proporcionalidade.</w:t>
      </w:r>
    </w:p>
    <w:p w14:paraId="12DF0154" w14:textId="77777777" w:rsidR="00680782" w:rsidRPr="00680782" w:rsidRDefault="00680782" w:rsidP="00490EAB">
      <w:pPr>
        <w:pStyle w:val="NormalWeb"/>
        <w:spacing w:before="0" w:beforeAutospacing="0" w:after="0" w:afterAutospacing="0" w:line="360" w:lineRule="auto"/>
        <w:rPr>
          <w:rFonts w:ascii="Verdana" w:hAnsi="Verdana"/>
          <w:szCs w:val="20"/>
        </w:rPr>
      </w:pPr>
      <w:r w:rsidRPr="00680782">
        <w:rPr>
          <w:rStyle w:val="Forte"/>
          <w:rFonts w:ascii="Verdana" w:eastAsiaTheme="majorEastAsia" w:hAnsi="Verdana"/>
          <w:szCs w:val="20"/>
        </w:rPr>
        <w:t>11.2.4.3.</w:t>
      </w:r>
      <w:r w:rsidRPr="00680782">
        <w:rPr>
          <w:rFonts w:ascii="Verdana" w:hAnsi="Verdana"/>
          <w:szCs w:val="20"/>
        </w:rPr>
        <w:t xml:space="preserve"> Para a inexecução total do contrato prevista no subitem 11.1.3, será aplicada multa compensatória de </w:t>
      </w:r>
      <w:r w:rsidRPr="00680782">
        <w:rPr>
          <w:rStyle w:val="Forte"/>
          <w:rFonts w:ascii="Verdana" w:eastAsiaTheme="majorEastAsia" w:hAnsi="Verdana"/>
          <w:szCs w:val="20"/>
        </w:rPr>
        <w:t>20% (vinte por cento) a 30% (trinta por cento)</w:t>
      </w:r>
      <w:r w:rsidRPr="00680782">
        <w:rPr>
          <w:rFonts w:ascii="Verdana" w:hAnsi="Verdana"/>
          <w:szCs w:val="20"/>
        </w:rPr>
        <w:t xml:space="preserve"> sobre o valor total do contrato.</w:t>
      </w:r>
    </w:p>
    <w:p w14:paraId="1042C03F" w14:textId="77777777" w:rsidR="00680782" w:rsidRPr="00680782" w:rsidRDefault="00680782" w:rsidP="00490EAB">
      <w:pPr>
        <w:pStyle w:val="NormalWeb"/>
        <w:spacing w:before="0" w:beforeAutospacing="0" w:after="0" w:afterAutospacing="0" w:line="360" w:lineRule="auto"/>
        <w:rPr>
          <w:rFonts w:ascii="Verdana" w:hAnsi="Verdana"/>
          <w:szCs w:val="20"/>
        </w:rPr>
      </w:pPr>
      <w:r w:rsidRPr="00680782">
        <w:rPr>
          <w:rStyle w:val="Forte"/>
          <w:rFonts w:ascii="Verdana" w:eastAsiaTheme="majorEastAsia" w:hAnsi="Verdana"/>
          <w:szCs w:val="20"/>
        </w:rPr>
        <w:t>11.2.4.4.</w:t>
      </w:r>
      <w:r w:rsidRPr="00680782">
        <w:rPr>
          <w:rFonts w:ascii="Verdana" w:hAnsi="Verdana"/>
          <w:szCs w:val="20"/>
        </w:rPr>
        <w:t xml:space="preserve"> Para a infração descrita no subitem 11.1.2, será aplicada multa compensatória de </w:t>
      </w:r>
      <w:r w:rsidRPr="00680782">
        <w:rPr>
          <w:rStyle w:val="Forte"/>
          <w:rFonts w:ascii="Verdana" w:eastAsiaTheme="majorEastAsia" w:hAnsi="Verdana"/>
          <w:szCs w:val="20"/>
        </w:rPr>
        <w:t>10% (dez por cento) a 20% (vinte por cento)</w:t>
      </w:r>
      <w:r w:rsidRPr="00680782">
        <w:rPr>
          <w:rFonts w:ascii="Verdana" w:hAnsi="Verdana"/>
          <w:szCs w:val="20"/>
        </w:rPr>
        <w:t xml:space="preserve"> sobre o valor total do contrato.</w:t>
      </w:r>
    </w:p>
    <w:p w14:paraId="6BD5E45C" w14:textId="77777777" w:rsidR="00680782" w:rsidRPr="00680782" w:rsidRDefault="00680782" w:rsidP="00490EAB">
      <w:pPr>
        <w:pStyle w:val="NormalWeb"/>
        <w:spacing w:before="0" w:beforeAutospacing="0" w:after="0" w:afterAutospacing="0" w:line="360" w:lineRule="auto"/>
        <w:rPr>
          <w:rFonts w:ascii="Verdana" w:hAnsi="Verdana"/>
          <w:szCs w:val="20"/>
        </w:rPr>
      </w:pPr>
      <w:r w:rsidRPr="00680782">
        <w:rPr>
          <w:rStyle w:val="Forte"/>
          <w:rFonts w:ascii="Verdana" w:eastAsiaTheme="majorEastAsia" w:hAnsi="Verdana"/>
          <w:szCs w:val="20"/>
        </w:rPr>
        <w:t>11.2.4.5.</w:t>
      </w:r>
      <w:r w:rsidRPr="00680782">
        <w:rPr>
          <w:rFonts w:ascii="Verdana" w:hAnsi="Verdana"/>
          <w:szCs w:val="20"/>
        </w:rPr>
        <w:t xml:space="preserve"> Para a infração descrita no subitem 11.1.4, será aplicada multa compensatória de </w:t>
      </w:r>
      <w:r w:rsidRPr="00680782">
        <w:rPr>
          <w:rStyle w:val="Forte"/>
          <w:rFonts w:ascii="Verdana" w:eastAsiaTheme="majorEastAsia" w:hAnsi="Verdana"/>
          <w:szCs w:val="20"/>
        </w:rPr>
        <w:t>10% (dez por cento) a 20% (vinte por cento)</w:t>
      </w:r>
      <w:r w:rsidRPr="00680782">
        <w:rPr>
          <w:rFonts w:ascii="Verdana" w:hAnsi="Verdana"/>
          <w:szCs w:val="20"/>
        </w:rPr>
        <w:t xml:space="preserve"> sobre o valor total do contrato.</w:t>
      </w:r>
    </w:p>
    <w:p w14:paraId="07A69576" w14:textId="77777777" w:rsidR="00680782" w:rsidRPr="00680782" w:rsidRDefault="00680782" w:rsidP="00490EAB">
      <w:pPr>
        <w:pStyle w:val="NormalWeb"/>
        <w:spacing w:before="0" w:beforeAutospacing="0" w:after="0" w:afterAutospacing="0" w:line="360" w:lineRule="auto"/>
        <w:rPr>
          <w:rFonts w:ascii="Verdana" w:hAnsi="Verdana"/>
          <w:szCs w:val="20"/>
        </w:rPr>
      </w:pPr>
      <w:r w:rsidRPr="00680782">
        <w:rPr>
          <w:rStyle w:val="Forte"/>
          <w:rFonts w:ascii="Verdana" w:eastAsiaTheme="majorEastAsia" w:hAnsi="Verdana"/>
          <w:szCs w:val="20"/>
        </w:rPr>
        <w:t>11.2.4.6.</w:t>
      </w:r>
      <w:r w:rsidRPr="00680782">
        <w:rPr>
          <w:rFonts w:ascii="Verdana" w:hAnsi="Verdana"/>
          <w:szCs w:val="20"/>
        </w:rPr>
        <w:t xml:space="preserve"> Para a infração descrita no subitem 11.1.1, será aplicada multa compensatória de </w:t>
      </w:r>
      <w:r w:rsidRPr="00680782">
        <w:rPr>
          <w:rStyle w:val="Forte"/>
          <w:rFonts w:ascii="Verdana" w:eastAsiaTheme="majorEastAsia" w:hAnsi="Verdana"/>
          <w:szCs w:val="20"/>
        </w:rPr>
        <w:t>10% (dez por cento)</w:t>
      </w:r>
      <w:r w:rsidRPr="00680782">
        <w:rPr>
          <w:rFonts w:ascii="Verdana" w:hAnsi="Verdana"/>
          <w:szCs w:val="20"/>
        </w:rPr>
        <w:t xml:space="preserve"> sobre o valor total do contrato.</w:t>
      </w:r>
    </w:p>
    <w:p w14:paraId="3FAC9D95" w14:textId="1784F807" w:rsidR="002B5BFA" w:rsidRPr="00680782" w:rsidRDefault="00680782" w:rsidP="00CD3E0E">
      <w:pPr>
        <w:spacing w:line="360" w:lineRule="auto"/>
        <w:rPr>
          <w:rFonts w:ascii="Verdana" w:eastAsia="Times New Roman" w:hAnsi="Verdana" w:cstheme="minorHAnsi"/>
          <w:bCs/>
          <w:sz w:val="20"/>
          <w:szCs w:val="20"/>
        </w:rPr>
      </w:pPr>
      <w:r w:rsidRPr="00680782">
        <w:rPr>
          <w:rFonts w:ascii="Verdana" w:hAnsi="Verdana" w:cstheme="minorHAnsi"/>
          <w:bCs/>
          <w:sz w:val="20"/>
          <w:szCs w:val="20"/>
        </w:rPr>
        <w:t xml:space="preserve"> </w:t>
      </w:r>
      <w:r w:rsidR="002B5BFA" w:rsidRPr="00680782">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680782" w:rsidRDefault="002B5BFA" w:rsidP="00CD3E0E">
      <w:pPr>
        <w:spacing w:line="360" w:lineRule="auto"/>
        <w:rPr>
          <w:rFonts w:ascii="Verdana" w:hAnsi="Verdana" w:cstheme="minorHAnsi"/>
          <w:bCs/>
          <w:sz w:val="20"/>
          <w:szCs w:val="20"/>
        </w:rPr>
      </w:pPr>
      <w:r w:rsidRPr="00680782">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680782" w:rsidRDefault="002B5BFA" w:rsidP="00CD3E0E">
      <w:pPr>
        <w:spacing w:line="360" w:lineRule="auto"/>
        <w:rPr>
          <w:rFonts w:ascii="Verdana" w:hAnsi="Verdana" w:cstheme="minorHAnsi"/>
          <w:bCs/>
          <w:sz w:val="20"/>
          <w:szCs w:val="20"/>
        </w:rPr>
      </w:pPr>
      <w:r w:rsidRPr="00680782">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680782">
        <w:rPr>
          <w:rFonts w:ascii="Verdana" w:hAnsi="Verdana" w:cstheme="minorHAnsi"/>
          <w:bCs/>
          <w:sz w:val="20"/>
          <w:szCs w:val="20"/>
        </w:rPr>
        <w:t xml:space="preserve">11.4.2. Se a multa aplicada e as indenizações cabíveis forem superiores ao valor do pagamento eventualmente devido pelo CONTRATANTE o CONTRATADO, além da perda </w:t>
      </w:r>
      <w:r w:rsidRPr="00680782">
        <w:rPr>
          <w:rFonts w:ascii="Verdana" w:hAnsi="Verdana" w:cstheme="minorHAnsi"/>
          <w:bCs/>
          <w:sz w:val="20"/>
          <w:szCs w:val="20"/>
        </w:rPr>
        <w:lastRenderedPageBreak/>
        <w:t>desse valor, a diferença será descontada da</w:t>
      </w:r>
      <w:r w:rsidRPr="00CD3E0E">
        <w:rPr>
          <w:rFonts w:ascii="Verdana" w:hAnsi="Verdana" w:cstheme="minorHAnsi"/>
          <w:bCs/>
          <w:sz w:val="20"/>
          <w:szCs w:val="20"/>
        </w:rPr>
        <w:t xml:space="preserve">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r w:rsidRPr="00CD3E0E">
        <w:rPr>
          <w:rFonts w:ascii="Verdana" w:hAnsi="Verdana" w:cstheme="minorHAnsi"/>
          <w:bCs/>
          <w:sz w:val="20"/>
          <w:szCs w:val="20"/>
        </w:rPr>
        <w:lastRenderedPageBreak/>
        <w:t>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0" w:name="_Toc138359498"/>
      <w:r w:rsidRPr="00CD3E0E">
        <w:rPr>
          <w:rStyle w:val="Ttulo1Char"/>
          <w:rFonts w:ascii="Verdana" w:hAnsi="Verdana" w:cs="Arial"/>
          <w:sz w:val="20"/>
          <w:szCs w:val="20"/>
        </w:rPr>
        <w:t>CLÁUSULA DÉCIMA SEGUNDA – DA EXTINÇÃO CONTRATUAL</w:t>
      </w:r>
      <w:bookmarkEnd w:id="30"/>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12.6. A extinção do Contrato não configura óbice para o reconhecimento do desequilíbrio </w:t>
      </w:r>
      <w:r w:rsidRPr="00CD3E0E">
        <w:rPr>
          <w:rFonts w:ascii="Verdana" w:hAnsi="Verdana" w:cs="Arial"/>
          <w:bCs/>
          <w:sz w:val="20"/>
          <w:szCs w:val="20"/>
        </w:rPr>
        <w:lastRenderedPageBreak/>
        <w:t>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9"/>
      <w:r w:rsidRPr="00CD3E0E">
        <w:rPr>
          <w:rStyle w:val="Ttulo1Char"/>
          <w:rFonts w:ascii="Verdana" w:hAnsi="Verdana" w:cs="Arial"/>
          <w:sz w:val="20"/>
          <w:szCs w:val="20"/>
        </w:rPr>
        <w:t>CLÁUSULA DÉCIMA TERCEIRA – DA DOTAÇÃO ORÇAMENTÁRIA</w:t>
      </w:r>
      <w:bookmarkEnd w:id="31"/>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E7D8ABC" w14:textId="4039A2D7" w:rsidR="00066A19" w:rsidRPr="00066A19" w:rsidRDefault="00066A19" w:rsidP="00066A19">
      <w:pPr>
        <w:ind w:firstLine="708"/>
        <w:rPr>
          <w:rFonts w:ascii="Verdana" w:hAnsi="Verdana"/>
          <w:sz w:val="20"/>
          <w:szCs w:val="20"/>
        </w:rPr>
      </w:pPr>
      <w:r w:rsidRPr="00066A19">
        <w:rPr>
          <w:rFonts w:ascii="Verdana" w:hAnsi="Verdana"/>
          <w:sz w:val="20"/>
          <w:szCs w:val="20"/>
        </w:rPr>
        <w:t>Órgão: 2 - PRE</w:t>
      </w:r>
      <w:r>
        <w:rPr>
          <w:rFonts w:ascii="Verdana" w:hAnsi="Verdana"/>
          <w:sz w:val="20"/>
          <w:szCs w:val="20"/>
        </w:rPr>
        <w:t>FEITURA MUNICIPAL DE CORRENTINA</w:t>
      </w:r>
    </w:p>
    <w:p w14:paraId="014018DB"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Unidade: </w:t>
      </w:r>
    </w:p>
    <w:p w14:paraId="130632C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0201 GABINETE DO PREFEITO – GABP</w:t>
      </w:r>
    </w:p>
    <w:p w14:paraId="6FD685A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0211 SECRETARIA MUN. DE AGRICULTURA E DESENVOLV. RURAL</w:t>
      </w:r>
    </w:p>
    <w:p w14:paraId="13D27E6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0204 SECRETARIA MUNICIPAL DE GOVERNO E PLANEJAMENTO</w:t>
      </w:r>
    </w:p>
    <w:p w14:paraId="0D48C5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0205 SECRETARIA MUNICIPAL DE ADMINISTRACÃO</w:t>
      </w:r>
    </w:p>
    <w:p w14:paraId="3BC16EA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0206 SECRETARIA MUNICIPAL DA FAZENDA</w:t>
      </w:r>
    </w:p>
    <w:p w14:paraId="06BE903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0207 SECRETARIA MUNICIPAL DE CULTURA</w:t>
      </w:r>
    </w:p>
    <w:p w14:paraId="57AFC43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0208 SECRETARIA MUN. INFRAESTRUTURA, TRANSPORTES E SERVIÇOS PÚBLICOS</w:t>
      </w:r>
    </w:p>
    <w:p w14:paraId="0D06F58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0209 SECRETARIA MUN. TURISMO, INDÚSTRIA E COMÉRCIO</w:t>
      </w:r>
    </w:p>
    <w:p w14:paraId="5F051DF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0210 SECRETARIA MUN. DE MEIO AMBIENTE E RECURSOS HIDRICOS</w:t>
      </w:r>
    </w:p>
    <w:p w14:paraId="493ADD1D" w14:textId="497206B6" w:rsidR="00066A19" w:rsidRPr="00066A19" w:rsidRDefault="00066A19" w:rsidP="00066A19">
      <w:pPr>
        <w:ind w:firstLine="708"/>
        <w:rPr>
          <w:rFonts w:ascii="Verdana" w:hAnsi="Verdana"/>
          <w:sz w:val="20"/>
          <w:szCs w:val="20"/>
        </w:rPr>
      </w:pPr>
      <w:r w:rsidRPr="00066A19">
        <w:rPr>
          <w:rFonts w:ascii="Verdana" w:hAnsi="Verdana"/>
          <w:sz w:val="20"/>
          <w:szCs w:val="20"/>
        </w:rPr>
        <w:t xml:space="preserve">0212 SECRETARIA MUN. </w:t>
      </w:r>
      <w:r>
        <w:rPr>
          <w:rFonts w:ascii="Verdana" w:hAnsi="Verdana"/>
          <w:sz w:val="20"/>
          <w:szCs w:val="20"/>
        </w:rPr>
        <w:t>DE SEGURANÇA PÚBLICA E TRÂNSITO</w:t>
      </w:r>
    </w:p>
    <w:p w14:paraId="72418A0F"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75A4A33"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2.005 Manutenção das Ações do Gabinete do Prefeito</w:t>
      </w:r>
    </w:p>
    <w:p w14:paraId="3DDD5DF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2.096 Manutenção das Ações da Secret. Agricultura e Desenv. Rural</w:t>
      </w:r>
    </w:p>
    <w:p w14:paraId="706ACBF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2.011 Manutenção das Ações da Secretaria de Governo e Planejamento</w:t>
      </w:r>
    </w:p>
    <w:p w14:paraId="4C1F602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2.008 Manutenção das Ações da Secretaria de Administração</w:t>
      </w:r>
    </w:p>
    <w:p w14:paraId="6AB9870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2.015 Manutenção das Ações da Secretaria da Fazenda</w:t>
      </w:r>
    </w:p>
    <w:p w14:paraId="6A7DC18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2.070 Manutenção das Ações do Secretaria de Cultura</w:t>
      </w:r>
    </w:p>
    <w:p w14:paraId="757540E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2.085 Manutenção da Secretaria de Infraestrutura, Transporte e Serviços Públicos</w:t>
      </w:r>
    </w:p>
    <w:p w14:paraId="2E481CB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2.074 Manutenção da Secretaria de Turismo, lndústria e Comércio</w:t>
      </w:r>
    </w:p>
    <w:p w14:paraId="1F81511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2.092 Manutenção das Ações da Secret. M. Ambiente e Recursos hídricos</w:t>
      </w:r>
    </w:p>
    <w:p w14:paraId="0920374D" w14:textId="74428B94"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2.078 Manutenção das Ações da Secretaria </w:t>
      </w:r>
      <w:r>
        <w:rPr>
          <w:rFonts w:ascii="Verdana" w:hAnsi="Verdana"/>
          <w:sz w:val="20"/>
          <w:szCs w:val="20"/>
        </w:rPr>
        <w:t>de Segurança Pública e Trânsito</w:t>
      </w:r>
    </w:p>
    <w:p w14:paraId="33F638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34E7300F" w14:textId="094B4F7D" w:rsidR="00066A19" w:rsidRPr="00066A19" w:rsidRDefault="00066A19" w:rsidP="00066A19">
      <w:pPr>
        <w:ind w:firstLine="708"/>
        <w:rPr>
          <w:rFonts w:ascii="Verdana" w:hAnsi="Verdana"/>
          <w:sz w:val="20"/>
          <w:szCs w:val="20"/>
        </w:rPr>
      </w:pPr>
      <w:r>
        <w:rPr>
          <w:rFonts w:ascii="Verdana" w:hAnsi="Verdana"/>
          <w:sz w:val="20"/>
          <w:szCs w:val="20"/>
        </w:rPr>
        <w:t>Fonte de Recursos: 1500, 1501</w:t>
      </w:r>
    </w:p>
    <w:p w14:paraId="338F80F4" w14:textId="245F45A2" w:rsidR="00066A19" w:rsidRPr="00066A19" w:rsidRDefault="00066A19" w:rsidP="00066A19">
      <w:pPr>
        <w:ind w:firstLine="708"/>
        <w:rPr>
          <w:rFonts w:ascii="Verdana" w:hAnsi="Verdana"/>
          <w:sz w:val="20"/>
          <w:szCs w:val="20"/>
        </w:rPr>
      </w:pPr>
      <w:r w:rsidRPr="00066A19">
        <w:rPr>
          <w:rFonts w:ascii="Verdana" w:hAnsi="Verdana"/>
          <w:sz w:val="20"/>
          <w:szCs w:val="20"/>
        </w:rPr>
        <w:t>Órgão: 4 - FUNDO M</w:t>
      </w:r>
      <w:r>
        <w:rPr>
          <w:rFonts w:ascii="Verdana" w:hAnsi="Verdana"/>
          <w:sz w:val="20"/>
          <w:szCs w:val="20"/>
        </w:rPr>
        <w:t>UNICIPAL DE EDUCAÇÃO CORRENTINA</w:t>
      </w:r>
    </w:p>
    <w:p w14:paraId="2352EE6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0401 SECRETARIA MUNICIPAL DE EDUCAÇÃO, ESPORTE E LAZER – SMEEL</w:t>
      </w:r>
    </w:p>
    <w:p w14:paraId="3F8FBBA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081DF8C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2.021 Manutenção das Ações da Secretaria de Educação</w:t>
      </w:r>
    </w:p>
    <w:p w14:paraId="00DD328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2.023 Manutenção das Ações do Ensino Infantil – Creche</w:t>
      </w:r>
    </w:p>
    <w:p w14:paraId="44B0F403" w14:textId="66B5725F"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2.025 Manutenção </w:t>
      </w:r>
      <w:r>
        <w:rPr>
          <w:rFonts w:ascii="Verdana" w:hAnsi="Verdana"/>
          <w:sz w:val="20"/>
          <w:szCs w:val="20"/>
        </w:rPr>
        <w:t>das Ações do Ensino Fundamental</w:t>
      </w:r>
    </w:p>
    <w:p w14:paraId="538DF1C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07804AB7"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1540, 1550, 1569</w:t>
      </w:r>
    </w:p>
    <w:p w14:paraId="3C9E527B" w14:textId="795F532A" w:rsidR="00066A19" w:rsidRPr="00066A19" w:rsidRDefault="00066A19" w:rsidP="00066A19">
      <w:pPr>
        <w:ind w:firstLine="708"/>
        <w:rPr>
          <w:rFonts w:ascii="Verdana" w:hAnsi="Verdana"/>
          <w:sz w:val="20"/>
          <w:szCs w:val="20"/>
        </w:rPr>
      </w:pPr>
      <w:r w:rsidRPr="00066A19">
        <w:rPr>
          <w:rFonts w:ascii="Verdana" w:hAnsi="Verdana"/>
          <w:sz w:val="20"/>
          <w:szCs w:val="20"/>
        </w:rPr>
        <w:lastRenderedPageBreak/>
        <w:t>Órgão: 5 - FUNDO MUNICIPAL DE ASSISTÊNCIA SOCIAL CORRENTINA</w:t>
      </w:r>
    </w:p>
    <w:p w14:paraId="40DBA95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0501 SECRETARIA MUN. DE ASSISTÊNCIA SOCIAL E CIDADANIA</w:t>
      </w:r>
    </w:p>
    <w:p w14:paraId="45FB31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09AD11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2.050 Manutenção das Ações da Secretaria de Assistência Social</w:t>
      </w:r>
    </w:p>
    <w:p w14:paraId="5E53F9E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2.055 Manutenção das Ações da Assistência a Criança e Adolescente</w:t>
      </w:r>
    </w:p>
    <w:p w14:paraId="56A6121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2.056 Manutenção do Bloco da Proteção Social Básica</w:t>
      </w:r>
    </w:p>
    <w:p w14:paraId="3C11D9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2.057 Manutenção do Bloco Proteção Social de Média Complexidade</w:t>
      </w:r>
    </w:p>
    <w:p w14:paraId="13D2AE3E"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2.060 Índice de Gestão Descentr. de Bolsa Família - Cadastro Único - IGDPBF</w:t>
      </w:r>
    </w:p>
    <w:p w14:paraId="23C6C85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6CC1847C"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1660, 1661</w:t>
      </w:r>
    </w:p>
    <w:p w14:paraId="4EB22BE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Órgão: 3 FUNDO MUNICIPAL DE SAÚDE CORRENTINA</w:t>
      </w:r>
    </w:p>
    <w:p w14:paraId="66578E0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0302 FUNDO MUNICIPAL DE SAÚDE</w:t>
      </w:r>
    </w:p>
    <w:p w14:paraId="50B4F44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784C86A2"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2.038 Manutenção das Ações do Fundo de Saúde</w:t>
      </w:r>
    </w:p>
    <w:p w14:paraId="2AD5E06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2.041 Manutenção das Ações da Atenção Primária</w:t>
      </w:r>
    </w:p>
    <w:p w14:paraId="6A0D8F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2.042 Manutenção das Ações da Atenção Especializada</w:t>
      </w:r>
    </w:p>
    <w:p w14:paraId="5657E6C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7E304C51" w14:textId="77777777" w:rsidR="00066A19" w:rsidRDefault="00066A19" w:rsidP="008E3784">
      <w:pPr>
        <w:ind w:firstLine="708"/>
        <w:rPr>
          <w:rFonts w:ascii="Verdana" w:hAnsi="Verdana"/>
          <w:sz w:val="20"/>
          <w:szCs w:val="20"/>
        </w:rPr>
      </w:pPr>
      <w:r w:rsidRPr="00066A19">
        <w:rPr>
          <w:rFonts w:ascii="Verdana" w:hAnsi="Verdana"/>
          <w:sz w:val="20"/>
          <w:szCs w:val="20"/>
        </w:rPr>
        <w:t>Fonte de Recursos: 1500, 1600, 1621</w:t>
      </w:r>
    </w:p>
    <w:p w14:paraId="00A2F35C" w14:textId="7F67B51B" w:rsidR="008E3784" w:rsidRDefault="008E3784" w:rsidP="008E3784">
      <w:pPr>
        <w:ind w:firstLine="708"/>
        <w:rPr>
          <w:rFonts w:ascii="Verdana" w:hAnsi="Verdana"/>
          <w:sz w:val="20"/>
          <w:szCs w:val="20"/>
        </w:rPr>
      </w:pPr>
    </w:p>
    <w:p w14:paraId="489BC957" w14:textId="77777777" w:rsidR="00066A19" w:rsidRPr="0042362C" w:rsidRDefault="00066A19" w:rsidP="008E3784">
      <w:pPr>
        <w:ind w:firstLine="708"/>
        <w:rPr>
          <w:rFonts w:ascii="Verdana" w:hAnsi="Verdana"/>
          <w:sz w:val="20"/>
          <w:szCs w:val="20"/>
        </w:rPr>
      </w:pP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500"/>
      <w:r w:rsidRPr="00CD3E0E">
        <w:rPr>
          <w:rStyle w:val="Ttulo1Char"/>
          <w:rFonts w:ascii="Verdana" w:hAnsi="Verdana" w:cs="Arial"/>
          <w:sz w:val="20"/>
          <w:szCs w:val="20"/>
        </w:rPr>
        <w:t>CLÁUSULA DÉCIMA QUARTA – DOS CASOS OMISSOS</w:t>
      </w:r>
      <w:bookmarkEnd w:id="32"/>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3" w:name="_Toc138359501"/>
      <w:r w:rsidRPr="00CD3E0E">
        <w:rPr>
          <w:rStyle w:val="Ttulo1Char"/>
          <w:rFonts w:ascii="Verdana" w:hAnsi="Verdana" w:cs="Arial"/>
          <w:sz w:val="20"/>
          <w:szCs w:val="20"/>
        </w:rPr>
        <w:t>CLÁUSULA DÉCIMA QUINTA – DAS ALTERAÇÕES</w:t>
      </w:r>
      <w:bookmarkEnd w:id="33"/>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15.4. Registros que não caracterizam alteração do contrato podem ser realizados por simples apostila, dispensada a celebração de termo aditivo, na forma do art. 136 da Lei </w:t>
      </w:r>
      <w:r w:rsidRPr="00CD3E0E">
        <w:rPr>
          <w:rFonts w:ascii="Verdana" w:hAnsi="Verdana" w:cs="Arial"/>
          <w:bCs/>
          <w:sz w:val="20"/>
          <w:szCs w:val="20"/>
        </w:rPr>
        <w:lastRenderedPageBreak/>
        <w:t>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4" w:name="_Toc138359502"/>
      <w:r w:rsidRPr="00CD3E0E">
        <w:rPr>
          <w:rStyle w:val="Ttulo1Char"/>
          <w:rFonts w:ascii="Verdana" w:hAnsi="Verdana" w:cs="Arial"/>
          <w:sz w:val="20"/>
          <w:szCs w:val="20"/>
        </w:rPr>
        <w:t>CLÁUSULA DÉCIMA SEXTA – DA PUBLICAÇÃO</w:t>
      </w:r>
      <w:bookmarkEnd w:id="34"/>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5" w:name="_Toc138359503"/>
      <w:r w:rsidRPr="00CD3E0E">
        <w:rPr>
          <w:rStyle w:val="Ttulo1Char"/>
          <w:rFonts w:ascii="Verdana" w:hAnsi="Verdana" w:cs="Arial"/>
          <w:sz w:val="20"/>
          <w:szCs w:val="20"/>
        </w:rPr>
        <w:t>CLÁUSULA DÉCIMA SÉTIMA – DO FORO</w:t>
      </w:r>
      <w:bookmarkEnd w:id="35"/>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43664739" w:rsidR="002B5BFA"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45C7304C" w14:textId="05949E3E" w:rsidR="00D35A2D" w:rsidRDefault="00D35A2D" w:rsidP="00CD3E0E">
      <w:pPr>
        <w:spacing w:line="360" w:lineRule="auto"/>
        <w:jc w:val="center"/>
        <w:rPr>
          <w:rFonts w:ascii="Verdana" w:hAnsi="Verdana" w:cstheme="minorHAnsi"/>
          <w:sz w:val="20"/>
          <w:szCs w:val="20"/>
        </w:rPr>
      </w:pPr>
    </w:p>
    <w:p w14:paraId="318760B4" w14:textId="473F4448" w:rsidR="00D35A2D" w:rsidRDefault="00D35A2D" w:rsidP="00CD3E0E">
      <w:pPr>
        <w:spacing w:line="360" w:lineRule="auto"/>
        <w:jc w:val="center"/>
        <w:rPr>
          <w:rFonts w:ascii="Verdana" w:hAnsi="Verdana" w:cstheme="minorHAnsi"/>
          <w:sz w:val="20"/>
          <w:szCs w:val="20"/>
        </w:rPr>
      </w:pPr>
    </w:p>
    <w:p w14:paraId="612B561F" w14:textId="5693C68A" w:rsidR="00A10C37" w:rsidRDefault="00A10C37" w:rsidP="00CD3E0E">
      <w:pPr>
        <w:spacing w:line="360" w:lineRule="auto"/>
        <w:jc w:val="center"/>
        <w:rPr>
          <w:rFonts w:ascii="Verdana" w:hAnsi="Verdana" w:cstheme="minorHAnsi"/>
          <w:sz w:val="20"/>
          <w:szCs w:val="20"/>
        </w:rPr>
      </w:pPr>
    </w:p>
    <w:p w14:paraId="7E348FD2" w14:textId="417E5683" w:rsidR="00A10C37" w:rsidRDefault="00A10C37" w:rsidP="00CD3E0E">
      <w:pPr>
        <w:spacing w:line="360" w:lineRule="auto"/>
        <w:jc w:val="center"/>
        <w:rPr>
          <w:rFonts w:ascii="Verdana" w:hAnsi="Verdana" w:cstheme="minorHAnsi"/>
          <w:sz w:val="20"/>
          <w:szCs w:val="20"/>
        </w:rPr>
      </w:pPr>
    </w:p>
    <w:p w14:paraId="26C9B6BC" w14:textId="2374074A" w:rsidR="00A10C37" w:rsidRDefault="00A10C37" w:rsidP="00CD3E0E">
      <w:pPr>
        <w:spacing w:line="360" w:lineRule="auto"/>
        <w:jc w:val="center"/>
        <w:rPr>
          <w:rFonts w:ascii="Verdana" w:hAnsi="Verdana" w:cstheme="minorHAnsi"/>
          <w:sz w:val="20"/>
          <w:szCs w:val="20"/>
        </w:rPr>
      </w:pPr>
    </w:p>
    <w:p w14:paraId="3548762E" w14:textId="37EA8373" w:rsidR="00A10C37" w:rsidRDefault="00A10C37" w:rsidP="00CD3E0E">
      <w:pPr>
        <w:spacing w:line="360" w:lineRule="auto"/>
        <w:jc w:val="center"/>
        <w:rPr>
          <w:rFonts w:ascii="Verdana" w:hAnsi="Verdana" w:cstheme="minorHAnsi"/>
          <w:sz w:val="20"/>
          <w:szCs w:val="20"/>
        </w:rPr>
      </w:pPr>
    </w:p>
    <w:p w14:paraId="3AC1AA38" w14:textId="32ABFF36" w:rsidR="00A10C37" w:rsidRDefault="00A10C37" w:rsidP="00CD3E0E">
      <w:pPr>
        <w:spacing w:line="360" w:lineRule="auto"/>
        <w:jc w:val="center"/>
        <w:rPr>
          <w:rFonts w:ascii="Verdana" w:hAnsi="Verdana" w:cstheme="minorHAnsi"/>
          <w:sz w:val="20"/>
          <w:szCs w:val="20"/>
        </w:rPr>
      </w:pPr>
    </w:p>
    <w:p w14:paraId="0B6A7E6E" w14:textId="0F810433" w:rsidR="00A10C37" w:rsidRDefault="00A10C37" w:rsidP="00CD3E0E">
      <w:pPr>
        <w:spacing w:line="360" w:lineRule="auto"/>
        <w:jc w:val="center"/>
        <w:rPr>
          <w:rFonts w:ascii="Verdana" w:hAnsi="Verdana" w:cstheme="minorHAnsi"/>
          <w:sz w:val="20"/>
          <w:szCs w:val="20"/>
        </w:rPr>
      </w:pPr>
    </w:p>
    <w:p w14:paraId="638AE1E1" w14:textId="62086E45" w:rsidR="00A10C37" w:rsidRDefault="00A10C37" w:rsidP="00CD3E0E">
      <w:pPr>
        <w:spacing w:line="360" w:lineRule="auto"/>
        <w:jc w:val="center"/>
        <w:rPr>
          <w:rFonts w:ascii="Verdana" w:hAnsi="Verdana" w:cstheme="minorHAnsi"/>
          <w:sz w:val="20"/>
          <w:szCs w:val="20"/>
        </w:rPr>
      </w:pPr>
    </w:p>
    <w:p w14:paraId="787B3EBB" w14:textId="2B227AD4" w:rsidR="00A10C37" w:rsidRDefault="00A10C37" w:rsidP="00CD3E0E">
      <w:pPr>
        <w:spacing w:line="360" w:lineRule="auto"/>
        <w:jc w:val="center"/>
        <w:rPr>
          <w:rFonts w:ascii="Verdana" w:hAnsi="Verdana" w:cstheme="minorHAnsi"/>
          <w:sz w:val="20"/>
          <w:szCs w:val="20"/>
        </w:rPr>
      </w:pPr>
    </w:p>
    <w:p w14:paraId="64CEEA42" w14:textId="70FDDE9C" w:rsidR="00A10C37" w:rsidRDefault="00A10C37" w:rsidP="00CD3E0E">
      <w:pPr>
        <w:spacing w:line="360" w:lineRule="auto"/>
        <w:jc w:val="center"/>
        <w:rPr>
          <w:rFonts w:ascii="Verdana" w:hAnsi="Verdana" w:cstheme="minorHAnsi"/>
          <w:sz w:val="20"/>
          <w:szCs w:val="20"/>
        </w:rPr>
      </w:pPr>
    </w:p>
    <w:p w14:paraId="5651F172" w14:textId="20A8761C" w:rsidR="00A10C37" w:rsidRDefault="00A10C37" w:rsidP="00CD3E0E">
      <w:pPr>
        <w:spacing w:line="360" w:lineRule="auto"/>
        <w:jc w:val="center"/>
        <w:rPr>
          <w:rFonts w:ascii="Verdana" w:hAnsi="Verdana" w:cstheme="minorHAnsi"/>
          <w:sz w:val="20"/>
          <w:szCs w:val="20"/>
        </w:rPr>
      </w:pPr>
    </w:p>
    <w:p w14:paraId="79C7E5E3" w14:textId="04CB2DE1" w:rsidR="00A10C37" w:rsidRDefault="00A10C37" w:rsidP="00CD3E0E">
      <w:pPr>
        <w:spacing w:line="360" w:lineRule="auto"/>
        <w:jc w:val="center"/>
        <w:rPr>
          <w:rFonts w:ascii="Verdana" w:hAnsi="Verdana" w:cstheme="minorHAnsi"/>
          <w:sz w:val="20"/>
          <w:szCs w:val="20"/>
        </w:rPr>
      </w:pPr>
    </w:p>
    <w:p w14:paraId="01ABC052" w14:textId="34FDCA61" w:rsidR="00A10C37" w:rsidRDefault="00A10C37" w:rsidP="00CD3E0E">
      <w:pPr>
        <w:spacing w:line="360" w:lineRule="auto"/>
        <w:jc w:val="center"/>
        <w:rPr>
          <w:rFonts w:ascii="Verdana" w:hAnsi="Verdana" w:cstheme="minorHAnsi"/>
          <w:sz w:val="20"/>
          <w:szCs w:val="20"/>
        </w:rPr>
      </w:pPr>
    </w:p>
    <w:p w14:paraId="0749B4C0" w14:textId="31A7D522" w:rsidR="00A10C37" w:rsidRDefault="00A10C37" w:rsidP="00CD3E0E">
      <w:pPr>
        <w:spacing w:line="360" w:lineRule="auto"/>
        <w:jc w:val="center"/>
        <w:rPr>
          <w:rFonts w:ascii="Verdana" w:hAnsi="Verdana" w:cstheme="minorHAnsi"/>
          <w:sz w:val="20"/>
          <w:szCs w:val="20"/>
        </w:rPr>
      </w:pPr>
    </w:p>
    <w:p w14:paraId="0EA859B6" w14:textId="6B866538" w:rsidR="00A10C37" w:rsidRDefault="00A10C37" w:rsidP="00CD3E0E">
      <w:pPr>
        <w:spacing w:line="360" w:lineRule="auto"/>
        <w:jc w:val="center"/>
        <w:rPr>
          <w:rFonts w:ascii="Verdana" w:hAnsi="Verdana" w:cstheme="minorHAnsi"/>
          <w:sz w:val="20"/>
          <w:szCs w:val="20"/>
        </w:rPr>
      </w:pPr>
    </w:p>
    <w:p w14:paraId="1DE607D6" w14:textId="1CC76533" w:rsidR="00A10C37" w:rsidRDefault="00A10C37" w:rsidP="00CD3E0E">
      <w:pPr>
        <w:spacing w:line="360" w:lineRule="auto"/>
        <w:jc w:val="center"/>
        <w:rPr>
          <w:rFonts w:ascii="Verdana" w:hAnsi="Verdana" w:cstheme="minorHAnsi"/>
          <w:sz w:val="20"/>
          <w:szCs w:val="20"/>
        </w:rPr>
      </w:pPr>
    </w:p>
    <w:p w14:paraId="288221CE" w14:textId="2357B23B" w:rsidR="00A10C37" w:rsidRDefault="00A10C37" w:rsidP="00CD3E0E">
      <w:pPr>
        <w:spacing w:line="360" w:lineRule="auto"/>
        <w:jc w:val="center"/>
        <w:rPr>
          <w:rFonts w:ascii="Verdana" w:hAnsi="Verdana" w:cstheme="minorHAnsi"/>
          <w:sz w:val="20"/>
          <w:szCs w:val="20"/>
        </w:rPr>
      </w:pPr>
    </w:p>
    <w:p w14:paraId="765D4577" w14:textId="77777777" w:rsidR="00A10C37" w:rsidRDefault="00A10C37" w:rsidP="00CD3E0E">
      <w:pPr>
        <w:spacing w:line="360" w:lineRule="auto"/>
        <w:jc w:val="center"/>
        <w:rPr>
          <w:rFonts w:ascii="Verdana" w:hAnsi="Verdana" w:cstheme="minorHAnsi"/>
          <w:sz w:val="20"/>
          <w:szCs w:val="20"/>
        </w:rPr>
      </w:pPr>
    </w:p>
    <w:p w14:paraId="55DBDDAF" w14:textId="6ED466AD" w:rsidR="00D35A2D" w:rsidRDefault="00D35A2D" w:rsidP="00CD3E0E">
      <w:pPr>
        <w:spacing w:line="360" w:lineRule="auto"/>
        <w:jc w:val="center"/>
        <w:rPr>
          <w:rFonts w:ascii="Verdana" w:hAnsi="Verdana" w:cstheme="minorHAnsi"/>
          <w:sz w:val="20"/>
          <w:szCs w:val="20"/>
        </w:rPr>
      </w:pPr>
    </w:p>
    <w:p w14:paraId="6573EE76" w14:textId="2B900933" w:rsidR="00D35A2D" w:rsidRDefault="00D35A2D" w:rsidP="00CD3E0E">
      <w:pPr>
        <w:spacing w:line="360" w:lineRule="auto"/>
        <w:jc w:val="center"/>
        <w:rPr>
          <w:rFonts w:ascii="Verdana" w:hAnsi="Verdana" w:cstheme="minorHAnsi"/>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4E625B56"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5C7F2C">
        <w:rPr>
          <w:rFonts w:ascii="Verdana" w:hAnsi="Verdana" w:cs="Arial"/>
          <w:b/>
          <w:sz w:val="20"/>
          <w:szCs w:val="20"/>
        </w:rPr>
        <w:t>3</w:t>
      </w:r>
      <w:r w:rsidR="00902564">
        <w:rPr>
          <w:rFonts w:ascii="Verdana" w:hAnsi="Verdana" w:cs="Arial"/>
          <w:b/>
          <w:sz w:val="20"/>
          <w:szCs w:val="20"/>
        </w:rPr>
        <w:t>9</w:t>
      </w:r>
      <w:r w:rsidR="003B650F">
        <w:rPr>
          <w:rFonts w:ascii="Verdana" w:hAnsi="Verdana" w:cs="Arial"/>
          <w:b/>
          <w:sz w:val="20"/>
          <w:szCs w:val="20"/>
        </w:rPr>
        <w:t>/202</w:t>
      </w:r>
      <w:r w:rsidR="005E259D">
        <w:rPr>
          <w:rFonts w:ascii="Verdana" w:hAnsi="Verdana" w:cs="Arial"/>
          <w:b/>
          <w:sz w:val="20"/>
          <w:szCs w:val="20"/>
        </w:rPr>
        <w:t>6</w:t>
      </w:r>
    </w:p>
    <w:p w14:paraId="2A93959E" w14:textId="52B2155F"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3E5364">
        <w:rPr>
          <w:rFonts w:ascii="Verdana" w:hAnsi="Verdana" w:cs="Arial"/>
          <w:b/>
          <w:sz w:val="20"/>
          <w:szCs w:val="20"/>
        </w:rPr>
        <w:t>5</w:t>
      </w:r>
      <w:r w:rsidR="00902564">
        <w:rPr>
          <w:rFonts w:ascii="Verdana" w:hAnsi="Verdana" w:cs="Arial"/>
          <w:b/>
          <w:sz w:val="20"/>
          <w:szCs w:val="20"/>
        </w:rPr>
        <w:t>6</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09D99CC5"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5C7F2C">
        <w:rPr>
          <w:rFonts w:ascii="Verdana" w:hAnsi="Verdana" w:cs="Arial"/>
          <w:sz w:val="20"/>
          <w:szCs w:val="20"/>
        </w:rPr>
        <w:t>3</w:t>
      </w:r>
      <w:r w:rsidR="00902564">
        <w:rPr>
          <w:rFonts w:ascii="Verdana" w:hAnsi="Verdana" w:cs="Arial"/>
          <w:sz w:val="20"/>
          <w:szCs w:val="20"/>
        </w:rPr>
        <w:t>9</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72048DF2"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w:t>
      </w:r>
      <w:r w:rsidR="00542040" w:rsidRPr="00BA2694">
        <w:rPr>
          <w:rFonts w:ascii="Verdana" w:hAnsi="Verdana"/>
          <w:b w:val="0"/>
          <w:sz w:val="20"/>
        </w:rPr>
        <w:t xml:space="preserve">tem por objeto o </w:t>
      </w:r>
      <w:r w:rsidR="00BA2694" w:rsidRPr="00BA2694">
        <w:rPr>
          <w:rFonts w:ascii="Verdana" w:hAnsi="Verdana"/>
          <w:sz w:val="20"/>
        </w:rPr>
        <w:t>Registro de preços para futura e eventual aquisição de café, nas apresentações descafeinado, gourmet em grãos, solúvel e torrado e moído, com fornecimento parcelado, destinado ao atendimento das necessidades de todas as Secretarias Municipais de Correntina/BA e de suas respectivas unidades administrativas, conforme condições, quantitativos e especificações estabelecidos no Termo de Referência e seus anexos</w:t>
      </w:r>
      <w:r w:rsidR="00BD3453" w:rsidRPr="00BA2694">
        <w:rPr>
          <w:rFonts w:ascii="Verdana" w:hAnsi="Verdana"/>
          <w:sz w:val="20"/>
        </w:rPr>
        <w:t xml:space="preserve">, </w:t>
      </w:r>
      <w:r w:rsidRPr="00BA2694">
        <w:rPr>
          <w:rFonts w:ascii="Verdana" w:hAnsi="Verdana"/>
          <w:b w:val="0"/>
          <w:sz w:val="20"/>
        </w:rPr>
        <w:t>nº</w:t>
      </w:r>
      <w:r w:rsidRPr="00BA2694">
        <w:rPr>
          <w:rFonts w:ascii="Verdana" w:hAnsi="Verdana"/>
          <w:b w:val="0"/>
          <w:i/>
          <w:sz w:val="20"/>
        </w:rPr>
        <w:t xml:space="preserve"> </w:t>
      </w:r>
      <w:r w:rsidR="00BD3453" w:rsidRPr="00BA2694">
        <w:rPr>
          <w:rFonts w:ascii="Verdana" w:hAnsi="Verdana"/>
          <w:b w:val="0"/>
          <w:i/>
          <w:sz w:val="20"/>
        </w:rPr>
        <w:t>03</w:t>
      </w:r>
      <w:r w:rsidR="00BA2694">
        <w:rPr>
          <w:rFonts w:ascii="Verdana" w:hAnsi="Verdana"/>
          <w:b w:val="0"/>
          <w:i/>
          <w:sz w:val="20"/>
        </w:rPr>
        <w:t>9</w:t>
      </w:r>
      <w:r w:rsidR="003B650F" w:rsidRPr="00BA2694">
        <w:rPr>
          <w:rFonts w:ascii="Verdana" w:hAnsi="Verdana"/>
          <w:b w:val="0"/>
          <w:i/>
          <w:sz w:val="20"/>
        </w:rPr>
        <w:t>/202</w:t>
      </w:r>
      <w:r w:rsidR="00227F72" w:rsidRPr="00BA2694">
        <w:rPr>
          <w:rFonts w:ascii="Verdana" w:hAnsi="Verdana"/>
          <w:b w:val="0"/>
          <w:i/>
          <w:sz w:val="20"/>
        </w:rPr>
        <w:t>6</w:t>
      </w:r>
      <w:r w:rsidRPr="00BA2694">
        <w:rPr>
          <w:rFonts w:ascii="Verdana" w:hAnsi="Verdana"/>
          <w:b w:val="0"/>
          <w:sz w:val="20"/>
        </w:rPr>
        <w:t>, que é parte integrante desta Ata, assim como</w:t>
      </w:r>
      <w:r w:rsidRPr="00542040">
        <w:rPr>
          <w:rFonts w:ascii="Verdana" w:hAnsi="Verdana"/>
          <w:b w:val="0"/>
          <w:sz w:val="20"/>
        </w:rPr>
        <w:t xml:space="preserve">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lastRenderedPageBreak/>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5899B6E0"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w:t>
      </w:r>
      <w:r w:rsidR="003563A0">
        <w:rPr>
          <w:rFonts w:ascii="Verdana" w:hAnsi="Verdana" w:cs="Arial"/>
          <w:sz w:val="20"/>
          <w:szCs w:val="20"/>
        </w:rPr>
        <w:t>articiparam do procedimento de I</w:t>
      </w:r>
      <w:r w:rsidRPr="00CD3E0E">
        <w:rPr>
          <w:rFonts w:ascii="Verdana" w:hAnsi="Verdana" w:cs="Arial"/>
          <w:sz w:val="20"/>
          <w:szCs w:val="20"/>
        </w:rPr>
        <w:t>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 xml:space="preserve">4.7. O quantitativo decorrente das adesões não poderá exceder, na totalidade, ao dobro do quantitativo de cada item registrado na ata de registro de preços para o gerenciador e </w:t>
      </w:r>
      <w:r w:rsidRPr="00CD3E0E">
        <w:rPr>
          <w:rFonts w:ascii="Verdana" w:hAnsi="Verdana"/>
          <w:i w:val="0"/>
          <w:color w:val="auto"/>
        </w:rPr>
        <w:lastRenderedPageBreak/>
        <w:t>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lastRenderedPageBreak/>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 xml:space="preserve">dade gerenciadora </w:t>
      </w:r>
      <w:r w:rsidRPr="00CD3E0E">
        <w:rPr>
          <w:rFonts w:ascii="Verdana" w:hAnsi="Verdana"/>
          <w:color w:val="auto"/>
        </w:rPr>
        <w:lastRenderedPageBreak/>
        <w:t>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9.1.3. Não aceitar manter seu preço registrado, na hipótese prevista §2º do art. 27 do </w:t>
      </w:r>
      <w:r w:rsidRPr="00CD3E0E">
        <w:rPr>
          <w:rFonts w:ascii="Verdana" w:hAnsi="Verdana" w:cs="Arial"/>
          <w:sz w:val="20"/>
          <w:szCs w:val="20"/>
        </w:rPr>
        <w:lastRenderedPageBreak/>
        <w:t>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10.3. O órgão ou entidade participante deverá comunicar ao órgão gerenciador qualquer das ocorrências previstas no item 9.1, dada a necessidade de instauração de </w:t>
      </w:r>
      <w:r w:rsidRPr="00CD3E0E">
        <w:rPr>
          <w:rFonts w:ascii="Verdana" w:hAnsi="Verdana" w:cs="Arial"/>
          <w:sz w:val="20"/>
          <w:szCs w:val="20"/>
        </w:rPr>
        <w:lastRenderedPageBreak/>
        <w:t>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0ADBFCB5"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347A503F" w14:textId="536545F8" w:rsidR="00490EAB" w:rsidRDefault="00490EAB" w:rsidP="00CD3E0E">
      <w:pPr>
        <w:tabs>
          <w:tab w:val="left" w:pos="284"/>
        </w:tabs>
        <w:adjustRightInd w:val="0"/>
        <w:spacing w:line="360" w:lineRule="auto"/>
        <w:ind w:right="-30"/>
        <w:jc w:val="center"/>
        <w:rPr>
          <w:rFonts w:ascii="Verdana" w:hAnsi="Verdana" w:cs="Arial"/>
          <w:b/>
          <w:color w:val="000000"/>
          <w:sz w:val="20"/>
          <w:szCs w:val="20"/>
        </w:rPr>
      </w:pPr>
    </w:p>
    <w:p w14:paraId="6F3A2710" w14:textId="24F98734" w:rsidR="00490EAB" w:rsidRDefault="00490EAB" w:rsidP="00CD3E0E">
      <w:pPr>
        <w:tabs>
          <w:tab w:val="left" w:pos="284"/>
        </w:tabs>
        <w:adjustRightInd w:val="0"/>
        <w:spacing w:line="360" w:lineRule="auto"/>
        <w:ind w:right="-30"/>
        <w:jc w:val="center"/>
        <w:rPr>
          <w:rFonts w:ascii="Verdana" w:hAnsi="Verdana" w:cs="Arial"/>
          <w:b/>
          <w:color w:val="000000"/>
          <w:sz w:val="20"/>
          <w:szCs w:val="20"/>
        </w:rPr>
      </w:pPr>
    </w:p>
    <w:p w14:paraId="13C48912" w14:textId="75CB2D56" w:rsidR="00490EAB" w:rsidRDefault="00490EAB" w:rsidP="00CD3E0E">
      <w:pPr>
        <w:tabs>
          <w:tab w:val="left" w:pos="284"/>
        </w:tabs>
        <w:adjustRightInd w:val="0"/>
        <w:spacing w:line="360" w:lineRule="auto"/>
        <w:ind w:right="-30"/>
        <w:jc w:val="center"/>
        <w:rPr>
          <w:rFonts w:ascii="Verdana" w:hAnsi="Verdana" w:cs="Arial"/>
          <w:b/>
          <w:color w:val="000000"/>
          <w:sz w:val="20"/>
          <w:szCs w:val="20"/>
        </w:rPr>
      </w:pPr>
    </w:p>
    <w:p w14:paraId="0E97261F" w14:textId="1A8038BC" w:rsidR="00490EAB" w:rsidRDefault="00490EAB" w:rsidP="00CD3E0E">
      <w:pPr>
        <w:tabs>
          <w:tab w:val="left" w:pos="284"/>
        </w:tabs>
        <w:adjustRightInd w:val="0"/>
        <w:spacing w:line="360" w:lineRule="auto"/>
        <w:ind w:right="-30"/>
        <w:jc w:val="center"/>
        <w:rPr>
          <w:rFonts w:ascii="Verdana" w:hAnsi="Verdana" w:cs="Arial"/>
          <w:b/>
          <w:color w:val="000000"/>
          <w:sz w:val="20"/>
          <w:szCs w:val="20"/>
        </w:rPr>
      </w:pPr>
    </w:p>
    <w:p w14:paraId="440D48B5" w14:textId="4CAB1B60" w:rsidR="00F9689A" w:rsidRDefault="00F9689A" w:rsidP="00CD3E0E">
      <w:pPr>
        <w:tabs>
          <w:tab w:val="left" w:pos="284"/>
        </w:tabs>
        <w:adjustRightInd w:val="0"/>
        <w:spacing w:line="360" w:lineRule="auto"/>
        <w:ind w:right="-30"/>
        <w:jc w:val="center"/>
        <w:rPr>
          <w:rFonts w:ascii="Verdana" w:hAnsi="Verdana" w:cs="Arial"/>
          <w:b/>
          <w:color w:val="000000"/>
          <w:sz w:val="20"/>
          <w:szCs w:val="20"/>
        </w:rPr>
      </w:pPr>
    </w:p>
    <w:p w14:paraId="5B4600A0" w14:textId="2792D04B" w:rsidR="00F9689A" w:rsidRDefault="00F9689A" w:rsidP="00CD3E0E">
      <w:pPr>
        <w:tabs>
          <w:tab w:val="left" w:pos="284"/>
        </w:tabs>
        <w:adjustRightInd w:val="0"/>
        <w:spacing w:line="360" w:lineRule="auto"/>
        <w:ind w:right="-30"/>
        <w:jc w:val="center"/>
        <w:rPr>
          <w:rFonts w:ascii="Verdana" w:hAnsi="Verdana" w:cs="Arial"/>
          <w:b/>
          <w:color w:val="000000"/>
          <w:sz w:val="20"/>
          <w:szCs w:val="20"/>
        </w:rPr>
      </w:pPr>
    </w:p>
    <w:p w14:paraId="464DA2BD" w14:textId="77777777" w:rsidR="00F9689A" w:rsidRDefault="00F9689A" w:rsidP="00CD3E0E">
      <w:pPr>
        <w:tabs>
          <w:tab w:val="left" w:pos="284"/>
        </w:tabs>
        <w:adjustRightInd w:val="0"/>
        <w:spacing w:line="360" w:lineRule="auto"/>
        <w:ind w:right="-30"/>
        <w:jc w:val="center"/>
        <w:rPr>
          <w:rFonts w:ascii="Verdana" w:hAnsi="Verdana" w:cs="Arial"/>
          <w:b/>
          <w:color w:val="000000"/>
          <w:sz w:val="20"/>
          <w:szCs w:val="20"/>
        </w:rPr>
      </w:pPr>
    </w:p>
    <w:p w14:paraId="5FD954F1" w14:textId="2F9C8488"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093B29" w:rsidRDefault="00093B29" w:rsidP="008D2EFD">
      <w:r>
        <w:separator/>
      </w:r>
    </w:p>
  </w:endnote>
  <w:endnote w:type="continuationSeparator" w:id="0">
    <w:p w14:paraId="27C7D4F5" w14:textId="77777777" w:rsidR="00093B29" w:rsidRDefault="00093B29"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093B29" w:rsidRDefault="00093B29">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093B29" w:rsidRDefault="00093B29" w:rsidP="008D2EFD">
      <w:r>
        <w:separator/>
      </w:r>
    </w:p>
  </w:footnote>
  <w:footnote w:type="continuationSeparator" w:id="0">
    <w:p w14:paraId="4BBEDAC6" w14:textId="77777777" w:rsidR="00093B29" w:rsidRDefault="00093B29"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093B29" w:rsidRDefault="00093B29">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093B29" w:rsidRDefault="00093B29">
    <w:pPr>
      <w:pStyle w:val="Cabealho"/>
    </w:pPr>
  </w:p>
  <w:p w14:paraId="7508D885" w14:textId="77777777" w:rsidR="00093B29" w:rsidRDefault="00093B29">
    <w:pPr>
      <w:pStyle w:val="Cabealho"/>
    </w:pPr>
  </w:p>
  <w:p w14:paraId="68AD3DE9" w14:textId="77777777" w:rsidR="00093B29" w:rsidRDefault="00093B29">
    <w:pPr>
      <w:pStyle w:val="Cabealho"/>
    </w:pPr>
  </w:p>
  <w:p w14:paraId="30E682F0" w14:textId="77777777" w:rsidR="00093B29" w:rsidRDefault="00093B29">
    <w:pPr>
      <w:pStyle w:val="Cabealho"/>
    </w:pPr>
  </w:p>
  <w:p w14:paraId="48E5FE52" w14:textId="77777777" w:rsidR="00093B29" w:rsidRDefault="00093B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3"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4"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11"/>
  </w:num>
  <w:num w:numId="8">
    <w:abstractNumId w:val="4"/>
  </w:num>
  <w:num w:numId="9">
    <w:abstractNumId w:val="2"/>
  </w:num>
  <w:num w:numId="10">
    <w:abstractNumId w:val="3"/>
  </w:num>
  <w:num w:numId="11">
    <w:abstractNumId w:val="1"/>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2F8F"/>
    <w:rsid w:val="000355EE"/>
    <w:rsid w:val="000355FB"/>
    <w:rsid w:val="000400FA"/>
    <w:rsid w:val="00047A7C"/>
    <w:rsid w:val="00053E4D"/>
    <w:rsid w:val="00066A19"/>
    <w:rsid w:val="00075861"/>
    <w:rsid w:val="00076F97"/>
    <w:rsid w:val="000818AE"/>
    <w:rsid w:val="0009350C"/>
    <w:rsid w:val="00093B29"/>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4E"/>
    <w:rsid w:val="00112E1C"/>
    <w:rsid w:val="00113B27"/>
    <w:rsid w:val="00124BEB"/>
    <w:rsid w:val="00126661"/>
    <w:rsid w:val="001409E7"/>
    <w:rsid w:val="00142C55"/>
    <w:rsid w:val="0014569D"/>
    <w:rsid w:val="001479CC"/>
    <w:rsid w:val="00166974"/>
    <w:rsid w:val="001818B2"/>
    <w:rsid w:val="00181C46"/>
    <w:rsid w:val="00181E83"/>
    <w:rsid w:val="001909AF"/>
    <w:rsid w:val="00193FA5"/>
    <w:rsid w:val="001A299E"/>
    <w:rsid w:val="001A2B38"/>
    <w:rsid w:val="001A6421"/>
    <w:rsid w:val="001A6D6E"/>
    <w:rsid w:val="001B0E69"/>
    <w:rsid w:val="001B3133"/>
    <w:rsid w:val="001C13B2"/>
    <w:rsid w:val="001D5684"/>
    <w:rsid w:val="001D6887"/>
    <w:rsid w:val="001E58E9"/>
    <w:rsid w:val="001E7AE3"/>
    <w:rsid w:val="00201F2A"/>
    <w:rsid w:val="0020258A"/>
    <w:rsid w:val="002066A6"/>
    <w:rsid w:val="002225D0"/>
    <w:rsid w:val="00227F72"/>
    <w:rsid w:val="00230115"/>
    <w:rsid w:val="0023431F"/>
    <w:rsid w:val="002378EF"/>
    <w:rsid w:val="00237F34"/>
    <w:rsid w:val="00241F60"/>
    <w:rsid w:val="002444B6"/>
    <w:rsid w:val="002474B3"/>
    <w:rsid w:val="00261334"/>
    <w:rsid w:val="00263715"/>
    <w:rsid w:val="002A009A"/>
    <w:rsid w:val="002A689A"/>
    <w:rsid w:val="002B0E40"/>
    <w:rsid w:val="002B0FEE"/>
    <w:rsid w:val="002B5993"/>
    <w:rsid w:val="002B5BFA"/>
    <w:rsid w:val="002C064E"/>
    <w:rsid w:val="002E2F31"/>
    <w:rsid w:val="002E3F1D"/>
    <w:rsid w:val="002F5229"/>
    <w:rsid w:val="002F5E9B"/>
    <w:rsid w:val="002F6AFC"/>
    <w:rsid w:val="0031048B"/>
    <w:rsid w:val="00311BB3"/>
    <w:rsid w:val="00312D4B"/>
    <w:rsid w:val="00316384"/>
    <w:rsid w:val="00327210"/>
    <w:rsid w:val="0033069D"/>
    <w:rsid w:val="003413E5"/>
    <w:rsid w:val="00342852"/>
    <w:rsid w:val="00343515"/>
    <w:rsid w:val="00343C06"/>
    <w:rsid w:val="00347CED"/>
    <w:rsid w:val="003504C0"/>
    <w:rsid w:val="00355884"/>
    <w:rsid w:val="003563A0"/>
    <w:rsid w:val="00357282"/>
    <w:rsid w:val="00360C15"/>
    <w:rsid w:val="00361C23"/>
    <w:rsid w:val="00377C9A"/>
    <w:rsid w:val="00382AF9"/>
    <w:rsid w:val="0039127D"/>
    <w:rsid w:val="003924D0"/>
    <w:rsid w:val="00392D35"/>
    <w:rsid w:val="0039640C"/>
    <w:rsid w:val="003A3F02"/>
    <w:rsid w:val="003B650F"/>
    <w:rsid w:val="003C5723"/>
    <w:rsid w:val="003C628C"/>
    <w:rsid w:val="003E4C1B"/>
    <w:rsid w:val="003E5364"/>
    <w:rsid w:val="003F4EDA"/>
    <w:rsid w:val="003F5BA3"/>
    <w:rsid w:val="003F7AAA"/>
    <w:rsid w:val="00402F12"/>
    <w:rsid w:val="00405A65"/>
    <w:rsid w:val="00406172"/>
    <w:rsid w:val="00410781"/>
    <w:rsid w:val="0042362C"/>
    <w:rsid w:val="00427687"/>
    <w:rsid w:val="00430CED"/>
    <w:rsid w:val="00441238"/>
    <w:rsid w:val="00441448"/>
    <w:rsid w:val="004506FC"/>
    <w:rsid w:val="00461200"/>
    <w:rsid w:val="004655A8"/>
    <w:rsid w:val="0047219E"/>
    <w:rsid w:val="00477B90"/>
    <w:rsid w:val="004810BF"/>
    <w:rsid w:val="004827D2"/>
    <w:rsid w:val="00485D09"/>
    <w:rsid w:val="00490EAB"/>
    <w:rsid w:val="004911F9"/>
    <w:rsid w:val="004A4F5C"/>
    <w:rsid w:val="004A6670"/>
    <w:rsid w:val="004B15AD"/>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0812"/>
    <w:rsid w:val="0057179F"/>
    <w:rsid w:val="005723BF"/>
    <w:rsid w:val="00580887"/>
    <w:rsid w:val="005874F5"/>
    <w:rsid w:val="005A488A"/>
    <w:rsid w:val="005A66F3"/>
    <w:rsid w:val="005A78C3"/>
    <w:rsid w:val="005C5A3B"/>
    <w:rsid w:val="005C7F2C"/>
    <w:rsid w:val="005D5751"/>
    <w:rsid w:val="005D5F68"/>
    <w:rsid w:val="005E259D"/>
    <w:rsid w:val="005E3C06"/>
    <w:rsid w:val="005F2D15"/>
    <w:rsid w:val="006008ED"/>
    <w:rsid w:val="00603CE8"/>
    <w:rsid w:val="00610684"/>
    <w:rsid w:val="006111DB"/>
    <w:rsid w:val="006149EB"/>
    <w:rsid w:val="00615016"/>
    <w:rsid w:val="0063108E"/>
    <w:rsid w:val="006367A3"/>
    <w:rsid w:val="00642111"/>
    <w:rsid w:val="0064335F"/>
    <w:rsid w:val="00651CA8"/>
    <w:rsid w:val="00663148"/>
    <w:rsid w:val="00671082"/>
    <w:rsid w:val="00675710"/>
    <w:rsid w:val="00675D25"/>
    <w:rsid w:val="00680782"/>
    <w:rsid w:val="006825DA"/>
    <w:rsid w:val="00686F65"/>
    <w:rsid w:val="00696927"/>
    <w:rsid w:val="00697E72"/>
    <w:rsid w:val="006A0A90"/>
    <w:rsid w:val="006A1AE6"/>
    <w:rsid w:val="006A5396"/>
    <w:rsid w:val="006B0BC8"/>
    <w:rsid w:val="006B240B"/>
    <w:rsid w:val="006C1A58"/>
    <w:rsid w:val="006C1BC9"/>
    <w:rsid w:val="006C42EB"/>
    <w:rsid w:val="006C5514"/>
    <w:rsid w:val="006D2A4A"/>
    <w:rsid w:val="006D3A75"/>
    <w:rsid w:val="006D4D90"/>
    <w:rsid w:val="006E1701"/>
    <w:rsid w:val="006E43EC"/>
    <w:rsid w:val="006F57F2"/>
    <w:rsid w:val="0070494B"/>
    <w:rsid w:val="00705E56"/>
    <w:rsid w:val="00710FA4"/>
    <w:rsid w:val="007138C5"/>
    <w:rsid w:val="00723DA1"/>
    <w:rsid w:val="007258D3"/>
    <w:rsid w:val="007259FD"/>
    <w:rsid w:val="0073190B"/>
    <w:rsid w:val="00736A03"/>
    <w:rsid w:val="00741BE1"/>
    <w:rsid w:val="0076734C"/>
    <w:rsid w:val="00794E77"/>
    <w:rsid w:val="007A6EE5"/>
    <w:rsid w:val="007B668E"/>
    <w:rsid w:val="007B7068"/>
    <w:rsid w:val="007C1B99"/>
    <w:rsid w:val="007C531B"/>
    <w:rsid w:val="007D008A"/>
    <w:rsid w:val="007E534E"/>
    <w:rsid w:val="007E791E"/>
    <w:rsid w:val="007F03AC"/>
    <w:rsid w:val="007F37FC"/>
    <w:rsid w:val="00800561"/>
    <w:rsid w:val="0080619F"/>
    <w:rsid w:val="00811EB0"/>
    <w:rsid w:val="00814923"/>
    <w:rsid w:val="00822DF7"/>
    <w:rsid w:val="008404DE"/>
    <w:rsid w:val="00847360"/>
    <w:rsid w:val="008510EE"/>
    <w:rsid w:val="00857646"/>
    <w:rsid w:val="008577F6"/>
    <w:rsid w:val="008612E0"/>
    <w:rsid w:val="008626E1"/>
    <w:rsid w:val="00864B9C"/>
    <w:rsid w:val="0086522C"/>
    <w:rsid w:val="008749E2"/>
    <w:rsid w:val="008966CD"/>
    <w:rsid w:val="0089704F"/>
    <w:rsid w:val="008A137A"/>
    <w:rsid w:val="008B495E"/>
    <w:rsid w:val="008B4CDE"/>
    <w:rsid w:val="008C5333"/>
    <w:rsid w:val="008C62B0"/>
    <w:rsid w:val="008D2EFD"/>
    <w:rsid w:val="008E3784"/>
    <w:rsid w:val="008E483A"/>
    <w:rsid w:val="00902564"/>
    <w:rsid w:val="00907B90"/>
    <w:rsid w:val="0093144A"/>
    <w:rsid w:val="00933A99"/>
    <w:rsid w:val="009371D4"/>
    <w:rsid w:val="009378C0"/>
    <w:rsid w:val="00943D82"/>
    <w:rsid w:val="00947281"/>
    <w:rsid w:val="009507F4"/>
    <w:rsid w:val="00952E33"/>
    <w:rsid w:val="00956E2C"/>
    <w:rsid w:val="00957065"/>
    <w:rsid w:val="00960A0E"/>
    <w:rsid w:val="009874F6"/>
    <w:rsid w:val="009A3A9C"/>
    <w:rsid w:val="009C2E6E"/>
    <w:rsid w:val="009C33D3"/>
    <w:rsid w:val="009C6865"/>
    <w:rsid w:val="009D1351"/>
    <w:rsid w:val="009D136F"/>
    <w:rsid w:val="009D204B"/>
    <w:rsid w:val="009E0C49"/>
    <w:rsid w:val="009E5544"/>
    <w:rsid w:val="009F2351"/>
    <w:rsid w:val="00A0132D"/>
    <w:rsid w:val="00A10C37"/>
    <w:rsid w:val="00A21016"/>
    <w:rsid w:val="00A259FC"/>
    <w:rsid w:val="00A26806"/>
    <w:rsid w:val="00A36437"/>
    <w:rsid w:val="00A43284"/>
    <w:rsid w:val="00A505C4"/>
    <w:rsid w:val="00A55DEE"/>
    <w:rsid w:val="00A61FEC"/>
    <w:rsid w:val="00A80275"/>
    <w:rsid w:val="00A82D65"/>
    <w:rsid w:val="00A9291D"/>
    <w:rsid w:val="00A93859"/>
    <w:rsid w:val="00AA4D6A"/>
    <w:rsid w:val="00AA4D6F"/>
    <w:rsid w:val="00AC4F71"/>
    <w:rsid w:val="00AD0E29"/>
    <w:rsid w:val="00AD3391"/>
    <w:rsid w:val="00AF2CAA"/>
    <w:rsid w:val="00B1162F"/>
    <w:rsid w:val="00B13A81"/>
    <w:rsid w:val="00B169D1"/>
    <w:rsid w:val="00B16D7E"/>
    <w:rsid w:val="00B242D8"/>
    <w:rsid w:val="00B323D6"/>
    <w:rsid w:val="00B4146A"/>
    <w:rsid w:val="00B4155E"/>
    <w:rsid w:val="00B427B3"/>
    <w:rsid w:val="00B5103C"/>
    <w:rsid w:val="00B60D35"/>
    <w:rsid w:val="00B612DD"/>
    <w:rsid w:val="00B62F80"/>
    <w:rsid w:val="00B652A7"/>
    <w:rsid w:val="00B67F1B"/>
    <w:rsid w:val="00B7011B"/>
    <w:rsid w:val="00B90F82"/>
    <w:rsid w:val="00B9384E"/>
    <w:rsid w:val="00BA0744"/>
    <w:rsid w:val="00BA2694"/>
    <w:rsid w:val="00BB3283"/>
    <w:rsid w:val="00BB3F80"/>
    <w:rsid w:val="00BB61C5"/>
    <w:rsid w:val="00BB6DE9"/>
    <w:rsid w:val="00BC1628"/>
    <w:rsid w:val="00BC7C6B"/>
    <w:rsid w:val="00BD3453"/>
    <w:rsid w:val="00BD44E2"/>
    <w:rsid w:val="00BE09B2"/>
    <w:rsid w:val="00BE4BCF"/>
    <w:rsid w:val="00BF1B08"/>
    <w:rsid w:val="00C01183"/>
    <w:rsid w:val="00C037E5"/>
    <w:rsid w:val="00C10319"/>
    <w:rsid w:val="00C155EA"/>
    <w:rsid w:val="00C2062F"/>
    <w:rsid w:val="00C24E3A"/>
    <w:rsid w:val="00C35635"/>
    <w:rsid w:val="00C40353"/>
    <w:rsid w:val="00C50213"/>
    <w:rsid w:val="00C62D1D"/>
    <w:rsid w:val="00C65A8A"/>
    <w:rsid w:val="00C65DF7"/>
    <w:rsid w:val="00C74F06"/>
    <w:rsid w:val="00C7701F"/>
    <w:rsid w:val="00C80EAE"/>
    <w:rsid w:val="00CA0B5D"/>
    <w:rsid w:val="00CA43D1"/>
    <w:rsid w:val="00CB6AD2"/>
    <w:rsid w:val="00CC3153"/>
    <w:rsid w:val="00CC35E4"/>
    <w:rsid w:val="00CC71D7"/>
    <w:rsid w:val="00CD192D"/>
    <w:rsid w:val="00CD3E0E"/>
    <w:rsid w:val="00CD6A88"/>
    <w:rsid w:val="00CD768D"/>
    <w:rsid w:val="00CE1F07"/>
    <w:rsid w:val="00CE48D1"/>
    <w:rsid w:val="00CF7EDF"/>
    <w:rsid w:val="00D042B7"/>
    <w:rsid w:val="00D0651A"/>
    <w:rsid w:val="00D06931"/>
    <w:rsid w:val="00D11F7F"/>
    <w:rsid w:val="00D12227"/>
    <w:rsid w:val="00D13BBA"/>
    <w:rsid w:val="00D22D73"/>
    <w:rsid w:val="00D252AC"/>
    <w:rsid w:val="00D34879"/>
    <w:rsid w:val="00D35A2D"/>
    <w:rsid w:val="00D46A84"/>
    <w:rsid w:val="00D6097B"/>
    <w:rsid w:val="00D634AD"/>
    <w:rsid w:val="00D90BF6"/>
    <w:rsid w:val="00DA57D4"/>
    <w:rsid w:val="00DB08BC"/>
    <w:rsid w:val="00DB4226"/>
    <w:rsid w:val="00DC2B27"/>
    <w:rsid w:val="00DC48E5"/>
    <w:rsid w:val="00DC4BCC"/>
    <w:rsid w:val="00DD21D7"/>
    <w:rsid w:val="00DD351D"/>
    <w:rsid w:val="00DF0FA8"/>
    <w:rsid w:val="00DF6DC9"/>
    <w:rsid w:val="00E041E1"/>
    <w:rsid w:val="00E15E69"/>
    <w:rsid w:val="00E17AF4"/>
    <w:rsid w:val="00E33B1E"/>
    <w:rsid w:val="00E40403"/>
    <w:rsid w:val="00E5072A"/>
    <w:rsid w:val="00E7270C"/>
    <w:rsid w:val="00E77257"/>
    <w:rsid w:val="00E94611"/>
    <w:rsid w:val="00EA0BDF"/>
    <w:rsid w:val="00ED16D1"/>
    <w:rsid w:val="00ED2F74"/>
    <w:rsid w:val="00ED37E3"/>
    <w:rsid w:val="00ED4462"/>
    <w:rsid w:val="00ED6810"/>
    <w:rsid w:val="00EE2A27"/>
    <w:rsid w:val="00EE2DB2"/>
    <w:rsid w:val="00EF5324"/>
    <w:rsid w:val="00EF6D8F"/>
    <w:rsid w:val="00F002EC"/>
    <w:rsid w:val="00F01E03"/>
    <w:rsid w:val="00F05130"/>
    <w:rsid w:val="00F0529A"/>
    <w:rsid w:val="00F16F3F"/>
    <w:rsid w:val="00F20E81"/>
    <w:rsid w:val="00F2266D"/>
    <w:rsid w:val="00F249DB"/>
    <w:rsid w:val="00F3033D"/>
    <w:rsid w:val="00F3462A"/>
    <w:rsid w:val="00F36033"/>
    <w:rsid w:val="00F413C7"/>
    <w:rsid w:val="00F6206D"/>
    <w:rsid w:val="00F6685C"/>
    <w:rsid w:val="00F74489"/>
    <w:rsid w:val="00F74EB4"/>
    <w:rsid w:val="00F851E6"/>
    <w:rsid w:val="00F90A47"/>
    <w:rsid w:val="00F9689A"/>
    <w:rsid w:val="00FA40A3"/>
    <w:rsid w:val="00FA44D3"/>
    <w:rsid w:val="00FA7F63"/>
    <w:rsid w:val="00FB567D"/>
    <w:rsid w:val="00FC1B87"/>
    <w:rsid w:val="00FC2E9B"/>
    <w:rsid w:val="00FC4A3A"/>
    <w:rsid w:val="00FD4D7B"/>
    <w:rsid w:val="00FE26AD"/>
    <w:rsid w:val="00FE6524"/>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9"/>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9"/>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8D2EFD"/>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8D2EFD"/>
    <w:rPr>
      <w:rFonts w:eastAsiaTheme="majorEastAsia" w:cstheme="majorBidi"/>
      <w:color w:val="0F4761" w:themeColor="accent1" w:themeShade="BF"/>
    </w:rPr>
  </w:style>
  <w:style w:type="character" w:customStyle="1" w:styleId="Ttulo6Char">
    <w:name w:val="Título 6 Char"/>
    <w:basedOn w:val="Fontepargpadro"/>
    <w:link w:val="Ttulo6"/>
    <w:uiPriority w:val="9"/>
    <w:rsid w:val="008D2E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2EFD"/>
    <w:rPr>
      <w:rFonts w:eastAsiaTheme="majorEastAsia" w:cstheme="majorBidi"/>
      <w:color w:val="595959" w:themeColor="text1" w:themeTint="A6"/>
    </w:rPr>
  </w:style>
  <w:style w:type="character" w:customStyle="1" w:styleId="Ttulo8Char">
    <w:name w:val="Título 8 Char"/>
    <w:basedOn w:val="Fontepargpadro"/>
    <w:link w:val="Ttulo8"/>
    <w:uiPriority w:val="9"/>
    <w:rsid w:val="008D2EFD"/>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8D2EFD"/>
    <w:rPr>
      <w:rFonts w:eastAsiaTheme="majorEastAsia" w:cstheme="majorBidi"/>
      <w:color w:val="272727" w:themeColor="text1" w:themeTint="D8"/>
    </w:rPr>
  </w:style>
  <w:style w:type="paragraph" w:styleId="Ttulo">
    <w:name w:val="Title"/>
    <w:basedOn w:val="Normal"/>
    <w:next w:val="Normal"/>
    <w:link w:val="TtuloChar"/>
    <w:uiPriority w:val="10"/>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uiPriority w:val="29"/>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8D2EFD"/>
    <w:rPr>
      <w:i/>
      <w:iCs/>
      <w:color w:val="404040" w:themeColor="text1" w:themeTint="BF"/>
    </w:rPr>
  </w:style>
  <w:style w:type="paragraph" w:styleId="PargrafodaLista">
    <w:name w:val="List Paragraph"/>
    <w:basedOn w:val="Normal"/>
    <w:link w:val="PargrafodaListaChar"/>
    <w:uiPriority w:val="34"/>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iPriority w:val="99"/>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uiPriority w:val="99"/>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99"/>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99"/>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59"/>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iPriority w:val="35"/>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uiPriority w:val="99"/>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uiPriority w:val="99"/>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uiPriority w:val="99"/>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iPriority w:val="99"/>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uiPriority w:val="99"/>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iPriority w:val="99"/>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uiPriority w:val="99"/>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68078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fact-docx-previewheader">
    <w:name w:val="artifact-docx-preview_header"/>
    <w:basedOn w:val="Normal"/>
    <w:rsid w:val="00D252A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fact-docx-previewheading1">
    <w:name w:val="artifact-docx-preview_heading1"/>
    <w:basedOn w:val="Normal"/>
    <w:rsid w:val="00D252A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fact-docx-previewlistbullet">
    <w:name w:val="artifact-docx-preview_listbullet"/>
    <w:basedOn w:val="Normal"/>
    <w:rsid w:val="00D252A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fact-docx-previewfooter">
    <w:name w:val="artifact-docx-preview_footer"/>
    <w:basedOn w:val="Normal"/>
    <w:rsid w:val="00D252A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fact-docx-previewheading2">
    <w:name w:val="artifact-docx-preview_heading2"/>
    <w:basedOn w:val="Normal"/>
    <w:rsid w:val="00BB61C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Lista3">
    <w:name w:val="List 3"/>
    <w:basedOn w:val="Normal"/>
    <w:uiPriority w:val="99"/>
    <w:unhideWhenUsed/>
    <w:rsid w:val="002F5E9B"/>
    <w:pPr>
      <w:widowControl/>
      <w:autoSpaceDE/>
      <w:autoSpaceDN/>
      <w:spacing w:after="200" w:line="276" w:lineRule="auto"/>
      <w:ind w:left="1080" w:hanging="360"/>
      <w:contextualSpacing/>
    </w:pPr>
    <w:rPr>
      <w:rFonts w:ascii="Arial" w:eastAsia="Arial" w:hAnsi="Arial"/>
      <w:sz w:val="20"/>
      <w:lang w:val="en-US"/>
    </w:rPr>
  </w:style>
  <w:style w:type="paragraph" w:styleId="Commarcadores">
    <w:name w:val="List Bullet"/>
    <w:basedOn w:val="Normal"/>
    <w:uiPriority w:val="99"/>
    <w:unhideWhenUsed/>
    <w:rsid w:val="002F5E9B"/>
    <w:pPr>
      <w:widowControl/>
      <w:numPr>
        <w:numId w:val="8"/>
      </w:numPr>
      <w:autoSpaceDE/>
      <w:autoSpaceDN/>
      <w:spacing w:after="200" w:line="276" w:lineRule="auto"/>
      <w:contextualSpacing/>
    </w:pPr>
    <w:rPr>
      <w:rFonts w:ascii="Arial" w:eastAsia="Arial" w:hAnsi="Arial"/>
      <w:sz w:val="20"/>
      <w:lang w:val="en-US"/>
    </w:rPr>
  </w:style>
  <w:style w:type="paragraph" w:styleId="Commarcadores3">
    <w:name w:val="List Bullet 3"/>
    <w:basedOn w:val="Normal"/>
    <w:uiPriority w:val="99"/>
    <w:unhideWhenUsed/>
    <w:rsid w:val="002F5E9B"/>
    <w:pPr>
      <w:widowControl/>
      <w:numPr>
        <w:numId w:val="9"/>
      </w:numPr>
      <w:autoSpaceDE/>
      <w:autoSpaceDN/>
      <w:spacing w:after="200" w:line="276" w:lineRule="auto"/>
      <w:contextualSpacing/>
    </w:pPr>
    <w:rPr>
      <w:rFonts w:ascii="Arial" w:eastAsia="Arial" w:hAnsi="Arial"/>
      <w:sz w:val="20"/>
      <w:lang w:val="en-US"/>
    </w:rPr>
  </w:style>
  <w:style w:type="paragraph" w:styleId="Numerada">
    <w:name w:val="List Number"/>
    <w:basedOn w:val="Normal"/>
    <w:uiPriority w:val="99"/>
    <w:unhideWhenUsed/>
    <w:rsid w:val="002F5E9B"/>
    <w:pPr>
      <w:widowControl/>
      <w:numPr>
        <w:numId w:val="10"/>
      </w:numPr>
      <w:autoSpaceDE/>
      <w:autoSpaceDN/>
      <w:spacing w:after="200" w:line="276" w:lineRule="auto"/>
      <w:contextualSpacing/>
    </w:pPr>
    <w:rPr>
      <w:rFonts w:ascii="Arial" w:eastAsia="Arial" w:hAnsi="Arial"/>
      <w:sz w:val="20"/>
      <w:lang w:val="en-US"/>
    </w:rPr>
  </w:style>
  <w:style w:type="paragraph" w:styleId="Numerada2">
    <w:name w:val="List Number 2"/>
    <w:basedOn w:val="Normal"/>
    <w:uiPriority w:val="99"/>
    <w:unhideWhenUsed/>
    <w:rsid w:val="002F5E9B"/>
    <w:pPr>
      <w:widowControl/>
      <w:numPr>
        <w:numId w:val="11"/>
      </w:numPr>
      <w:autoSpaceDE/>
      <w:autoSpaceDN/>
      <w:spacing w:after="200" w:line="276" w:lineRule="auto"/>
      <w:contextualSpacing/>
    </w:pPr>
    <w:rPr>
      <w:rFonts w:ascii="Arial" w:eastAsia="Arial" w:hAnsi="Arial"/>
      <w:sz w:val="20"/>
      <w:lang w:val="en-US"/>
    </w:rPr>
  </w:style>
  <w:style w:type="paragraph" w:styleId="Numerada3">
    <w:name w:val="List Number 3"/>
    <w:basedOn w:val="Normal"/>
    <w:uiPriority w:val="99"/>
    <w:unhideWhenUsed/>
    <w:rsid w:val="002F5E9B"/>
    <w:pPr>
      <w:widowControl/>
      <w:numPr>
        <w:numId w:val="12"/>
      </w:numPr>
      <w:autoSpaceDE/>
      <w:autoSpaceDN/>
      <w:spacing w:after="200" w:line="276" w:lineRule="auto"/>
      <w:contextualSpacing/>
    </w:pPr>
    <w:rPr>
      <w:rFonts w:ascii="Arial" w:eastAsia="Arial" w:hAnsi="Arial"/>
      <w:sz w:val="20"/>
      <w:lang w:val="en-US"/>
    </w:rPr>
  </w:style>
  <w:style w:type="paragraph" w:styleId="Listadecontinuao">
    <w:name w:val="List Continue"/>
    <w:basedOn w:val="Normal"/>
    <w:uiPriority w:val="99"/>
    <w:unhideWhenUsed/>
    <w:rsid w:val="002F5E9B"/>
    <w:pPr>
      <w:widowControl/>
      <w:autoSpaceDE/>
      <w:autoSpaceDN/>
      <w:spacing w:after="120" w:line="276" w:lineRule="auto"/>
      <w:ind w:left="360"/>
      <w:contextualSpacing/>
    </w:pPr>
    <w:rPr>
      <w:rFonts w:ascii="Arial" w:eastAsia="Arial" w:hAnsi="Arial"/>
      <w:sz w:val="20"/>
      <w:lang w:val="en-US"/>
    </w:rPr>
  </w:style>
  <w:style w:type="paragraph" w:styleId="Listadecontinuao2">
    <w:name w:val="List Continue 2"/>
    <w:basedOn w:val="Normal"/>
    <w:uiPriority w:val="99"/>
    <w:unhideWhenUsed/>
    <w:rsid w:val="002F5E9B"/>
    <w:pPr>
      <w:widowControl/>
      <w:autoSpaceDE/>
      <w:autoSpaceDN/>
      <w:spacing w:after="120" w:line="276" w:lineRule="auto"/>
      <w:ind w:left="720"/>
      <w:contextualSpacing/>
    </w:pPr>
    <w:rPr>
      <w:rFonts w:ascii="Arial" w:eastAsia="Arial" w:hAnsi="Arial"/>
      <w:sz w:val="20"/>
      <w:lang w:val="en-US"/>
    </w:rPr>
  </w:style>
  <w:style w:type="paragraph" w:styleId="Listadecontinuao3">
    <w:name w:val="List Continue 3"/>
    <w:basedOn w:val="Normal"/>
    <w:uiPriority w:val="99"/>
    <w:unhideWhenUsed/>
    <w:rsid w:val="002F5E9B"/>
    <w:pPr>
      <w:widowControl/>
      <w:autoSpaceDE/>
      <w:autoSpaceDN/>
      <w:spacing w:after="120" w:line="276" w:lineRule="auto"/>
      <w:ind w:left="1080"/>
      <w:contextualSpacing/>
    </w:pPr>
    <w:rPr>
      <w:rFonts w:ascii="Arial" w:eastAsia="Arial" w:hAnsi="Arial"/>
      <w:sz w:val="20"/>
      <w:lang w:val="en-US"/>
    </w:rPr>
  </w:style>
  <w:style w:type="paragraph" w:styleId="Textodemacro">
    <w:name w:val="macro"/>
    <w:link w:val="TextodemacroChar"/>
    <w:uiPriority w:val="99"/>
    <w:unhideWhenUsed/>
    <w:rsid w:val="002F5E9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TextodemacroChar">
    <w:name w:val="Texto de macro Char"/>
    <w:basedOn w:val="Fontepargpadro"/>
    <w:link w:val="Textodemacro"/>
    <w:uiPriority w:val="99"/>
    <w:rsid w:val="002F5E9B"/>
    <w:rPr>
      <w:rFonts w:ascii="Courier" w:eastAsiaTheme="minorEastAsia" w:hAnsi="Courier"/>
      <w:kern w:val="0"/>
      <w:sz w:val="20"/>
      <w:szCs w:val="20"/>
      <w:lang w:val="en-US"/>
      <w14:ligatures w14:val="none"/>
    </w:rPr>
  </w:style>
  <w:style w:type="character" w:styleId="nfaseSutil">
    <w:name w:val="Subtle Emphasis"/>
    <w:basedOn w:val="Fontepargpadro"/>
    <w:uiPriority w:val="19"/>
    <w:qFormat/>
    <w:rsid w:val="002F5E9B"/>
    <w:rPr>
      <w:i/>
      <w:iCs/>
      <w:color w:val="808080" w:themeColor="text1" w:themeTint="7F"/>
    </w:rPr>
  </w:style>
  <w:style w:type="character" w:styleId="RefernciaSutil">
    <w:name w:val="Subtle Reference"/>
    <w:basedOn w:val="Fontepargpadro"/>
    <w:uiPriority w:val="31"/>
    <w:qFormat/>
    <w:rsid w:val="002F5E9B"/>
    <w:rPr>
      <w:smallCaps/>
      <w:color w:val="E97132" w:themeColor="accent2"/>
      <w:u w:val="single"/>
    </w:rPr>
  </w:style>
  <w:style w:type="character" w:styleId="TtulodoLivro">
    <w:name w:val="Book Title"/>
    <w:basedOn w:val="Fontepargpadro"/>
    <w:uiPriority w:val="33"/>
    <w:qFormat/>
    <w:rsid w:val="002F5E9B"/>
    <w:rPr>
      <w:b/>
      <w:bCs/>
      <w:smallCaps/>
      <w:spacing w:val="5"/>
    </w:rPr>
  </w:style>
  <w:style w:type="table" w:styleId="SombreamentoClaro">
    <w:name w:val="Light Shading"/>
    <w:basedOn w:val="Tabelanormal"/>
    <w:uiPriority w:val="60"/>
    <w:rsid w:val="002F5E9B"/>
    <w:pPr>
      <w:spacing w:after="0" w:line="240" w:lineRule="auto"/>
    </w:pPr>
    <w:rPr>
      <w:rFonts w:eastAsiaTheme="minorEastAsia"/>
      <w:color w:val="000000" w:themeColor="text1" w:themeShade="BF"/>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2F5E9B"/>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ombreamentoClaro-nfase2">
    <w:name w:val="Light Shading Accent 2"/>
    <w:basedOn w:val="Tabelanormal"/>
    <w:uiPriority w:val="60"/>
    <w:rsid w:val="002F5E9B"/>
    <w:pPr>
      <w:spacing w:after="0" w:line="240" w:lineRule="auto"/>
    </w:pPr>
    <w:rPr>
      <w:rFonts w:eastAsiaTheme="minorEastAsia"/>
      <w:color w:val="BF4E14" w:themeColor="accent2" w:themeShade="BF"/>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ombreamentoClaro-nfase3">
    <w:name w:val="Light Shading Accent 3"/>
    <w:basedOn w:val="Tabelanormal"/>
    <w:uiPriority w:val="60"/>
    <w:rsid w:val="002F5E9B"/>
    <w:pPr>
      <w:spacing w:after="0" w:line="240" w:lineRule="auto"/>
    </w:pPr>
    <w:rPr>
      <w:rFonts w:eastAsiaTheme="minorEastAsia"/>
      <w:color w:val="124F1A" w:themeColor="accent3" w:themeShade="BF"/>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ombreamentoClaro-nfase4">
    <w:name w:val="Light Shading Accent 4"/>
    <w:basedOn w:val="Tabelanormal"/>
    <w:uiPriority w:val="60"/>
    <w:rsid w:val="002F5E9B"/>
    <w:pPr>
      <w:spacing w:after="0" w:line="240" w:lineRule="auto"/>
    </w:pPr>
    <w:rPr>
      <w:rFonts w:eastAsiaTheme="minorEastAsia"/>
      <w:color w:val="0B769F" w:themeColor="accent4" w:themeShade="BF"/>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ombreamentoClaro-nfase5">
    <w:name w:val="Light Shading Accent 5"/>
    <w:basedOn w:val="Tabelanormal"/>
    <w:uiPriority w:val="60"/>
    <w:rsid w:val="002F5E9B"/>
    <w:pPr>
      <w:spacing w:after="0" w:line="240" w:lineRule="auto"/>
    </w:pPr>
    <w:rPr>
      <w:rFonts w:eastAsiaTheme="minorEastAsia"/>
      <w:color w:val="77206D" w:themeColor="accent5" w:themeShade="BF"/>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ombreamentoClaro-nfase6">
    <w:name w:val="Light Shading Accent 6"/>
    <w:basedOn w:val="Tabelanormal"/>
    <w:uiPriority w:val="60"/>
    <w:rsid w:val="002F5E9B"/>
    <w:pPr>
      <w:spacing w:after="0" w:line="240" w:lineRule="auto"/>
    </w:pPr>
    <w:rPr>
      <w:rFonts w:eastAsiaTheme="minorEastAsia"/>
      <w:color w:val="3A7C22" w:themeColor="accent6" w:themeShade="BF"/>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aClara">
    <w:name w:val="Light List"/>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staClara-nfase2">
    <w:name w:val="Light List Accent 2"/>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staClara-nfase3">
    <w:name w:val="Light List Accent 3"/>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Clara-nfase4">
    <w:name w:val="Light List Accent 4"/>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staClara-nfase5">
    <w:name w:val="Light List Accent 5"/>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staClara-nfase6">
    <w:name w:val="Light List Accent 6"/>
    <w:basedOn w:val="Tabelanormal"/>
    <w:uiPriority w:val="61"/>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GradeClara">
    <w:name w:val="Light Grid"/>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GradeClara-nfase2">
    <w:name w:val="Light Grid Accent 2"/>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GradeClara-nfase3">
    <w:name w:val="Light Grid Accent 3"/>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GradeClara-nfase4">
    <w:name w:val="Light Grid Accent 4"/>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GradeClara-nfase5">
    <w:name w:val="Light Grid Accent 5"/>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GradeClara-nfase6">
    <w:name w:val="Light Grid Accent 6"/>
    <w:basedOn w:val="Tabelanormal"/>
    <w:uiPriority w:val="62"/>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SombreamentoMdio1">
    <w:name w:val="Medium Shading 1"/>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ListaMdia1-nfase2">
    <w:name w:val="Medium List 1 Accent 2"/>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ListaMdia1-nfase3">
    <w:name w:val="Medium List 1 Accent 3"/>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ListaMdia1-nfase4">
    <w:name w:val="Medium List 1 Accent 4"/>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ListaMdia1-nfase5">
    <w:name w:val="Medium List 1 Accent 5"/>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ListaMdia1-nfase6">
    <w:name w:val="Medium List 1 Accent 6"/>
    <w:basedOn w:val="Tabelanormal"/>
    <w:uiPriority w:val="65"/>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ListaMdia2">
    <w:name w:val="Medium List 2"/>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Mdia1-nfase2">
    <w:name w:val="Medium Grid 1 Accent 2"/>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Mdia1-nfase3">
    <w:name w:val="Medium Grid 1 Accent 3"/>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Mdia1-nfase4">
    <w:name w:val="Medium Grid 1 Accent 4"/>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Mdia1-nfase5">
    <w:name w:val="Medium Grid 1 Accent 5"/>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Mdia1-nfase6">
    <w:name w:val="Medium Grid 1 Accent 6"/>
    <w:basedOn w:val="Tabelanormal"/>
    <w:uiPriority w:val="67"/>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adeMdia2">
    <w:name w:val="Medium Grid 2"/>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2F5E9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GradeMdia3-nfase2">
    <w:name w:val="Medium Grid 3 Accent 2"/>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GradeMdia3-nfase3">
    <w:name w:val="Medium Grid 3 Accent 3"/>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adeMdia3-nfase4">
    <w:name w:val="Medium Grid 3 Accent 4"/>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GradeMdia3-nfase5">
    <w:name w:val="Medium Grid 3 Accent 5"/>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GradeMdia3-nfase6">
    <w:name w:val="Medium Grid 3 Accent 6"/>
    <w:basedOn w:val="Tabelanormal"/>
    <w:uiPriority w:val="69"/>
    <w:rsid w:val="002F5E9B"/>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ListaEscura">
    <w:name w:val="Dark List"/>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ListaEscura-nfase2">
    <w:name w:val="Dark List Accent 2"/>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ListaEscura-nfase3">
    <w:name w:val="Dark List Accent 3"/>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ListaEscura-nfase4">
    <w:name w:val="Dark List Accent 4"/>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ListaEscura-nfase5">
    <w:name w:val="Dark List Accent 5"/>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ListaEscura-nfase6">
    <w:name w:val="Dark List Accent 6"/>
    <w:basedOn w:val="Tabelanormal"/>
    <w:uiPriority w:val="70"/>
    <w:rsid w:val="002F5E9B"/>
    <w:pPr>
      <w:spacing w:after="0" w:line="240" w:lineRule="auto"/>
    </w:pPr>
    <w:rPr>
      <w:rFonts w:eastAsiaTheme="minorEastAsia"/>
      <w:color w:val="FFFFFF" w:themeColor="background1"/>
      <w:kern w:val="0"/>
      <w:sz w:val="22"/>
      <w:szCs w:val="22"/>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SombreamentoColorido">
    <w:name w:val="Colorful Shading"/>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SombreamentoColorido-nfase4">
    <w:name w:val="Colorful Shading Accent 4"/>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ListaColorida-nfase2">
    <w:name w:val="Colorful List Accent 2"/>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ListaColorida-nfase3">
    <w:name w:val="Colorful List Accent 3"/>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ListaColorida-nfase4">
    <w:name w:val="Colorful List Accent 4"/>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ListaColorida-nfase5">
    <w:name w:val="Colorful List Accent 5"/>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ListaColorida-nfase6">
    <w:name w:val="Colorful List Accent 6"/>
    <w:basedOn w:val="Tabelanormal"/>
    <w:uiPriority w:val="72"/>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GradeColorida">
    <w:name w:val="Colorful Grid"/>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Colorida-nfase2">
    <w:name w:val="Colorful Grid Accent 2"/>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Colorida-nfase3">
    <w:name w:val="Colorful Grid Accent 3"/>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Colorida-nfase4">
    <w:name w:val="Colorful Grid Accent 4"/>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Colorida-nfase5">
    <w:name w:val="Colorful Grid Accent 5"/>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Colorida-nfase6">
    <w:name w:val="Colorful Grid Accent 6"/>
    <w:basedOn w:val="Tabelanormal"/>
    <w:uiPriority w:val="73"/>
    <w:rsid w:val="002F5E9B"/>
    <w:pPr>
      <w:spacing w:after="0" w:line="240" w:lineRule="auto"/>
    </w:pPr>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45055197">
      <w:bodyDiv w:val="1"/>
      <w:marLeft w:val="0"/>
      <w:marRight w:val="0"/>
      <w:marTop w:val="0"/>
      <w:marBottom w:val="0"/>
      <w:divBdr>
        <w:top w:val="none" w:sz="0" w:space="0" w:color="auto"/>
        <w:left w:val="none" w:sz="0" w:space="0" w:color="auto"/>
        <w:bottom w:val="none" w:sz="0" w:space="0" w:color="auto"/>
        <w:right w:val="none" w:sz="0" w:space="0" w:color="auto"/>
      </w:divBdr>
    </w:div>
    <w:div w:id="147140351">
      <w:bodyDiv w:val="1"/>
      <w:marLeft w:val="0"/>
      <w:marRight w:val="0"/>
      <w:marTop w:val="0"/>
      <w:marBottom w:val="0"/>
      <w:divBdr>
        <w:top w:val="none" w:sz="0" w:space="0" w:color="auto"/>
        <w:left w:val="none" w:sz="0" w:space="0" w:color="auto"/>
        <w:bottom w:val="none" w:sz="0" w:space="0" w:color="auto"/>
        <w:right w:val="none" w:sz="0" w:space="0" w:color="auto"/>
      </w:divBdr>
      <w:divsChild>
        <w:div w:id="1226572358">
          <w:marLeft w:val="0"/>
          <w:marRight w:val="0"/>
          <w:marTop w:val="0"/>
          <w:marBottom w:val="0"/>
          <w:divBdr>
            <w:top w:val="none" w:sz="0" w:space="0" w:color="auto"/>
            <w:left w:val="none" w:sz="0" w:space="0" w:color="auto"/>
            <w:bottom w:val="none" w:sz="0" w:space="0" w:color="auto"/>
            <w:right w:val="none" w:sz="0" w:space="0" w:color="auto"/>
          </w:divBdr>
        </w:div>
        <w:div w:id="1604461504">
          <w:marLeft w:val="0"/>
          <w:marRight w:val="0"/>
          <w:marTop w:val="0"/>
          <w:marBottom w:val="0"/>
          <w:divBdr>
            <w:top w:val="none" w:sz="0" w:space="0" w:color="auto"/>
            <w:left w:val="none" w:sz="0" w:space="0" w:color="auto"/>
            <w:bottom w:val="none" w:sz="0" w:space="0" w:color="auto"/>
            <w:right w:val="none" w:sz="0" w:space="0" w:color="auto"/>
          </w:divBdr>
        </w:div>
      </w:divsChild>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164589338">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232665869">
      <w:bodyDiv w:val="1"/>
      <w:marLeft w:val="0"/>
      <w:marRight w:val="0"/>
      <w:marTop w:val="0"/>
      <w:marBottom w:val="0"/>
      <w:divBdr>
        <w:top w:val="none" w:sz="0" w:space="0" w:color="auto"/>
        <w:left w:val="none" w:sz="0" w:space="0" w:color="auto"/>
        <w:bottom w:val="none" w:sz="0" w:space="0" w:color="auto"/>
        <w:right w:val="none" w:sz="0" w:space="0" w:color="auto"/>
      </w:divBdr>
    </w:div>
    <w:div w:id="333185690">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428357189">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679503471">
      <w:bodyDiv w:val="1"/>
      <w:marLeft w:val="0"/>
      <w:marRight w:val="0"/>
      <w:marTop w:val="0"/>
      <w:marBottom w:val="0"/>
      <w:divBdr>
        <w:top w:val="none" w:sz="0" w:space="0" w:color="auto"/>
        <w:left w:val="none" w:sz="0" w:space="0" w:color="auto"/>
        <w:bottom w:val="none" w:sz="0" w:space="0" w:color="auto"/>
        <w:right w:val="none" w:sz="0" w:space="0" w:color="auto"/>
      </w:divBdr>
    </w:div>
    <w:div w:id="706569130">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55857656">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99499914">
      <w:bodyDiv w:val="1"/>
      <w:marLeft w:val="0"/>
      <w:marRight w:val="0"/>
      <w:marTop w:val="0"/>
      <w:marBottom w:val="0"/>
      <w:divBdr>
        <w:top w:val="none" w:sz="0" w:space="0" w:color="auto"/>
        <w:left w:val="none" w:sz="0" w:space="0" w:color="auto"/>
        <w:bottom w:val="none" w:sz="0" w:space="0" w:color="auto"/>
        <w:right w:val="none" w:sz="0" w:space="0" w:color="auto"/>
      </w:divBdr>
    </w:div>
    <w:div w:id="1021710015">
      <w:bodyDiv w:val="1"/>
      <w:marLeft w:val="0"/>
      <w:marRight w:val="0"/>
      <w:marTop w:val="0"/>
      <w:marBottom w:val="0"/>
      <w:divBdr>
        <w:top w:val="none" w:sz="0" w:space="0" w:color="auto"/>
        <w:left w:val="none" w:sz="0" w:space="0" w:color="auto"/>
        <w:bottom w:val="none" w:sz="0" w:space="0" w:color="auto"/>
        <w:right w:val="none" w:sz="0" w:space="0" w:color="auto"/>
      </w:divBdr>
      <w:divsChild>
        <w:div w:id="1866096628">
          <w:marLeft w:val="0"/>
          <w:marRight w:val="0"/>
          <w:marTop w:val="0"/>
          <w:marBottom w:val="0"/>
          <w:divBdr>
            <w:top w:val="none" w:sz="0" w:space="0" w:color="auto"/>
            <w:left w:val="none" w:sz="0" w:space="0" w:color="auto"/>
            <w:bottom w:val="none" w:sz="0" w:space="0" w:color="auto"/>
            <w:right w:val="none" w:sz="0" w:space="0" w:color="auto"/>
          </w:divBdr>
          <w:divsChild>
            <w:div w:id="67596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53390876">
      <w:bodyDiv w:val="1"/>
      <w:marLeft w:val="0"/>
      <w:marRight w:val="0"/>
      <w:marTop w:val="0"/>
      <w:marBottom w:val="0"/>
      <w:divBdr>
        <w:top w:val="none" w:sz="0" w:space="0" w:color="auto"/>
        <w:left w:val="none" w:sz="0" w:space="0" w:color="auto"/>
        <w:bottom w:val="none" w:sz="0" w:space="0" w:color="auto"/>
        <w:right w:val="none" w:sz="0" w:space="0" w:color="auto"/>
      </w:divBdr>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142771884">
      <w:bodyDiv w:val="1"/>
      <w:marLeft w:val="0"/>
      <w:marRight w:val="0"/>
      <w:marTop w:val="0"/>
      <w:marBottom w:val="0"/>
      <w:divBdr>
        <w:top w:val="none" w:sz="0" w:space="0" w:color="auto"/>
        <w:left w:val="none" w:sz="0" w:space="0" w:color="auto"/>
        <w:bottom w:val="none" w:sz="0" w:space="0" w:color="auto"/>
        <w:right w:val="none" w:sz="0" w:space="0" w:color="auto"/>
      </w:divBdr>
    </w:div>
    <w:div w:id="1300262460">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07651354">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945990896">
      <w:bodyDiv w:val="1"/>
      <w:marLeft w:val="0"/>
      <w:marRight w:val="0"/>
      <w:marTop w:val="0"/>
      <w:marBottom w:val="0"/>
      <w:divBdr>
        <w:top w:val="none" w:sz="0" w:space="0" w:color="auto"/>
        <w:left w:val="none" w:sz="0" w:space="0" w:color="auto"/>
        <w:bottom w:val="none" w:sz="0" w:space="0" w:color="auto"/>
        <w:right w:val="none" w:sz="0" w:space="0" w:color="auto"/>
      </w:divBdr>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21081732">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711BF-8E91-4D5B-B444-F1D7753A5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54</Pages>
  <Words>20927</Words>
  <Characters>113006</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313</cp:revision>
  <dcterms:created xsi:type="dcterms:W3CDTF">2025-05-05T17:54:00Z</dcterms:created>
  <dcterms:modified xsi:type="dcterms:W3CDTF">2026-10-23T13:52:00Z</dcterms:modified>
</cp:coreProperties>
</file>