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CFA837" w14:textId="77777777" w:rsidR="002B5BFA" w:rsidRPr="00C65DF7" w:rsidRDefault="002B5BFA" w:rsidP="00C65DF7">
      <w:pPr>
        <w:spacing w:line="360" w:lineRule="auto"/>
        <w:jc w:val="center"/>
        <w:rPr>
          <w:rFonts w:ascii="Verdana" w:hAnsi="Verdana" w:cs="Arial"/>
          <w:b/>
          <w:i/>
          <w:sz w:val="20"/>
          <w:szCs w:val="20"/>
        </w:rPr>
      </w:pPr>
      <w:r w:rsidRPr="00C65DF7">
        <w:rPr>
          <w:rFonts w:ascii="Verdana" w:hAnsi="Verdana" w:cs="Arial"/>
          <w:b/>
          <w:i/>
          <w:sz w:val="20"/>
          <w:szCs w:val="20"/>
        </w:rPr>
        <w:t>PREFEITURA MUNICIPAL DE CORRENTINA</w:t>
      </w:r>
    </w:p>
    <w:p w14:paraId="2F752B96" w14:textId="62054118" w:rsidR="002B5BFA" w:rsidRPr="00C65DF7" w:rsidRDefault="002B5BFA" w:rsidP="00C65DF7">
      <w:pPr>
        <w:spacing w:line="360" w:lineRule="auto"/>
        <w:jc w:val="center"/>
        <w:rPr>
          <w:rFonts w:ascii="Verdana" w:hAnsi="Verdana" w:cs="Arial"/>
          <w:b/>
          <w:sz w:val="20"/>
          <w:szCs w:val="20"/>
        </w:rPr>
      </w:pPr>
      <w:r w:rsidRPr="00C65DF7">
        <w:rPr>
          <w:rFonts w:ascii="Verdana" w:hAnsi="Verdana" w:cs="Arial"/>
          <w:b/>
          <w:sz w:val="20"/>
          <w:szCs w:val="20"/>
        </w:rPr>
        <w:t>PREGÃO ELETRÔNICO Nº 0</w:t>
      </w:r>
      <w:r w:rsidR="009465AB">
        <w:rPr>
          <w:rFonts w:ascii="Verdana" w:hAnsi="Verdana" w:cs="Arial"/>
          <w:b/>
          <w:sz w:val="20"/>
          <w:szCs w:val="20"/>
        </w:rPr>
        <w:t>06</w:t>
      </w:r>
      <w:r w:rsidRPr="00C65DF7">
        <w:rPr>
          <w:rFonts w:ascii="Verdana" w:hAnsi="Verdana" w:cs="Arial"/>
          <w:b/>
          <w:sz w:val="20"/>
          <w:szCs w:val="20"/>
        </w:rPr>
        <w:t>/202</w:t>
      </w:r>
      <w:r w:rsidR="009465AB">
        <w:rPr>
          <w:rFonts w:ascii="Verdana" w:hAnsi="Verdana" w:cs="Arial"/>
          <w:b/>
          <w:sz w:val="20"/>
          <w:szCs w:val="20"/>
        </w:rPr>
        <w:t>6</w:t>
      </w:r>
      <w:r w:rsidRPr="00C65DF7">
        <w:rPr>
          <w:rFonts w:ascii="Verdana" w:hAnsi="Verdana" w:cs="Arial"/>
          <w:b/>
          <w:sz w:val="20"/>
          <w:szCs w:val="20"/>
        </w:rPr>
        <w:t>.</w:t>
      </w:r>
    </w:p>
    <w:p w14:paraId="3D15D8A8" w14:textId="336E8716" w:rsidR="002B5BFA" w:rsidRPr="00C65DF7" w:rsidRDefault="002B5BFA" w:rsidP="00C65DF7">
      <w:pPr>
        <w:spacing w:line="360" w:lineRule="auto"/>
        <w:jc w:val="center"/>
        <w:rPr>
          <w:rFonts w:ascii="Verdana" w:hAnsi="Verdana" w:cs="Arial"/>
          <w:b/>
          <w:sz w:val="20"/>
          <w:szCs w:val="20"/>
        </w:rPr>
      </w:pPr>
      <w:r w:rsidRPr="00C65DF7">
        <w:rPr>
          <w:rFonts w:ascii="Verdana" w:hAnsi="Verdana" w:cs="Arial"/>
          <w:b/>
          <w:sz w:val="20"/>
          <w:szCs w:val="20"/>
        </w:rPr>
        <w:t xml:space="preserve">(Processo Administrativo n° </w:t>
      </w:r>
      <w:r w:rsidR="009137AD">
        <w:rPr>
          <w:rFonts w:ascii="Verdana" w:hAnsi="Verdana" w:cs="Arial"/>
          <w:b/>
          <w:sz w:val="20"/>
          <w:szCs w:val="20"/>
        </w:rPr>
        <w:t>043</w:t>
      </w:r>
      <w:r w:rsidR="00EA0BDF">
        <w:rPr>
          <w:rFonts w:ascii="Verdana" w:hAnsi="Verdana" w:cs="Arial"/>
          <w:b/>
          <w:sz w:val="20"/>
          <w:szCs w:val="20"/>
        </w:rPr>
        <w:t>/202</w:t>
      </w:r>
      <w:r w:rsidR="009465AB">
        <w:rPr>
          <w:rFonts w:ascii="Verdana" w:hAnsi="Verdana" w:cs="Arial"/>
          <w:b/>
          <w:sz w:val="20"/>
          <w:szCs w:val="20"/>
        </w:rPr>
        <w:t>6</w:t>
      </w:r>
      <w:r w:rsidRPr="00C65DF7">
        <w:rPr>
          <w:rFonts w:ascii="Verdana" w:hAnsi="Verdana" w:cs="Arial"/>
          <w:b/>
          <w:sz w:val="20"/>
          <w:szCs w:val="20"/>
        </w:rPr>
        <w:t>)</w:t>
      </w:r>
    </w:p>
    <w:p w14:paraId="0A258398" w14:textId="77777777" w:rsidR="002B5BFA" w:rsidRPr="00C65DF7" w:rsidRDefault="002B5BFA" w:rsidP="00C65DF7">
      <w:pPr>
        <w:spacing w:line="360" w:lineRule="auto"/>
        <w:jc w:val="center"/>
        <w:rPr>
          <w:rFonts w:ascii="Verdana" w:hAnsi="Verdana" w:cs="Arial"/>
          <w:b/>
          <w:sz w:val="20"/>
          <w:szCs w:val="20"/>
        </w:rPr>
      </w:pPr>
    </w:p>
    <w:p w14:paraId="5C361A89" w14:textId="5F7EA331"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Torna-se público que o (a) Prefeitura Municipal de Correntina, por meio de </w:t>
      </w:r>
      <w:r w:rsidRPr="00C65DF7">
        <w:rPr>
          <w:rFonts w:ascii="Verdana" w:hAnsi="Verdana" w:cstheme="minorHAnsi"/>
          <w:bCs/>
          <w:sz w:val="20"/>
          <w:szCs w:val="20"/>
        </w:rPr>
        <w:t>Walter Mariano Messias de Souza</w:t>
      </w:r>
      <w:r w:rsidR="00FB567D">
        <w:rPr>
          <w:rFonts w:ascii="Verdana" w:hAnsi="Verdana" w:cstheme="minorHAnsi"/>
          <w:bCs/>
          <w:sz w:val="20"/>
          <w:szCs w:val="20"/>
        </w:rPr>
        <w:t xml:space="preserve"> prefeito municipal</w:t>
      </w:r>
      <w:r w:rsidRPr="00C65DF7">
        <w:rPr>
          <w:rFonts w:ascii="Verdana" w:hAnsi="Verdana" w:cs="Arial"/>
          <w:bCs/>
          <w:sz w:val="20"/>
          <w:szCs w:val="20"/>
        </w:rPr>
        <w:t xml:space="preserve">, realizará licitação, para registro de preços, na modalidade </w:t>
      </w:r>
      <w:r w:rsidRPr="00C65DF7">
        <w:rPr>
          <w:rFonts w:ascii="Verdana" w:hAnsi="Verdana" w:cs="Arial"/>
          <w:b/>
          <w:sz w:val="20"/>
          <w:szCs w:val="20"/>
        </w:rPr>
        <w:t>pregão</w:t>
      </w:r>
      <w:r w:rsidRPr="00C65DF7">
        <w:rPr>
          <w:rFonts w:ascii="Verdana" w:hAnsi="Verdana" w:cs="Arial"/>
          <w:bCs/>
          <w:sz w:val="20"/>
          <w:szCs w:val="20"/>
        </w:rPr>
        <w:t xml:space="preserve">, na forma </w:t>
      </w:r>
      <w:r w:rsidRPr="00C65DF7">
        <w:rPr>
          <w:rFonts w:ascii="Verdana" w:hAnsi="Verdana" w:cs="Arial"/>
          <w:b/>
          <w:sz w:val="20"/>
          <w:szCs w:val="20"/>
        </w:rPr>
        <w:t>eletrônica</w:t>
      </w:r>
      <w:r w:rsidRPr="00C65DF7">
        <w:rPr>
          <w:rFonts w:ascii="Verdana" w:hAnsi="Verdana" w:cs="Arial"/>
          <w:bCs/>
          <w:sz w:val="20"/>
          <w:szCs w:val="20"/>
        </w:rPr>
        <w:t>, nos termos da Lei nº</w:t>
      </w:r>
      <w:r w:rsidR="00C65DF7" w:rsidRPr="00C65DF7">
        <w:rPr>
          <w:rFonts w:ascii="Verdana" w:hAnsi="Verdana" w:cs="Arial"/>
          <w:bCs/>
          <w:sz w:val="20"/>
          <w:szCs w:val="20"/>
        </w:rPr>
        <w:t xml:space="preserve"> 14.133, de 1º de abril de 2021</w:t>
      </w:r>
      <w:r w:rsidRPr="00C65DF7">
        <w:rPr>
          <w:rFonts w:ascii="Verdana" w:hAnsi="Verdana" w:cs="Arial"/>
          <w:sz w:val="20"/>
          <w:szCs w:val="20"/>
        </w:rPr>
        <w:t xml:space="preserve"> </w:t>
      </w:r>
      <w:r w:rsidRPr="00C65DF7">
        <w:rPr>
          <w:rFonts w:ascii="Verdana" w:hAnsi="Verdana" w:cs="Arial"/>
          <w:bCs/>
          <w:sz w:val="20"/>
          <w:szCs w:val="20"/>
        </w:rPr>
        <w:t xml:space="preserve">e demais normas aplicáveis e, ainda, de acordo com as condições estabelecidas neste Edital. </w:t>
      </w:r>
    </w:p>
    <w:p w14:paraId="22A4DC14" w14:textId="77777777" w:rsidR="002B5BFA" w:rsidRPr="00C65DF7" w:rsidRDefault="002B5BFA" w:rsidP="00C65DF7">
      <w:pPr>
        <w:spacing w:line="360" w:lineRule="auto"/>
        <w:rPr>
          <w:rFonts w:ascii="Verdana" w:hAnsi="Verdana" w:cs="Arial"/>
          <w:b/>
          <w:sz w:val="20"/>
          <w:szCs w:val="20"/>
        </w:rPr>
      </w:pPr>
    </w:p>
    <w:p w14:paraId="299BAABB" w14:textId="3C487002" w:rsidR="002B5BFA" w:rsidRPr="00C65DF7" w:rsidRDefault="002B5BFA" w:rsidP="00C65DF7">
      <w:pPr>
        <w:spacing w:line="360" w:lineRule="auto"/>
        <w:rPr>
          <w:rFonts w:ascii="Verdana" w:hAnsi="Verdana" w:cs="Arial"/>
          <w:b/>
          <w:i/>
          <w:iCs/>
          <w:sz w:val="20"/>
          <w:szCs w:val="20"/>
        </w:rPr>
      </w:pPr>
      <w:r w:rsidRPr="00C65DF7">
        <w:rPr>
          <w:rFonts w:ascii="Verdana" w:hAnsi="Verdana" w:cs="Arial"/>
          <w:b/>
          <w:sz w:val="20"/>
          <w:szCs w:val="20"/>
        </w:rPr>
        <w:t>PREGÃO ELETRÔNICO Nº</w:t>
      </w:r>
      <w:r w:rsidRPr="00C65DF7">
        <w:rPr>
          <w:rFonts w:ascii="Verdana" w:hAnsi="Verdana" w:cs="Arial"/>
          <w:b/>
          <w:i/>
          <w:iCs/>
          <w:sz w:val="20"/>
          <w:szCs w:val="20"/>
        </w:rPr>
        <w:t xml:space="preserve"> </w:t>
      </w:r>
      <w:r w:rsidR="00EA0BDF">
        <w:rPr>
          <w:rFonts w:ascii="Verdana" w:hAnsi="Verdana" w:cs="Arial"/>
          <w:b/>
          <w:i/>
          <w:iCs/>
          <w:sz w:val="20"/>
          <w:szCs w:val="20"/>
        </w:rPr>
        <w:t>0</w:t>
      </w:r>
      <w:r w:rsidR="009465AB">
        <w:rPr>
          <w:rFonts w:ascii="Verdana" w:hAnsi="Verdana" w:cs="Arial"/>
          <w:b/>
          <w:i/>
          <w:iCs/>
          <w:sz w:val="20"/>
          <w:szCs w:val="20"/>
        </w:rPr>
        <w:t>06</w:t>
      </w:r>
      <w:r w:rsidR="00EA0BDF">
        <w:rPr>
          <w:rFonts w:ascii="Verdana" w:hAnsi="Verdana" w:cs="Arial"/>
          <w:b/>
          <w:i/>
          <w:iCs/>
          <w:sz w:val="20"/>
          <w:szCs w:val="20"/>
        </w:rPr>
        <w:t>/202</w:t>
      </w:r>
      <w:r w:rsidR="009465AB">
        <w:rPr>
          <w:rFonts w:ascii="Verdana" w:hAnsi="Verdana" w:cs="Arial"/>
          <w:b/>
          <w:i/>
          <w:iCs/>
          <w:sz w:val="20"/>
          <w:szCs w:val="20"/>
        </w:rPr>
        <w:t>6</w:t>
      </w:r>
    </w:p>
    <w:p w14:paraId="04D762FE" w14:textId="77777777" w:rsidR="00C65DF7" w:rsidRPr="00C65DF7" w:rsidRDefault="00C65DF7" w:rsidP="00C65DF7">
      <w:pPr>
        <w:spacing w:line="360" w:lineRule="auto"/>
        <w:rPr>
          <w:rFonts w:ascii="Verdana" w:hAnsi="Verdana" w:cs="Arial"/>
          <w:b/>
          <w:sz w:val="20"/>
          <w:szCs w:val="20"/>
        </w:rPr>
      </w:pPr>
    </w:p>
    <w:p w14:paraId="53F19C01" w14:textId="600CA2F8" w:rsidR="002B5BFA" w:rsidRPr="00C65DF7" w:rsidRDefault="002B5BFA" w:rsidP="00C65DF7">
      <w:pPr>
        <w:spacing w:line="360" w:lineRule="auto"/>
        <w:rPr>
          <w:rFonts w:ascii="Verdana" w:hAnsi="Verdana" w:cs="Arial"/>
          <w:bCs/>
          <w:sz w:val="20"/>
          <w:szCs w:val="20"/>
        </w:rPr>
      </w:pPr>
      <w:r w:rsidRPr="00C65DF7">
        <w:rPr>
          <w:rFonts w:ascii="Verdana" w:hAnsi="Verdana" w:cs="Arial"/>
          <w:b/>
          <w:sz w:val="20"/>
          <w:szCs w:val="20"/>
        </w:rPr>
        <w:t>Data da sessão pública:</w:t>
      </w:r>
      <w:r w:rsidRPr="00C65DF7">
        <w:rPr>
          <w:rFonts w:ascii="Verdana" w:hAnsi="Verdana" w:cs="Arial"/>
          <w:b/>
          <w:bCs/>
          <w:sz w:val="20"/>
          <w:szCs w:val="20"/>
        </w:rPr>
        <w:t xml:space="preserve"> </w:t>
      </w:r>
      <w:r w:rsidR="009137AD">
        <w:rPr>
          <w:rFonts w:ascii="Verdana" w:hAnsi="Verdana" w:cs="Arial"/>
          <w:b/>
          <w:bCs/>
          <w:sz w:val="20"/>
          <w:szCs w:val="20"/>
        </w:rPr>
        <w:t>13/03</w:t>
      </w:r>
      <w:r w:rsidR="00402F12">
        <w:rPr>
          <w:rFonts w:ascii="Verdana" w:hAnsi="Verdana" w:cs="Arial"/>
          <w:b/>
          <w:bCs/>
          <w:sz w:val="20"/>
          <w:szCs w:val="20"/>
        </w:rPr>
        <w:t>/202</w:t>
      </w:r>
      <w:r w:rsidR="009465AB">
        <w:rPr>
          <w:rFonts w:ascii="Verdana" w:hAnsi="Verdana" w:cs="Arial"/>
          <w:b/>
          <w:bCs/>
          <w:sz w:val="20"/>
          <w:szCs w:val="20"/>
        </w:rPr>
        <w:t>6</w:t>
      </w:r>
      <w:r w:rsidRPr="00C65DF7">
        <w:rPr>
          <w:rFonts w:ascii="Verdana" w:hAnsi="Verdana" w:cs="Arial"/>
          <w:b/>
          <w:i/>
          <w:iCs/>
          <w:sz w:val="20"/>
          <w:szCs w:val="20"/>
        </w:rPr>
        <w:t>.</w:t>
      </w:r>
      <w:r w:rsidRPr="00C65DF7">
        <w:rPr>
          <w:rFonts w:ascii="Verdana" w:hAnsi="Verdana" w:cs="Arial"/>
          <w:bCs/>
          <w:sz w:val="20"/>
          <w:szCs w:val="20"/>
        </w:rPr>
        <w:t xml:space="preserve"> </w:t>
      </w:r>
    </w:p>
    <w:p w14:paraId="55FD5F79" w14:textId="77777777" w:rsidR="00C65DF7" w:rsidRPr="00C65DF7" w:rsidRDefault="00C65DF7" w:rsidP="00C65DF7">
      <w:pPr>
        <w:spacing w:line="360" w:lineRule="auto"/>
        <w:rPr>
          <w:rFonts w:ascii="Verdana" w:hAnsi="Verdana" w:cs="Arial"/>
          <w:bCs/>
          <w:sz w:val="20"/>
          <w:szCs w:val="20"/>
        </w:rPr>
      </w:pPr>
    </w:p>
    <w:p w14:paraId="74447D72" w14:textId="658EFDA0" w:rsidR="00C65DF7" w:rsidRPr="00C65DF7" w:rsidRDefault="002B5BFA" w:rsidP="00C65DF7">
      <w:pPr>
        <w:spacing w:line="360" w:lineRule="auto"/>
        <w:rPr>
          <w:rFonts w:ascii="Verdana" w:hAnsi="Verdana" w:cs="Arial"/>
          <w:b/>
          <w:bCs/>
          <w:sz w:val="20"/>
          <w:szCs w:val="20"/>
        </w:rPr>
      </w:pPr>
      <w:r w:rsidRPr="00C65DF7">
        <w:rPr>
          <w:rFonts w:ascii="Verdana" w:hAnsi="Verdana" w:cs="Arial"/>
          <w:b/>
          <w:sz w:val="20"/>
          <w:szCs w:val="20"/>
        </w:rPr>
        <w:t>Horário da sessão pública:</w:t>
      </w:r>
      <w:r w:rsidRPr="00C65DF7">
        <w:rPr>
          <w:rFonts w:ascii="Verdana" w:hAnsi="Verdana" w:cs="Arial"/>
          <w:b/>
          <w:bCs/>
          <w:sz w:val="20"/>
          <w:szCs w:val="20"/>
        </w:rPr>
        <w:t xml:space="preserve"> de </w:t>
      </w:r>
      <w:r w:rsidR="009D1351">
        <w:rPr>
          <w:rFonts w:ascii="Verdana" w:hAnsi="Verdana" w:cs="Arial"/>
          <w:b/>
          <w:bCs/>
          <w:sz w:val="20"/>
          <w:szCs w:val="20"/>
        </w:rPr>
        <w:t>0</w:t>
      </w:r>
      <w:r w:rsidR="008D7EEA">
        <w:rPr>
          <w:rFonts w:ascii="Verdana" w:hAnsi="Verdana" w:cs="Arial"/>
          <w:b/>
          <w:bCs/>
          <w:sz w:val="20"/>
          <w:szCs w:val="20"/>
        </w:rPr>
        <w:t>9</w:t>
      </w:r>
      <w:r w:rsidRPr="00C65DF7">
        <w:rPr>
          <w:rFonts w:ascii="Verdana" w:hAnsi="Verdana" w:cs="Arial"/>
          <w:b/>
          <w:bCs/>
          <w:sz w:val="20"/>
          <w:szCs w:val="20"/>
        </w:rPr>
        <w:t>:</w:t>
      </w:r>
      <w:r w:rsidR="008D7EEA">
        <w:rPr>
          <w:rFonts w:ascii="Verdana" w:hAnsi="Verdana" w:cs="Arial"/>
          <w:b/>
          <w:bCs/>
          <w:sz w:val="20"/>
          <w:szCs w:val="20"/>
        </w:rPr>
        <w:t>0</w:t>
      </w:r>
      <w:r w:rsidRPr="00C65DF7">
        <w:rPr>
          <w:rFonts w:ascii="Verdana" w:hAnsi="Verdana" w:cs="Arial"/>
          <w:b/>
          <w:bCs/>
          <w:sz w:val="20"/>
          <w:szCs w:val="20"/>
        </w:rPr>
        <w:t>0</w:t>
      </w:r>
    </w:p>
    <w:p w14:paraId="76FAA48E" w14:textId="06D9AE67" w:rsidR="002B5BFA" w:rsidRPr="00C65DF7" w:rsidRDefault="002B5BFA" w:rsidP="00C65DF7">
      <w:pPr>
        <w:spacing w:line="360" w:lineRule="auto"/>
        <w:rPr>
          <w:rFonts w:ascii="Verdana" w:hAnsi="Verdana" w:cs="Arial"/>
          <w:bCs/>
          <w:sz w:val="20"/>
          <w:szCs w:val="20"/>
        </w:rPr>
      </w:pPr>
    </w:p>
    <w:p w14:paraId="0887E5C2" w14:textId="4EC7F69E" w:rsidR="002B5BFA" w:rsidRPr="00C65DF7" w:rsidRDefault="002B5BFA" w:rsidP="00C65DF7">
      <w:pPr>
        <w:spacing w:line="360" w:lineRule="auto"/>
        <w:rPr>
          <w:rFonts w:ascii="Verdana" w:hAnsi="Verdana" w:cs="Arial"/>
          <w:b/>
          <w:bCs/>
          <w:i/>
          <w:sz w:val="20"/>
          <w:szCs w:val="20"/>
        </w:rPr>
      </w:pPr>
      <w:r w:rsidRPr="00C65DF7">
        <w:rPr>
          <w:rFonts w:ascii="Verdana" w:hAnsi="Verdana" w:cs="Arial"/>
          <w:b/>
          <w:sz w:val="20"/>
          <w:szCs w:val="20"/>
        </w:rPr>
        <w:t xml:space="preserve">Objeto: </w:t>
      </w:r>
      <w:r w:rsidR="00EA0BDF" w:rsidRPr="00C65DF7">
        <w:rPr>
          <w:rFonts w:ascii="Verdana" w:hAnsi="Verdana" w:cs="Arial"/>
          <w:b/>
          <w:sz w:val="20"/>
          <w:szCs w:val="20"/>
        </w:rPr>
        <w:t xml:space="preserve">REGISTRO DE PREÇOS </w:t>
      </w:r>
      <w:r w:rsidR="00EA0BDF">
        <w:rPr>
          <w:rFonts w:ascii="Verdana" w:hAnsi="Verdana" w:cs="Arial"/>
          <w:b/>
          <w:sz w:val="20"/>
          <w:szCs w:val="20"/>
        </w:rPr>
        <w:t>PARA AQUISIÇÃO DE CESTA BASICA PARA ATENDER A NESCESSIDA DA SECRETARIA DE DESENVOLVIMENTO SOCIAL E CIDADANIA E DEMAIS SECRETARIA DO MUNICIPIO DE CORRENTINA</w:t>
      </w:r>
      <w:r w:rsidR="00EA0BDF" w:rsidRPr="00C65DF7">
        <w:rPr>
          <w:rFonts w:ascii="Verdana" w:hAnsi="Verdana" w:cs="Calibri"/>
          <w:b/>
          <w:sz w:val="20"/>
          <w:szCs w:val="20"/>
        </w:rPr>
        <w:t xml:space="preserve"> - BA</w:t>
      </w:r>
      <w:r w:rsidRPr="00C65DF7">
        <w:rPr>
          <w:rFonts w:ascii="Verdana" w:hAnsi="Verdana" w:cs="Arial"/>
          <w:b/>
          <w:bCs/>
          <w:i/>
          <w:sz w:val="20"/>
          <w:szCs w:val="20"/>
        </w:rPr>
        <w:t xml:space="preserve"> </w:t>
      </w:r>
    </w:p>
    <w:p w14:paraId="06794505" w14:textId="77777777" w:rsidR="00C65DF7" w:rsidRPr="00C65DF7" w:rsidRDefault="00C65DF7" w:rsidP="00C65DF7">
      <w:pPr>
        <w:spacing w:line="360" w:lineRule="auto"/>
        <w:rPr>
          <w:rFonts w:ascii="Verdana" w:hAnsi="Verdana" w:cs="Arial"/>
          <w:bCs/>
          <w:sz w:val="20"/>
          <w:szCs w:val="20"/>
        </w:rPr>
      </w:pPr>
    </w:p>
    <w:p w14:paraId="6085F4DA" w14:textId="6CA39F6F" w:rsidR="002B5BFA" w:rsidRPr="00C65DF7" w:rsidRDefault="002B5BFA" w:rsidP="00C65DF7">
      <w:pPr>
        <w:spacing w:line="360" w:lineRule="auto"/>
        <w:rPr>
          <w:rFonts w:ascii="Verdana" w:hAnsi="Verdana" w:cs="Arial"/>
          <w:bCs/>
          <w:sz w:val="20"/>
          <w:szCs w:val="20"/>
        </w:rPr>
      </w:pPr>
      <w:r w:rsidRPr="00C65DF7">
        <w:rPr>
          <w:rFonts w:ascii="Verdana" w:hAnsi="Verdana" w:cs="Arial"/>
          <w:b/>
          <w:sz w:val="20"/>
          <w:szCs w:val="20"/>
        </w:rPr>
        <w:t>Critério de julgamento:</w:t>
      </w:r>
      <w:r w:rsidRPr="00C65DF7">
        <w:rPr>
          <w:rFonts w:ascii="Verdana" w:hAnsi="Verdana" w:cs="Arial"/>
          <w:bCs/>
          <w:sz w:val="20"/>
          <w:szCs w:val="20"/>
        </w:rPr>
        <w:t xml:space="preserve"> menor preço</w:t>
      </w:r>
      <w:r w:rsidR="00FD520B">
        <w:rPr>
          <w:rFonts w:ascii="Verdana" w:hAnsi="Verdana" w:cs="Arial"/>
          <w:bCs/>
          <w:sz w:val="20"/>
          <w:szCs w:val="20"/>
        </w:rPr>
        <w:t xml:space="preserve"> Global.</w:t>
      </w:r>
    </w:p>
    <w:p w14:paraId="0E0F43F0" w14:textId="66B4D8C6" w:rsidR="002B5BFA" w:rsidRPr="00C65DF7" w:rsidRDefault="002B5BFA" w:rsidP="00C65DF7">
      <w:pPr>
        <w:spacing w:line="360" w:lineRule="auto"/>
        <w:rPr>
          <w:rFonts w:ascii="Verdana" w:hAnsi="Verdana" w:cs="Arial"/>
          <w:bCs/>
          <w:sz w:val="20"/>
          <w:szCs w:val="20"/>
        </w:rPr>
      </w:pPr>
      <w:r w:rsidRPr="00C65DF7">
        <w:rPr>
          <w:rFonts w:ascii="Verdana" w:hAnsi="Verdana" w:cs="Arial"/>
          <w:b/>
          <w:sz w:val="20"/>
          <w:szCs w:val="20"/>
        </w:rPr>
        <w:t xml:space="preserve">Modo de disputa: </w:t>
      </w:r>
      <w:r w:rsidRPr="00C65DF7">
        <w:rPr>
          <w:rFonts w:ascii="Verdana" w:hAnsi="Verdana" w:cs="Arial"/>
          <w:bCs/>
          <w:sz w:val="20"/>
          <w:szCs w:val="20"/>
        </w:rPr>
        <w:t>aberto.</w:t>
      </w:r>
    </w:p>
    <w:p w14:paraId="7AAE0183" w14:textId="77777777" w:rsidR="002B5BFA" w:rsidRPr="00C65DF7" w:rsidRDefault="002B5BFA" w:rsidP="00C65DF7">
      <w:pPr>
        <w:spacing w:line="360" w:lineRule="auto"/>
        <w:rPr>
          <w:rFonts w:ascii="Verdana" w:hAnsi="Verdana" w:cs="Arial"/>
          <w:bCs/>
          <w:color w:val="00B050"/>
          <w:sz w:val="20"/>
          <w:szCs w:val="20"/>
        </w:rPr>
      </w:pPr>
      <w:r w:rsidRPr="00C65DF7">
        <w:rPr>
          <w:rFonts w:ascii="Verdana" w:hAnsi="Verdana" w:cs="Arial"/>
          <w:b/>
          <w:sz w:val="20"/>
          <w:szCs w:val="20"/>
        </w:rPr>
        <w:t xml:space="preserve">Preferência ME/EPP/EQUIPARADAS: </w:t>
      </w:r>
      <w:r w:rsidRPr="00C65DF7">
        <w:rPr>
          <w:rFonts w:ascii="Verdana" w:hAnsi="Verdana" w:cs="Arial"/>
          <w:bCs/>
          <w:sz w:val="20"/>
          <w:szCs w:val="20"/>
        </w:rPr>
        <w:t>não.</w:t>
      </w:r>
    </w:p>
    <w:p w14:paraId="007CE8B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
          <w:sz w:val="20"/>
          <w:szCs w:val="20"/>
        </w:rPr>
        <w:t>Link:</w:t>
      </w:r>
      <w:r w:rsidRPr="00C65DF7">
        <w:rPr>
          <w:rFonts w:ascii="Verdana" w:hAnsi="Verdana" w:cs="Arial"/>
          <w:bCs/>
          <w:sz w:val="20"/>
          <w:szCs w:val="20"/>
        </w:rPr>
        <w:t xml:space="preserve">  </w:t>
      </w:r>
      <w:hyperlink r:id="rId8" w:history="1">
        <w:r w:rsidRPr="00C65DF7">
          <w:rPr>
            <w:rStyle w:val="Hyperlink"/>
            <w:rFonts w:ascii="Verdana" w:eastAsia="Calibri" w:hAnsi="Verdana" w:cs="Arial"/>
            <w:b/>
            <w:bCs/>
            <w:sz w:val="20"/>
            <w:szCs w:val="20"/>
          </w:rPr>
          <w:t>https://bnc.org.br/</w:t>
        </w:r>
      </w:hyperlink>
    </w:p>
    <w:p w14:paraId="52F78991" w14:textId="77777777" w:rsidR="002B5BFA" w:rsidRPr="00C65DF7" w:rsidRDefault="002B5BFA" w:rsidP="00C65DF7">
      <w:pPr>
        <w:pStyle w:val="Ttulo1"/>
        <w:spacing w:before="0" w:after="0" w:line="360" w:lineRule="auto"/>
        <w:rPr>
          <w:rFonts w:ascii="Verdana" w:hAnsi="Verdana" w:cs="Arial"/>
          <w:sz w:val="20"/>
          <w:szCs w:val="20"/>
        </w:rPr>
      </w:pPr>
    </w:p>
    <w:p w14:paraId="7D657383" w14:textId="77777777" w:rsidR="002B5BFA" w:rsidRPr="00C65DF7" w:rsidRDefault="002B5BFA" w:rsidP="00C65DF7">
      <w:pPr>
        <w:pStyle w:val="Ttulo1"/>
        <w:spacing w:before="0" w:after="0" w:line="360" w:lineRule="auto"/>
        <w:rPr>
          <w:rFonts w:ascii="Verdana" w:hAnsi="Verdana" w:cs="Arial"/>
          <w:sz w:val="20"/>
          <w:szCs w:val="20"/>
        </w:rPr>
      </w:pPr>
      <w:bookmarkStart w:id="0" w:name="_Toc138354308"/>
      <w:r w:rsidRPr="00C65DF7">
        <w:rPr>
          <w:rFonts w:ascii="Verdana" w:hAnsi="Verdana" w:cs="Arial"/>
          <w:sz w:val="20"/>
          <w:szCs w:val="20"/>
        </w:rPr>
        <w:t>1. DO OBJETO</w:t>
      </w:r>
      <w:bookmarkEnd w:id="0"/>
      <w:r w:rsidRPr="00C65DF7">
        <w:rPr>
          <w:rFonts w:ascii="Verdana" w:hAnsi="Verdana" w:cs="Arial"/>
          <w:sz w:val="20"/>
          <w:szCs w:val="20"/>
        </w:rPr>
        <w:t xml:space="preserve">  </w:t>
      </w:r>
    </w:p>
    <w:p w14:paraId="380D6D37" w14:textId="736CBDD8"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1.1. O objeto da presente licitação é </w:t>
      </w:r>
      <w:r w:rsidR="00EA0BDF" w:rsidRPr="00C65DF7">
        <w:rPr>
          <w:rFonts w:ascii="Verdana" w:hAnsi="Verdana" w:cs="Arial"/>
          <w:b/>
          <w:sz w:val="20"/>
          <w:szCs w:val="20"/>
        </w:rPr>
        <w:t xml:space="preserve">REGISTRO DE PREÇOS </w:t>
      </w:r>
      <w:r w:rsidR="00EA0BDF">
        <w:rPr>
          <w:rFonts w:ascii="Verdana" w:hAnsi="Verdana" w:cs="Arial"/>
          <w:b/>
          <w:sz w:val="20"/>
          <w:szCs w:val="20"/>
        </w:rPr>
        <w:t>PARA AQUISIÇÃO DE CESTA BASICA PARA ATENDER A NESCESSIDA DA SECRETARIA DE DESENVOLVIMENTO SOCIAL E CIDADANIA E DEMAIS SECRETARIA DO MUNICIPIO DE CORRENTINA</w:t>
      </w:r>
      <w:r w:rsidR="00EA0BDF" w:rsidRPr="00C65DF7">
        <w:rPr>
          <w:rFonts w:ascii="Verdana" w:hAnsi="Verdana" w:cs="Calibri"/>
          <w:b/>
          <w:sz w:val="20"/>
          <w:szCs w:val="20"/>
        </w:rPr>
        <w:t xml:space="preserve"> - BA</w:t>
      </w:r>
      <w:r w:rsidRPr="00C65DF7">
        <w:rPr>
          <w:rFonts w:ascii="Verdana" w:hAnsi="Verdana" w:cs="Arial"/>
          <w:b/>
          <w:bCs/>
          <w:i/>
          <w:sz w:val="20"/>
          <w:szCs w:val="20"/>
        </w:rPr>
        <w:t>,</w:t>
      </w:r>
      <w:r w:rsidRPr="00C65DF7">
        <w:rPr>
          <w:rFonts w:ascii="Verdana" w:hAnsi="Verdana" w:cs="Arial"/>
          <w:bCs/>
          <w:sz w:val="20"/>
          <w:szCs w:val="20"/>
        </w:rPr>
        <w:t xml:space="preserve"> conforme condições, quantidades e exigências estabelecidas neste Edital e seus anexos. </w:t>
      </w:r>
    </w:p>
    <w:p w14:paraId="76239DC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 A licitação será dividida em itens/lote, conforme tabela constante do Termo de Referência, facultando-se ao licitante a participação em quantos itens/lotes forem de seu interesse.</w:t>
      </w:r>
    </w:p>
    <w:p w14:paraId="4F691ACF" w14:textId="77777777" w:rsidR="002B5BFA" w:rsidRPr="00C65DF7" w:rsidRDefault="002B5BFA" w:rsidP="00C65DF7">
      <w:pPr>
        <w:pStyle w:val="Ttulo1"/>
        <w:spacing w:before="0" w:after="0" w:line="360" w:lineRule="auto"/>
        <w:rPr>
          <w:rFonts w:ascii="Verdana" w:hAnsi="Verdana" w:cs="Arial"/>
          <w:color w:val="00B050"/>
          <w:sz w:val="20"/>
          <w:szCs w:val="20"/>
        </w:rPr>
      </w:pPr>
    </w:p>
    <w:p w14:paraId="0E365B88" w14:textId="77777777" w:rsidR="002B5BFA" w:rsidRPr="00C65DF7" w:rsidRDefault="002B5BFA" w:rsidP="00C65DF7">
      <w:pPr>
        <w:pStyle w:val="Ttulo1"/>
        <w:spacing w:before="0" w:after="0" w:line="360" w:lineRule="auto"/>
        <w:rPr>
          <w:rFonts w:ascii="Verdana" w:hAnsi="Verdana" w:cs="Arial"/>
          <w:color w:val="156082" w:themeColor="accent1"/>
          <w:sz w:val="20"/>
          <w:szCs w:val="20"/>
        </w:rPr>
      </w:pPr>
      <w:bookmarkStart w:id="1" w:name="_Toc138354309"/>
      <w:r w:rsidRPr="00C65DF7">
        <w:rPr>
          <w:rFonts w:ascii="Verdana" w:hAnsi="Verdana" w:cs="Arial"/>
          <w:color w:val="156082" w:themeColor="accent1"/>
          <w:sz w:val="20"/>
          <w:szCs w:val="20"/>
        </w:rPr>
        <w:t>2. DO REGISTRO DE PREÇOS</w:t>
      </w:r>
      <w:bookmarkEnd w:id="1"/>
    </w:p>
    <w:p w14:paraId="56622C33"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proofErr w:type="gramStart"/>
      <w:r w:rsidRPr="00C65DF7">
        <w:rPr>
          <w:rFonts w:ascii="Verdana" w:hAnsi="Verdana" w:cs="Arial"/>
          <w:sz w:val="20"/>
          <w:szCs w:val="20"/>
        </w:rPr>
        <w:t>2.1 As</w:t>
      </w:r>
      <w:proofErr w:type="gramEnd"/>
      <w:r w:rsidRPr="00C65DF7">
        <w:rPr>
          <w:rFonts w:ascii="Verdana" w:hAnsi="Verdana" w:cs="Arial"/>
          <w:sz w:val="20"/>
          <w:szCs w:val="20"/>
        </w:rPr>
        <w:t xml:space="preserve"> regras referentes aos órgãos gerenciador e participantes, bem como a eventuais adesões são as que constam da minuta de Ata de Registro de Preços.</w:t>
      </w:r>
    </w:p>
    <w:p w14:paraId="0F46786C" w14:textId="77777777" w:rsidR="002B5BFA" w:rsidRPr="00C65DF7" w:rsidRDefault="002B5BFA" w:rsidP="00C65DF7">
      <w:pPr>
        <w:spacing w:line="360" w:lineRule="auto"/>
        <w:rPr>
          <w:rFonts w:ascii="Verdana" w:hAnsi="Verdana" w:cs="Tahoma"/>
          <w:sz w:val="20"/>
          <w:szCs w:val="20"/>
        </w:rPr>
      </w:pPr>
    </w:p>
    <w:p w14:paraId="1D867D2F" w14:textId="77777777" w:rsidR="002B5BFA" w:rsidRPr="00C65DF7" w:rsidRDefault="002B5BFA" w:rsidP="00C65DF7">
      <w:pPr>
        <w:pStyle w:val="Ttulo1"/>
        <w:spacing w:before="0" w:after="0" w:line="360" w:lineRule="auto"/>
        <w:rPr>
          <w:rFonts w:ascii="Verdana" w:hAnsi="Verdana" w:cs="Arial"/>
          <w:sz w:val="20"/>
          <w:szCs w:val="20"/>
        </w:rPr>
      </w:pPr>
      <w:bookmarkStart w:id="2" w:name="_Toc138354310"/>
      <w:r w:rsidRPr="00C65DF7">
        <w:rPr>
          <w:rFonts w:ascii="Verdana" w:hAnsi="Verdana" w:cs="Arial"/>
          <w:sz w:val="20"/>
          <w:szCs w:val="20"/>
        </w:rPr>
        <w:t>3. DA PARTICIPAÇÃO NA LICITAÇÃO</w:t>
      </w:r>
      <w:bookmarkEnd w:id="2"/>
    </w:p>
    <w:p w14:paraId="4B7D458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3.1. Poderão participar deste Pregão os interessados que estiverem previamente credenciados sistema de Licitações, no endereço eletrônico </w:t>
      </w:r>
      <w:hyperlink r:id="rId9" w:history="1">
        <w:r w:rsidRPr="00C65DF7">
          <w:rPr>
            <w:rStyle w:val="Hyperlink"/>
            <w:rFonts w:ascii="Verdana" w:eastAsia="Calibri" w:hAnsi="Verdana" w:cs="Arial"/>
            <w:b/>
            <w:bCs/>
            <w:sz w:val="20"/>
            <w:szCs w:val="20"/>
          </w:rPr>
          <w:t>https://bnc.org.br/</w:t>
        </w:r>
      </w:hyperlink>
    </w:p>
    <w:p w14:paraId="1FE0EA2B"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bCs/>
          <w:sz w:val="20"/>
          <w:szCs w:val="20"/>
        </w:rPr>
        <w:t xml:space="preserve">3.2. </w:t>
      </w:r>
      <w:r w:rsidRPr="00C65DF7">
        <w:rPr>
          <w:rFonts w:ascii="Verdana" w:hAnsi="Verdana" w:cs="Arial"/>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28427D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3.3.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2F97A7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3.4. A não observância do disposto no item anterior poderá ensejar desclassificação no momento da habilitação.</w:t>
      </w:r>
    </w:p>
    <w:p w14:paraId="67DBD76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3.5. Para os itens </w:t>
      </w:r>
      <w:r w:rsidRPr="00C65DF7">
        <w:rPr>
          <w:rFonts w:ascii="Verdana" w:hAnsi="Verdana" w:cs="Arial"/>
          <w:b/>
          <w:i/>
          <w:iCs/>
          <w:sz w:val="20"/>
          <w:szCs w:val="20"/>
        </w:rPr>
        <w:t>XXX</w:t>
      </w:r>
      <w:r w:rsidRPr="00C65DF7">
        <w:rPr>
          <w:rFonts w:ascii="Verdana" w:hAnsi="Verdana" w:cs="Arial"/>
          <w:bCs/>
          <w:sz w:val="20"/>
          <w:szCs w:val="20"/>
        </w:rPr>
        <w:t xml:space="preserve">, </w:t>
      </w:r>
      <w:r w:rsidRPr="00C65DF7">
        <w:rPr>
          <w:rFonts w:ascii="Verdana" w:hAnsi="Verdana" w:cs="Arial"/>
          <w:b/>
          <w:i/>
          <w:iCs/>
          <w:sz w:val="20"/>
          <w:szCs w:val="20"/>
        </w:rPr>
        <w:t>XXX</w:t>
      </w:r>
      <w:r w:rsidRPr="00C65DF7">
        <w:rPr>
          <w:rFonts w:ascii="Verdana" w:hAnsi="Verdana" w:cs="Arial"/>
          <w:bCs/>
          <w:sz w:val="20"/>
          <w:szCs w:val="20"/>
        </w:rPr>
        <w:t xml:space="preserve">, </w:t>
      </w:r>
      <w:r w:rsidRPr="00C65DF7">
        <w:rPr>
          <w:rFonts w:ascii="Verdana" w:hAnsi="Verdana" w:cs="Arial"/>
          <w:b/>
          <w:i/>
          <w:iCs/>
          <w:sz w:val="20"/>
          <w:szCs w:val="20"/>
        </w:rPr>
        <w:t>XXX</w:t>
      </w:r>
      <w:r w:rsidRPr="00C65DF7">
        <w:rPr>
          <w:rFonts w:ascii="Verdana" w:hAnsi="Verdana" w:cs="Arial"/>
          <w:bCs/>
          <w:sz w:val="20"/>
          <w:szCs w:val="20"/>
        </w:rPr>
        <w:t>, a participação é exclusiva a microempresas e empresas de pequeno porte, nos termos do art. 48 da Lei Complementar nº 123, de 14 de dezembro de 2006.</w:t>
      </w:r>
    </w:p>
    <w:p w14:paraId="77E3A93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3.5.1.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3DE92AA" w14:textId="77777777" w:rsidR="002B5BFA" w:rsidRPr="00C65DF7" w:rsidRDefault="002B5BFA" w:rsidP="00C65DF7">
      <w:pPr>
        <w:spacing w:line="360" w:lineRule="auto"/>
        <w:rPr>
          <w:rFonts w:ascii="Verdana" w:hAnsi="Verdana" w:cs="Arial"/>
          <w:sz w:val="20"/>
          <w:szCs w:val="20"/>
        </w:rPr>
      </w:pPr>
      <w:r w:rsidRPr="00C65DF7">
        <w:rPr>
          <w:rFonts w:ascii="Verdana" w:hAnsi="Verdana" w:cs="Arial"/>
          <w:bCs/>
          <w:sz w:val="20"/>
          <w:szCs w:val="20"/>
        </w:rPr>
        <w:t>3.6. Será concedido tratamento favorecido para as microempresas e empresas de pequeno porte, nos limites previstos da Lei Complementar nº 123, de 2006</w:t>
      </w:r>
      <w:r w:rsidRPr="00C65DF7">
        <w:rPr>
          <w:rFonts w:ascii="Verdana" w:hAnsi="Verdana" w:cs="Arial"/>
          <w:sz w:val="20"/>
          <w:szCs w:val="20"/>
        </w:rPr>
        <w:t>.</w:t>
      </w:r>
    </w:p>
    <w:p w14:paraId="3CAD8A1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3.7. Não poderão </w:t>
      </w:r>
      <w:r w:rsidRPr="00C65DF7">
        <w:rPr>
          <w:rFonts w:ascii="Verdana" w:hAnsi="Verdana" w:cs="Arial"/>
          <w:sz w:val="20"/>
          <w:szCs w:val="20"/>
        </w:rPr>
        <w:t>disputar esta licitação</w:t>
      </w:r>
      <w:r w:rsidRPr="00C65DF7">
        <w:rPr>
          <w:rFonts w:ascii="Verdana" w:hAnsi="Verdana" w:cs="Arial"/>
          <w:bCs/>
          <w:sz w:val="20"/>
          <w:szCs w:val="20"/>
        </w:rPr>
        <w:t>:</w:t>
      </w:r>
    </w:p>
    <w:p w14:paraId="6897FB8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3.7.1. </w:t>
      </w:r>
      <w:r w:rsidRPr="00C65DF7">
        <w:rPr>
          <w:rFonts w:ascii="Verdana" w:hAnsi="Verdana" w:cs="Arial"/>
          <w:sz w:val="20"/>
          <w:szCs w:val="20"/>
        </w:rPr>
        <w:t xml:space="preserve">Aquele </w:t>
      </w:r>
      <w:r w:rsidRPr="00C65DF7">
        <w:rPr>
          <w:rFonts w:ascii="Verdana" w:hAnsi="Verdana" w:cs="Arial"/>
          <w:bCs/>
          <w:sz w:val="20"/>
          <w:szCs w:val="20"/>
        </w:rPr>
        <w:t>que não atenda às condições deste Edital e seu(s) anexo(s);</w:t>
      </w:r>
    </w:p>
    <w:p w14:paraId="299891E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3.7.2. Pessoa física ou jurídica que se encontre, ao tempo da licitação, impossibilitada de participar da licitação em decorrência de sanção que lhe foi imposta.</w:t>
      </w:r>
    </w:p>
    <w:p w14:paraId="5D2319EC" w14:textId="77777777" w:rsidR="002B5BFA" w:rsidRPr="00C65DF7" w:rsidRDefault="002B5BFA" w:rsidP="00C65DF7">
      <w:pPr>
        <w:pStyle w:val="Nivel3"/>
        <w:spacing w:before="0" w:after="0" w:line="360" w:lineRule="auto"/>
        <w:ind w:left="0" w:firstLine="0"/>
        <w:rPr>
          <w:rFonts w:ascii="Verdana" w:hAnsi="Verdana"/>
        </w:rPr>
      </w:pPr>
      <w:r w:rsidRPr="00C65DF7">
        <w:rPr>
          <w:rFonts w:ascii="Verdana" w:hAnsi="Verdana"/>
          <w:bCs/>
        </w:rPr>
        <w:t>3.7.3. A</w:t>
      </w:r>
      <w:r w:rsidRPr="00C65DF7">
        <w:rPr>
          <w:rFonts w:ascii="Verdana" w:hAnsi="Verdana"/>
        </w:rPr>
        <w:t xml:space="preserve">quele que mantenha vínculo de natureza técnica, comercial, econômica, financeira, trabalhista ou civil com dirigente do órgão ou entidade contratante ou com agente público que desempenhe função na licitação ou atue na fiscalização ou na gestão </w:t>
      </w:r>
      <w:r w:rsidRPr="00C65DF7">
        <w:rPr>
          <w:rFonts w:ascii="Verdana" w:hAnsi="Verdana"/>
        </w:rPr>
        <w:lastRenderedPageBreak/>
        <w:t>do contrato, ou que deles seja cônjuge, companheiro ou parente em linha reta, colateral ou por afinidade, até o terceiro grau;</w:t>
      </w:r>
    </w:p>
    <w:p w14:paraId="26A650FF" w14:textId="77777777" w:rsidR="002B5BFA" w:rsidRPr="00C65DF7" w:rsidRDefault="002B5BFA" w:rsidP="00C65DF7">
      <w:pPr>
        <w:pStyle w:val="Nivel3"/>
        <w:spacing w:before="0" w:after="0" w:line="360" w:lineRule="auto"/>
        <w:ind w:left="0" w:firstLine="0"/>
        <w:rPr>
          <w:rFonts w:ascii="Verdana" w:hAnsi="Verdana"/>
        </w:rPr>
      </w:pPr>
      <w:bookmarkStart w:id="3" w:name="_Ref113883579"/>
      <w:r w:rsidRPr="00C65DF7">
        <w:rPr>
          <w:rFonts w:ascii="Verdana" w:hAnsi="Verdana"/>
        </w:rPr>
        <w:t>3.7.4. Empresas controladoras, controladas ou coligadas, nos termos da Lei nº 6.404, de 15 de dezembro de 1976, concorrendo entre si;</w:t>
      </w:r>
      <w:bookmarkEnd w:id="3"/>
    </w:p>
    <w:p w14:paraId="557E0D71" w14:textId="77777777" w:rsidR="002B5BFA" w:rsidRPr="00C65DF7" w:rsidRDefault="002B5BFA" w:rsidP="00C65DF7">
      <w:pPr>
        <w:pStyle w:val="Nivel3"/>
        <w:spacing w:before="0" w:after="0" w:line="360" w:lineRule="auto"/>
        <w:ind w:left="0" w:firstLine="0"/>
        <w:rPr>
          <w:rFonts w:ascii="Verdana" w:hAnsi="Verdana"/>
        </w:rPr>
      </w:pPr>
      <w:r w:rsidRPr="00C65DF7">
        <w:rPr>
          <w:rFonts w:ascii="Verdana" w:hAnsi="Verdana"/>
        </w:rPr>
        <w:t>3.7.5.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FD69AD7" w14:textId="77777777" w:rsidR="002B5BFA" w:rsidRPr="00C65DF7" w:rsidRDefault="002B5BFA" w:rsidP="00C65DF7">
      <w:pPr>
        <w:pStyle w:val="Nivel3"/>
        <w:spacing w:before="0" w:after="0" w:line="360" w:lineRule="auto"/>
        <w:ind w:left="0" w:firstLine="0"/>
        <w:rPr>
          <w:rFonts w:ascii="Verdana" w:hAnsi="Verdana"/>
        </w:rPr>
      </w:pPr>
      <w:bookmarkStart w:id="4" w:name="_Ref113962336"/>
      <w:r w:rsidRPr="00C65DF7">
        <w:rPr>
          <w:rFonts w:ascii="Verdana" w:hAnsi="Verdana"/>
        </w:rPr>
        <w:t>3.7.6. Agente público do órgão ou entidade licitante;</w:t>
      </w:r>
      <w:bookmarkEnd w:id="4"/>
    </w:p>
    <w:p w14:paraId="46FF0E6F" w14:textId="77777777" w:rsidR="002B5BFA" w:rsidRPr="00C65DF7" w:rsidRDefault="002B5BFA" w:rsidP="00C65DF7">
      <w:pPr>
        <w:pStyle w:val="Nvel3-R"/>
        <w:numPr>
          <w:ilvl w:val="0"/>
          <w:numId w:val="0"/>
        </w:numPr>
        <w:spacing w:before="0" w:after="0" w:line="360" w:lineRule="auto"/>
        <w:rPr>
          <w:rFonts w:ascii="Verdana" w:hAnsi="Verdana"/>
          <w:i w:val="0"/>
          <w:iCs w:val="0"/>
          <w:color w:val="auto"/>
        </w:rPr>
      </w:pPr>
      <w:r w:rsidRPr="00C65DF7">
        <w:rPr>
          <w:rFonts w:ascii="Verdana" w:hAnsi="Verdana"/>
          <w:i w:val="0"/>
          <w:iCs w:val="0"/>
          <w:color w:val="auto"/>
        </w:rPr>
        <w:t>3.7.7. Pessoas jurídicas reunidas em consórcio</w:t>
      </w:r>
    </w:p>
    <w:p w14:paraId="41D99A7B" w14:textId="77777777" w:rsidR="002B5BFA" w:rsidRPr="00C65DF7" w:rsidRDefault="002B5BFA" w:rsidP="00C65DF7">
      <w:pPr>
        <w:pStyle w:val="Nivel3"/>
        <w:spacing w:before="0" w:after="0" w:line="360" w:lineRule="auto"/>
        <w:ind w:left="0" w:firstLine="0"/>
        <w:rPr>
          <w:rFonts w:ascii="Verdana" w:hAnsi="Verdana"/>
        </w:rPr>
      </w:pPr>
      <w:r w:rsidRPr="00C65DF7">
        <w:rPr>
          <w:rFonts w:ascii="Verdana" w:hAnsi="Verdana"/>
        </w:rPr>
        <w:t>3.7.8. Organizações da Sociedade Civil de Interesse Público (OSCIP) atuando nessa condição;</w:t>
      </w:r>
    </w:p>
    <w:p w14:paraId="54083893" w14:textId="77777777" w:rsidR="002B5BFA" w:rsidRPr="00C65DF7" w:rsidRDefault="002B5BFA" w:rsidP="00C65DF7">
      <w:pPr>
        <w:pStyle w:val="Nivel3"/>
        <w:spacing w:before="0" w:after="0" w:line="360" w:lineRule="auto"/>
        <w:ind w:left="0" w:firstLine="0"/>
        <w:rPr>
          <w:rFonts w:ascii="Verdana" w:hAnsi="Verdana"/>
        </w:rPr>
      </w:pPr>
      <w:r w:rsidRPr="00C65DF7">
        <w:rPr>
          <w:rFonts w:ascii="Verdana" w:hAnsi="Verdana"/>
        </w:rPr>
        <w:t xml:space="preserve">3.7.9.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C65DF7">
          <w:rPr>
            <w:rStyle w:val="Hyperlink"/>
            <w:rFonts w:ascii="Verdana" w:hAnsi="Verdana"/>
          </w:rPr>
          <w:t>§ 1º do art. 9º da Lei nº 14.133, de 2021</w:t>
        </w:r>
      </w:hyperlink>
      <w:r w:rsidRPr="00C65DF7">
        <w:rPr>
          <w:rFonts w:ascii="Verdana" w:hAnsi="Verdana"/>
        </w:rPr>
        <w:t>.</w:t>
      </w:r>
    </w:p>
    <w:p w14:paraId="5A6F3BB6"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3.8. O impedimento de que trata o item 3.7.2. </w:t>
      </w:r>
      <w:proofErr w:type="gramStart"/>
      <w:r w:rsidRPr="00C65DF7">
        <w:rPr>
          <w:rFonts w:ascii="Verdana" w:hAnsi="Verdana" w:cs="Arial"/>
          <w:sz w:val="20"/>
          <w:szCs w:val="20"/>
        </w:rPr>
        <w:t>será</w:t>
      </w:r>
      <w:proofErr w:type="gramEnd"/>
      <w:r w:rsidRPr="00C65DF7">
        <w:rPr>
          <w:rFonts w:ascii="Verdana" w:hAnsi="Verdana" w:cs="Arial"/>
          <w:sz w:val="20"/>
          <w:szCs w:val="20"/>
        </w:rPr>
        <w:t xml:space="preserve">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852ACED"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3.9.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16C0EAF3"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3.10. A vedação de que trata o item 3.7.6. </w:t>
      </w:r>
      <w:proofErr w:type="gramStart"/>
      <w:r w:rsidRPr="00C65DF7">
        <w:rPr>
          <w:rFonts w:ascii="Verdana" w:hAnsi="Verdana" w:cs="Arial"/>
          <w:sz w:val="20"/>
          <w:szCs w:val="20"/>
        </w:rPr>
        <w:t>estende</w:t>
      </w:r>
      <w:proofErr w:type="gramEnd"/>
      <w:r w:rsidRPr="00C65DF7">
        <w:rPr>
          <w:rFonts w:ascii="Verdana" w:hAnsi="Verdana" w:cs="Arial"/>
          <w:sz w:val="20"/>
          <w:szCs w:val="20"/>
        </w:rPr>
        <w:t>-se a terceiro que auxilie a condução da contratação na qualidade de integrante de equipe de apoio, profissional especializado ou funcionário ou representante de empresa que preste assessoria técnica.</w:t>
      </w:r>
    </w:p>
    <w:p w14:paraId="02022082" w14:textId="77777777" w:rsidR="002B5BFA" w:rsidRPr="00C65DF7" w:rsidRDefault="002B5BFA" w:rsidP="00C65DF7">
      <w:pPr>
        <w:pStyle w:val="Ttulo1"/>
        <w:spacing w:before="0" w:after="0" w:line="360" w:lineRule="auto"/>
        <w:rPr>
          <w:rFonts w:ascii="Verdana" w:hAnsi="Verdana"/>
          <w:sz w:val="20"/>
          <w:szCs w:val="20"/>
        </w:rPr>
      </w:pPr>
    </w:p>
    <w:p w14:paraId="26A5BF7E" w14:textId="77777777" w:rsidR="002B5BFA" w:rsidRPr="00C65DF7" w:rsidRDefault="002B5BFA" w:rsidP="00C65DF7">
      <w:pPr>
        <w:pStyle w:val="Ttulo1"/>
        <w:spacing w:before="0" w:after="0" w:line="360" w:lineRule="auto"/>
        <w:rPr>
          <w:rFonts w:ascii="Verdana" w:hAnsi="Verdana" w:cs="Arial"/>
          <w:sz w:val="20"/>
          <w:szCs w:val="20"/>
        </w:rPr>
      </w:pPr>
      <w:bookmarkStart w:id="5" w:name="_Toc138354311"/>
      <w:r w:rsidRPr="00C65DF7">
        <w:rPr>
          <w:rFonts w:ascii="Verdana" w:hAnsi="Verdana" w:cs="Arial"/>
          <w:sz w:val="20"/>
          <w:szCs w:val="20"/>
        </w:rPr>
        <w:t>4. DA APRESENTAÇÃO DA PROPOSTA E DOS DOCUMENTOS DE HABILITAÇÃO</w:t>
      </w:r>
      <w:bookmarkEnd w:id="5"/>
    </w:p>
    <w:p w14:paraId="3FB01B5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 Na presente licitação, a fase de habilitação sucederá as fases de apresentação de propostas e lances e de julgamento.</w:t>
      </w:r>
    </w:p>
    <w:p w14:paraId="6214DB6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4.2. Os licitantes encaminharão, exclusivamente por meio do sistema eletrônico, a proposta com o preço ou o percentual de desconto, conforme o critério de julgamento adotado neste Edital, até a data e o horário estabelecidos para abertura da sessão </w:t>
      </w:r>
      <w:r w:rsidRPr="00C65DF7">
        <w:rPr>
          <w:rFonts w:ascii="Verdana" w:hAnsi="Verdana" w:cs="Arial"/>
          <w:bCs/>
          <w:sz w:val="20"/>
          <w:szCs w:val="20"/>
        </w:rPr>
        <w:lastRenderedPageBreak/>
        <w:t>pública.</w:t>
      </w:r>
    </w:p>
    <w:p w14:paraId="5531C44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4.3. 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C65DF7">
        <w:rPr>
          <w:rFonts w:ascii="Verdana" w:hAnsi="Verdana" w:cs="Arial"/>
          <w:sz w:val="20"/>
          <w:szCs w:val="20"/>
        </w:rPr>
        <w:t>9.1.1 e 9.12.1</w:t>
      </w:r>
      <w:r w:rsidRPr="00C65DF7">
        <w:rPr>
          <w:rFonts w:ascii="Verdana" w:hAnsi="Verdana" w:cs="Arial"/>
          <w:bCs/>
          <w:sz w:val="20"/>
          <w:szCs w:val="20"/>
        </w:rPr>
        <w:t xml:space="preserve"> deste Edital.</w:t>
      </w:r>
    </w:p>
    <w:p w14:paraId="7142B02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 No cadastramento da proposta inicial, o licitante declarará, em campo próprio do sistema, que:</w:t>
      </w:r>
    </w:p>
    <w:p w14:paraId="266DA1E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6E85EC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4.4.2. Não emprega menor de 18 (dezoito) anos em trabalho noturno, perigoso ou insalubre e não emprega menor de 16 (dezesseis) anos, salvo menor, a partir dos 14 (quatorze), na condição de menor aprendiz, nos termos do inciso XXXII do art. 7° da Constituição Federal;</w:t>
      </w:r>
    </w:p>
    <w:p w14:paraId="2B87CB0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4.4.3. Não possui, em sua cadeia produtiva, empregados executando trabalho degradante ou forçado, observando o disposto nos incisos III e IV do art. 1º e no inciso III do art. 5º da Constituição Federal;</w:t>
      </w:r>
    </w:p>
    <w:p w14:paraId="1385DA1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4.4.4. Cumpre as exigências de reserva de cargos para pessoa com deficiência e para reabilitado da Previdência Social, de que trata o art. 93 da Lei nº 8.213, de 1991.</w:t>
      </w:r>
    </w:p>
    <w:p w14:paraId="110C5D7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4.5. O licitante organizado em cooperativa deverá declarar, ainda, em campo próprio do sistema, que cumpre os requisitos estabelecidos no art. 16 da Lei n° 14.133, de 2021. </w:t>
      </w:r>
    </w:p>
    <w:p w14:paraId="2269EE5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4.6. O licitante enquadrado como microempresa, empresa de pequeno porte ou sociedade cooperativa deverá declarar, ainda, em campo próprio do sistema, que cumpre os requisitos estabelecidos no art. 3° da Lei Complementar nº 123, de 2006, estando apto a usufruir do tratamento favorecido estabelecido em seus arts. 42 a 49, observado o disposto nos §§ 1º ao 3º do art. 4º da Lei nº 14.133, de 2021.</w:t>
      </w:r>
    </w:p>
    <w:p w14:paraId="54E9C9E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4.6.1. No item exclusivo para participação de microempresas e empresas de pequeno porte, a assinalação do campo “não” impedirá o prosseguimento no certame, para aquele item;</w:t>
      </w:r>
    </w:p>
    <w:p w14:paraId="27F3D9F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4.6.2.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50FDCF4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4.7. A falsidade da declaração de que trata os itens 4</w:t>
      </w:r>
      <w:r w:rsidRPr="00C65DF7">
        <w:rPr>
          <w:rFonts w:ascii="Verdana" w:hAnsi="Verdana" w:cs="Arial"/>
          <w:sz w:val="20"/>
          <w:szCs w:val="20"/>
        </w:rPr>
        <w:t>.4</w:t>
      </w:r>
      <w:r w:rsidRPr="00C65DF7">
        <w:rPr>
          <w:rFonts w:ascii="Verdana" w:hAnsi="Verdana" w:cs="Arial"/>
          <w:bCs/>
          <w:sz w:val="20"/>
          <w:szCs w:val="20"/>
        </w:rPr>
        <w:t xml:space="preserve"> ou 4</w:t>
      </w:r>
      <w:r w:rsidRPr="00C65DF7">
        <w:rPr>
          <w:rFonts w:ascii="Verdana" w:hAnsi="Verdana" w:cs="Arial"/>
          <w:sz w:val="20"/>
          <w:szCs w:val="20"/>
        </w:rPr>
        <w:t>.6</w:t>
      </w:r>
      <w:r w:rsidRPr="00C65DF7">
        <w:rPr>
          <w:rFonts w:ascii="Verdana" w:hAnsi="Verdana" w:cs="Arial"/>
          <w:bCs/>
          <w:sz w:val="20"/>
          <w:szCs w:val="20"/>
        </w:rPr>
        <w:t xml:space="preserve"> sujeitará o licitante às </w:t>
      </w:r>
      <w:r w:rsidRPr="00C65DF7">
        <w:rPr>
          <w:rFonts w:ascii="Verdana" w:hAnsi="Verdana" w:cs="Arial"/>
          <w:bCs/>
          <w:sz w:val="20"/>
          <w:szCs w:val="20"/>
        </w:rPr>
        <w:lastRenderedPageBreak/>
        <w:t>sanções previstas na Lei nº 14.133, de 2021, e neste Edital.</w:t>
      </w:r>
    </w:p>
    <w:p w14:paraId="34054B2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4.8.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A21F7A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4.9. Não haverá ordem de classificação na etapa de apresentação da proposta e dos documentos de habilitação pelo licitante, o que ocorrerá somente após os procedimentos de abertura da sessão pública e da fase de envio de lances.</w:t>
      </w:r>
    </w:p>
    <w:p w14:paraId="1425C61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4.10. Serão disponibilizados para acesso público os documentos que compõem a proposta dos licitantes convocados para apresentação de propostas, após a fase de envio de lances.</w:t>
      </w:r>
    </w:p>
    <w:p w14:paraId="082E0C3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4.11. Desde que disponibilizada a funcionalidade no sistema, o licitante poderá parametrizar o seu valor final mínimo ou o seu percentual de desconto máximo quando do cadastramento da proposta e obedecerá às seguintes regras:</w:t>
      </w:r>
    </w:p>
    <w:p w14:paraId="6997975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4.11.1. A aplicação do intervalo mínimo de diferença de valores ou de percentuais entre os lances, que incidirá tanto em relação aos lances intermediários quanto em relação ao lance que cobrir a melhor oferta; e</w:t>
      </w:r>
    </w:p>
    <w:p w14:paraId="779593A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4.11.2. Os lances serão de envio automático pelo sistema, respeitado o valor final mínimo estabelecido e o intervalo de que trata o subitem acima.</w:t>
      </w:r>
    </w:p>
    <w:p w14:paraId="404E96E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4.12. O valor final mínimo ou o percentual de desconto final máximo parametrizado no sistema poderá ser alterado pelo fornecedor durante a fase de disputa, sendo vedado:</w:t>
      </w:r>
    </w:p>
    <w:p w14:paraId="22010EE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4.12.1. Valor superior a lance já registrado pelo fornecedor no sistema, quando adotado o critério de julgamento por menor preço; e</w:t>
      </w:r>
    </w:p>
    <w:p w14:paraId="1DA4FFE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4.12.2. Percentual de desconto inferior a lance já registrado pelo fornecedor no sistema, quando adotado o critério de julgamento por maior desconto.</w:t>
      </w:r>
    </w:p>
    <w:p w14:paraId="5DFAB1F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4.13. O valor final mínimo ou o percentual de desconto final máximo parametrizado na forma do item 3.11 possuirá caráter sigiloso para os demais fornecedores e para o órgão ou entidade promotora da licitação, podendo ser disponibilizado estrita e permanentemente aos órgãos de controle externo e interno.</w:t>
      </w:r>
    </w:p>
    <w:p w14:paraId="758A112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CC1808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4.15. O licitante deverá comunicar imediatamente ao provedor do sistema qualquer acontecimento que possa comprometer o sigilo ou a segurança, para imediato bloqueio de acesso.</w:t>
      </w:r>
    </w:p>
    <w:p w14:paraId="366D8AA6" w14:textId="77777777" w:rsidR="002B5BFA" w:rsidRPr="00C65DF7" w:rsidRDefault="002B5BFA" w:rsidP="00C65DF7">
      <w:pPr>
        <w:spacing w:line="360" w:lineRule="auto"/>
        <w:rPr>
          <w:rFonts w:ascii="Verdana" w:eastAsiaTheme="majorEastAsia" w:hAnsi="Verdana" w:cs="Arial"/>
          <w:b/>
          <w:color w:val="00B050"/>
          <w:sz w:val="20"/>
          <w:szCs w:val="20"/>
        </w:rPr>
      </w:pPr>
    </w:p>
    <w:p w14:paraId="236CCB96" w14:textId="77777777" w:rsidR="002B5BFA" w:rsidRPr="00C65DF7" w:rsidRDefault="002B5BFA" w:rsidP="00C65DF7">
      <w:pPr>
        <w:spacing w:line="360" w:lineRule="auto"/>
        <w:rPr>
          <w:rFonts w:ascii="Verdana" w:eastAsiaTheme="majorEastAsia" w:hAnsi="Verdana" w:cs="Tahoma"/>
          <w:b/>
          <w:color w:val="156082" w:themeColor="accent1"/>
          <w:sz w:val="20"/>
          <w:szCs w:val="20"/>
        </w:rPr>
      </w:pPr>
      <w:r w:rsidRPr="00C65DF7">
        <w:rPr>
          <w:rFonts w:ascii="Verdana" w:eastAsiaTheme="majorEastAsia" w:hAnsi="Verdana" w:cs="Arial"/>
          <w:b/>
          <w:color w:val="156082" w:themeColor="accent1"/>
          <w:sz w:val="20"/>
          <w:szCs w:val="20"/>
        </w:rPr>
        <w:lastRenderedPageBreak/>
        <w:t>5</w:t>
      </w:r>
      <w:r w:rsidRPr="00C65DF7">
        <w:rPr>
          <w:rFonts w:ascii="Verdana" w:eastAsiaTheme="majorEastAsia" w:hAnsi="Verdana"/>
          <w:b/>
          <w:color w:val="156082" w:themeColor="accent1"/>
          <w:sz w:val="20"/>
          <w:szCs w:val="20"/>
        </w:rPr>
        <w:t>. DA GARANTIA DA PROPOSTA</w:t>
      </w:r>
    </w:p>
    <w:p w14:paraId="1FCB05B2" w14:textId="674D0503" w:rsidR="002B5BFA" w:rsidRPr="00C65DF7" w:rsidRDefault="002B5BFA" w:rsidP="00C65DF7">
      <w:pPr>
        <w:pStyle w:val="Textodenotaderodap"/>
        <w:spacing w:line="360" w:lineRule="auto"/>
        <w:rPr>
          <w:rFonts w:ascii="Verdana" w:hAnsi="Verdana"/>
        </w:rPr>
      </w:pPr>
      <w:r w:rsidRPr="00C65DF7">
        <w:rPr>
          <w:rFonts w:ascii="Verdana" w:hAnsi="Verdana"/>
        </w:rPr>
        <w:t xml:space="preserve">5.1. </w:t>
      </w:r>
      <w:r w:rsidR="00FA7F63">
        <w:rPr>
          <w:rFonts w:ascii="Verdana" w:hAnsi="Verdana"/>
        </w:rPr>
        <w:t xml:space="preserve">Poderá ser </w:t>
      </w:r>
      <w:r w:rsidRPr="00C65DF7">
        <w:rPr>
          <w:rFonts w:ascii="Verdana" w:hAnsi="Verdana"/>
        </w:rPr>
        <w:t>exigido o recolhimento de 1% (um por cento) do estimado da contratação</w:t>
      </w:r>
      <w:r w:rsidRPr="00C65DF7">
        <w:rPr>
          <w:rFonts w:ascii="Verdana" w:hAnsi="Verdana"/>
          <w:b/>
          <w:bCs/>
          <w:i/>
          <w:iCs/>
        </w:rPr>
        <w:t xml:space="preserve"> </w:t>
      </w:r>
      <w:r w:rsidRPr="00C65DF7">
        <w:rPr>
          <w:rFonts w:ascii="Verdana" w:hAnsi="Verdana"/>
        </w:rPr>
        <w:t>a título de garantia de proposta.</w:t>
      </w:r>
    </w:p>
    <w:p w14:paraId="68E83382" w14:textId="77777777" w:rsidR="002B5BFA" w:rsidRPr="00C65DF7" w:rsidRDefault="002B5BFA" w:rsidP="00C65DF7">
      <w:pPr>
        <w:spacing w:line="360" w:lineRule="auto"/>
        <w:rPr>
          <w:rFonts w:ascii="Verdana" w:hAnsi="Verdana"/>
          <w:sz w:val="20"/>
          <w:szCs w:val="20"/>
        </w:rPr>
      </w:pPr>
      <w:r w:rsidRPr="00C65DF7">
        <w:rPr>
          <w:rFonts w:ascii="Verdana" w:hAnsi="Verdana"/>
          <w:sz w:val="20"/>
          <w:szCs w:val="20"/>
        </w:rPr>
        <w:t>5.2. A garantia de proposta será devolvida aos licitantes no prazo de 10 (dez) dias úteis, contado da assinatura do contrato ou da data em que for declarada fracassada a licitação.</w:t>
      </w:r>
    </w:p>
    <w:p w14:paraId="2F0CFF5C" w14:textId="77777777" w:rsidR="002B5BFA" w:rsidRPr="00C65DF7" w:rsidRDefault="002B5BFA" w:rsidP="00C65DF7">
      <w:pPr>
        <w:spacing w:line="360" w:lineRule="auto"/>
        <w:rPr>
          <w:rFonts w:ascii="Verdana" w:hAnsi="Verdana"/>
          <w:sz w:val="20"/>
          <w:szCs w:val="20"/>
        </w:rPr>
      </w:pPr>
      <w:r w:rsidRPr="00C65DF7">
        <w:rPr>
          <w:rFonts w:ascii="Verdana" w:hAnsi="Verdana"/>
          <w:sz w:val="20"/>
          <w:szCs w:val="20"/>
        </w:rPr>
        <w:t>5.3. A garantia de proposta poderá ser prestada nas seguintes modalidades:</w:t>
      </w:r>
    </w:p>
    <w:p w14:paraId="20AD2CF0" w14:textId="77777777" w:rsidR="002B5BFA" w:rsidRPr="00C65DF7" w:rsidRDefault="002B5BFA" w:rsidP="00C65DF7">
      <w:pPr>
        <w:spacing w:line="360" w:lineRule="auto"/>
        <w:rPr>
          <w:rFonts w:ascii="Verdana" w:hAnsi="Verdana"/>
          <w:sz w:val="20"/>
          <w:szCs w:val="20"/>
        </w:rPr>
      </w:pPr>
      <w:r w:rsidRPr="00C65DF7">
        <w:rPr>
          <w:rFonts w:ascii="Verdana" w:hAnsi="Verdana"/>
          <w:sz w:val="20"/>
          <w:szCs w:val="20"/>
        </w:rPr>
        <w:t>5.3.1.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Fazenda;</w:t>
      </w:r>
    </w:p>
    <w:p w14:paraId="2EA1B5BA" w14:textId="77777777" w:rsidR="002B5BFA" w:rsidRPr="00C65DF7" w:rsidRDefault="002B5BFA" w:rsidP="00C65DF7">
      <w:pPr>
        <w:spacing w:line="360" w:lineRule="auto"/>
        <w:rPr>
          <w:rFonts w:ascii="Verdana" w:hAnsi="Verdana"/>
          <w:sz w:val="20"/>
          <w:szCs w:val="20"/>
        </w:rPr>
      </w:pPr>
      <w:r w:rsidRPr="00C65DF7">
        <w:rPr>
          <w:rFonts w:ascii="Verdana" w:hAnsi="Verdana"/>
          <w:sz w:val="20"/>
          <w:szCs w:val="20"/>
        </w:rPr>
        <w:t>5.3.2. Seguro-garantia;</w:t>
      </w:r>
    </w:p>
    <w:p w14:paraId="0CC55F70" w14:textId="77777777" w:rsidR="002B5BFA" w:rsidRPr="00C65DF7" w:rsidRDefault="002B5BFA" w:rsidP="00C65DF7">
      <w:pPr>
        <w:spacing w:line="360" w:lineRule="auto"/>
        <w:rPr>
          <w:rFonts w:ascii="Verdana" w:hAnsi="Verdana"/>
          <w:sz w:val="20"/>
          <w:szCs w:val="20"/>
        </w:rPr>
      </w:pPr>
      <w:r w:rsidRPr="00C65DF7">
        <w:rPr>
          <w:rFonts w:ascii="Verdana" w:hAnsi="Verdana"/>
          <w:sz w:val="20"/>
          <w:szCs w:val="20"/>
        </w:rPr>
        <w:t>5.3.3. Fiança bancária emitida por banco ou instituição financeira devidamente autorizada a operar no País pelo Banco Central do Brasil.</w:t>
      </w:r>
    </w:p>
    <w:p w14:paraId="0AEB0E61" w14:textId="77777777" w:rsidR="002B5BFA" w:rsidRPr="00C65DF7" w:rsidRDefault="002B5BFA" w:rsidP="00C65DF7">
      <w:pPr>
        <w:pStyle w:val="Ttulo1"/>
        <w:spacing w:before="0" w:after="0" w:line="360" w:lineRule="auto"/>
        <w:rPr>
          <w:rFonts w:ascii="Verdana" w:hAnsi="Verdana" w:cs="Arial"/>
          <w:sz w:val="20"/>
          <w:szCs w:val="20"/>
        </w:rPr>
      </w:pPr>
    </w:p>
    <w:p w14:paraId="769345AC" w14:textId="77777777" w:rsidR="002B5BFA" w:rsidRPr="00C65DF7" w:rsidRDefault="002B5BFA" w:rsidP="00C65DF7">
      <w:pPr>
        <w:pStyle w:val="Ttulo1"/>
        <w:spacing w:before="0" w:after="0" w:line="360" w:lineRule="auto"/>
        <w:rPr>
          <w:rFonts w:ascii="Verdana" w:hAnsi="Verdana" w:cs="Arial"/>
          <w:sz w:val="20"/>
          <w:szCs w:val="20"/>
        </w:rPr>
      </w:pPr>
      <w:bookmarkStart w:id="6" w:name="_Toc138354312"/>
      <w:r w:rsidRPr="00C65DF7">
        <w:rPr>
          <w:rFonts w:ascii="Verdana" w:hAnsi="Verdana" w:cs="Arial"/>
          <w:sz w:val="20"/>
          <w:szCs w:val="20"/>
        </w:rPr>
        <w:t>6. DO PREENCHIMENTO DA PROPOSTA</w:t>
      </w:r>
      <w:bookmarkEnd w:id="6"/>
    </w:p>
    <w:p w14:paraId="0AE4DEA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6.1. O licitante deverá enviar sua proposta mediante o preenchimento, no sistema eletrônico, dos seguintes campos:</w:t>
      </w:r>
    </w:p>
    <w:p w14:paraId="093EA09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6.1.1. Valor unitário e total do item ou lote;</w:t>
      </w:r>
    </w:p>
    <w:p w14:paraId="42A34DE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6.1.2. Marca;</w:t>
      </w:r>
    </w:p>
    <w:p w14:paraId="0DF014E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6.1.3. Descrição do objeto, contendo as informações similares à especificação do </w:t>
      </w:r>
      <w:r w:rsidRPr="00C65DF7">
        <w:rPr>
          <w:rFonts w:ascii="Verdana" w:hAnsi="Verdana" w:cs="Arial"/>
          <w:sz w:val="20"/>
          <w:szCs w:val="20"/>
        </w:rPr>
        <w:t>Termo de Referência</w:t>
      </w:r>
      <w:r w:rsidRPr="00C65DF7">
        <w:rPr>
          <w:rFonts w:ascii="Verdana" w:hAnsi="Verdana" w:cs="Arial"/>
          <w:bCs/>
          <w:sz w:val="20"/>
          <w:szCs w:val="20"/>
        </w:rPr>
        <w:t xml:space="preserve">; </w:t>
      </w:r>
    </w:p>
    <w:p w14:paraId="4E5E72B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6.2. Todas as especificações do objeto contidas na proposta vinculam o licitante.</w:t>
      </w:r>
    </w:p>
    <w:p w14:paraId="1863313E"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bCs/>
          <w:color w:val="auto"/>
        </w:rPr>
        <w:t>6.2.1. O licitante não poderá oferecer proposta em quantitativo inferior ao máximo previsto para contratação.</w:t>
      </w:r>
    </w:p>
    <w:p w14:paraId="3064E6C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6.3. Nos valores propostos estarão inclusos todos os custos operacionais, encargos previdenciários, trabalhistas, tributários, comerciais e quaisquer outros que incidam direta ou indiretamente na execução do objeto.</w:t>
      </w:r>
    </w:p>
    <w:p w14:paraId="29F700B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6.4. Os preços ofertados, tanto na proposta inicial, quanto na etapa de lances, serão de exclusiva responsabilidade do licitante, não lhe assistindo o direito de pleitear qualquer alteração, sob alegação de erro, omissão ou qualquer outro pretexto.</w:t>
      </w:r>
    </w:p>
    <w:p w14:paraId="03E2655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6.5. Se o regime tributário da empresa implicar o recolhimento de tributos em percentuais variáveis, a cotação adequada será a que corresponde à média dos efetivos recolhimentos da empresa nos últimos doze meses. </w:t>
      </w:r>
    </w:p>
    <w:p w14:paraId="1F556DD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6.6. Independentemente do percentual de tributo inserido na planilha, no pagamento serão retidos na fonte os percentuais estabelecidos na legislação vigente.</w:t>
      </w:r>
    </w:p>
    <w:p w14:paraId="2B63279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6.7. A apresentação das propostas implica obrigatoriedade do cumprimento das </w:t>
      </w:r>
      <w:r w:rsidRPr="00C65DF7">
        <w:rPr>
          <w:rFonts w:ascii="Verdana" w:hAnsi="Verdana" w:cs="Arial"/>
          <w:bCs/>
          <w:sz w:val="20"/>
          <w:szCs w:val="20"/>
        </w:rPr>
        <w:lastRenderedPageBreak/>
        <w:t>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5F2DA4C" w14:textId="32A67883"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6.8. O prazo de validade da proposta não será inferior a </w:t>
      </w:r>
      <w:r w:rsidR="004A5444">
        <w:rPr>
          <w:rFonts w:ascii="Verdana" w:hAnsi="Verdana" w:cs="Arial"/>
          <w:i/>
          <w:iCs/>
          <w:sz w:val="20"/>
          <w:szCs w:val="20"/>
          <w:u w:val="single"/>
        </w:rPr>
        <w:t>6</w:t>
      </w:r>
      <w:r w:rsidRPr="00C65DF7">
        <w:rPr>
          <w:rFonts w:ascii="Verdana" w:hAnsi="Verdana" w:cs="Arial"/>
          <w:i/>
          <w:iCs/>
          <w:sz w:val="20"/>
          <w:szCs w:val="20"/>
          <w:u w:val="single"/>
        </w:rPr>
        <w:t>0</w:t>
      </w:r>
      <w:r w:rsidRPr="00C65DF7">
        <w:rPr>
          <w:rFonts w:ascii="Verdana" w:hAnsi="Verdana" w:cs="Arial"/>
          <w:bCs/>
          <w:i/>
          <w:iCs/>
          <w:sz w:val="20"/>
          <w:szCs w:val="20"/>
          <w:u w:val="single"/>
        </w:rPr>
        <w:t xml:space="preserve"> dias</w:t>
      </w:r>
      <w:r w:rsidRPr="00C65DF7">
        <w:rPr>
          <w:rFonts w:ascii="Verdana" w:hAnsi="Verdana" w:cs="Arial"/>
          <w:bCs/>
          <w:i/>
          <w:iCs/>
          <w:sz w:val="20"/>
          <w:szCs w:val="20"/>
        </w:rPr>
        <w:t xml:space="preserve"> </w:t>
      </w:r>
      <w:r w:rsidRPr="00C65DF7">
        <w:rPr>
          <w:rFonts w:ascii="Verdana" w:hAnsi="Verdana" w:cs="Arial"/>
          <w:bCs/>
          <w:sz w:val="20"/>
          <w:szCs w:val="20"/>
        </w:rPr>
        <w:t>a contar da data de sua apresentação.</w:t>
      </w:r>
    </w:p>
    <w:p w14:paraId="20AD548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6.9. Os licitantes devem respeitar os preços máximos estabelecidos nas normas de regência de contratações públicas federais, quando participarem de licitações públicas;</w:t>
      </w:r>
    </w:p>
    <w:p w14:paraId="34916EE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6.9.1. Caso o critério de julgamento seja o de maior desconto, o preço já decorrente da aplicação do desconto ofertado deverá respeitar os preços máximos previstos no item </w:t>
      </w:r>
      <w:r w:rsidRPr="00C65DF7">
        <w:rPr>
          <w:rFonts w:ascii="Verdana" w:hAnsi="Verdana" w:cs="Arial"/>
          <w:sz w:val="20"/>
          <w:szCs w:val="20"/>
        </w:rPr>
        <w:t>4.8</w:t>
      </w:r>
      <w:r w:rsidRPr="00C65DF7">
        <w:rPr>
          <w:rFonts w:ascii="Verdana" w:hAnsi="Verdana" w:cs="Arial"/>
          <w:bCs/>
          <w:sz w:val="20"/>
          <w:szCs w:val="20"/>
        </w:rPr>
        <w:t>.</w:t>
      </w:r>
    </w:p>
    <w:p w14:paraId="4A57766B" w14:textId="77777777" w:rsidR="002B5BFA" w:rsidRPr="00FA7F63"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6.10.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w:t>
      </w:r>
      <w:r w:rsidRPr="00FA7F63">
        <w:rPr>
          <w:rFonts w:ascii="Verdana" w:hAnsi="Verdana" w:cs="Arial"/>
          <w:bCs/>
          <w:sz w:val="20"/>
          <w:szCs w:val="20"/>
        </w:rPr>
        <w:t>contratada ao pagamento dos prejuízos ao erário, caso verificada a ocorrência de superfaturamento por sobre preço na execução do contrato.</w:t>
      </w:r>
    </w:p>
    <w:p w14:paraId="65127C02" w14:textId="4302EA4B" w:rsidR="00FA7F63" w:rsidRPr="00FA7F63" w:rsidRDefault="00FA7F63" w:rsidP="007B668E">
      <w:pPr>
        <w:spacing w:line="360" w:lineRule="auto"/>
        <w:rPr>
          <w:rFonts w:ascii="Verdana" w:hAnsi="Verdana" w:cs="Arial"/>
          <w:bCs/>
          <w:sz w:val="20"/>
          <w:szCs w:val="20"/>
          <w:lang w:val="pt-BR"/>
        </w:rPr>
      </w:pPr>
      <w:r w:rsidRPr="00FA7F63">
        <w:rPr>
          <w:rFonts w:ascii="Verdana" w:hAnsi="Verdana" w:cs="Arial"/>
          <w:bCs/>
          <w:sz w:val="20"/>
          <w:szCs w:val="20"/>
        </w:rPr>
        <w:t>6.11. A empresa que não anexar a proposta de preço no sistema antes da disputa será aut</w:t>
      </w:r>
      <w:r w:rsidR="004A5444">
        <w:rPr>
          <w:rFonts w:ascii="Verdana" w:hAnsi="Verdana" w:cs="Arial"/>
          <w:bCs/>
          <w:sz w:val="20"/>
          <w:szCs w:val="20"/>
        </w:rPr>
        <w:t>omaticamente desclassificada na fase analise da proposta</w:t>
      </w:r>
      <w:r w:rsidRPr="00FA7F63">
        <w:rPr>
          <w:rFonts w:ascii="Verdana" w:hAnsi="Verdana" w:cs="Arial"/>
          <w:bCs/>
          <w:sz w:val="20"/>
          <w:szCs w:val="20"/>
        </w:rPr>
        <w:t xml:space="preserve">. </w:t>
      </w:r>
    </w:p>
    <w:p w14:paraId="10C631A3" w14:textId="77777777" w:rsidR="00FA7F63" w:rsidRPr="00C65DF7" w:rsidRDefault="00FA7F63" w:rsidP="00C65DF7">
      <w:pPr>
        <w:spacing w:line="360" w:lineRule="auto"/>
        <w:rPr>
          <w:rFonts w:ascii="Verdana" w:hAnsi="Verdana" w:cs="Arial"/>
          <w:bCs/>
          <w:sz w:val="20"/>
          <w:szCs w:val="20"/>
        </w:rPr>
      </w:pPr>
    </w:p>
    <w:p w14:paraId="3A158B1E" w14:textId="77777777" w:rsidR="002B5BFA" w:rsidRPr="00C65DF7" w:rsidRDefault="002B5BFA" w:rsidP="00C65DF7">
      <w:pPr>
        <w:pStyle w:val="Ttulo1"/>
        <w:spacing w:before="0" w:after="0" w:line="360" w:lineRule="auto"/>
        <w:rPr>
          <w:rFonts w:ascii="Verdana" w:hAnsi="Verdana" w:cs="Arial"/>
          <w:sz w:val="20"/>
          <w:szCs w:val="20"/>
        </w:rPr>
      </w:pPr>
      <w:bookmarkStart w:id="7" w:name="_Toc138354313"/>
      <w:r w:rsidRPr="00C65DF7">
        <w:rPr>
          <w:rFonts w:ascii="Verdana" w:hAnsi="Verdana" w:cs="Arial"/>
          <w:sz w:val="20"/>
          <w:szCs w:val="20"/>
        </w:rPr>
        <w:t>7. DA ABERTURA DA SESSÃO, CLASSIFICAÇÃO DAS PROPOSTAS E FORMULAÇÃO DE LANCES</w:t>
      </w:r>
      <w:bookmarkEnd w:id="7"/>
    </w:p>
    <w:p w14:paraId="6786C30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 A abertura da presente licitação dar-se-á automaticamente em sessão pública, por meio de sistema eletrônico, na data, horário e local indicados neste Edital.</w:t>
      </w:r>
    </w:p>
    <w:p w14:paraId="37F5E3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 Os licitantes poderão retirar ou substituir a proposta ou os documentos de habilitação, quando for o caso, anteriormente inseridos no sistema, até a abertura da sessão pública.</w:t>
      </w:r>
    </w:p>
    <w:p w14:paraId="6F134F7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7.3. O sistema disponibilizará campo próprio para troca de mensagens entre o Pregoeiro e os licitantes.</w:t>
      </w:r>
    </w:p>
    <w:p w14:paraId="52DBA25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7.4. Iniciada a etapa competitiva, os licitantes deverão encaminhar lances exclusivamente por meio de sistema eletrônico, sendo imediatamente informados do seu recebimento e do valor consignado no registro. </w:t>
      </w:r>
    </w:p>
    <w:p w14:paraId="4EEF492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7.5. O lance deverá ser ofertado pelo valor unitário do item o.u lote sendo o caso</w:t>
      </w:r>
    </w:p>
    <w:p w14:paraId="4CD658C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7.6. Os licitantes poderão oferecer lances sucessivos, observando o horário fixado para abertura da sessão e as regras estabelecidas no Edital.</w:t>
      </w:r>
    </w:p>
    <w:p w14:paraId="56197F1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7.7. O licitante somente poderá oferecer lance de valor inferior ao último por ele ofertado e registrado pelo sistema.</w:t>
      </w:r>
    </w:p>
    <w:p w14:paraId="2B2CC423" w14:textId="01D8EACD"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7.8. O intervalo mínimo de diferença de valores ou percentuais entre os lances, que incidirá tanto em relação aos lances intermediários quanto em relação à proposta que cobrir a melhor oferta deverá ser de </w:t>
      </w:r>
      <w:r w:rsidRPr="00C65DF7">
        <w:rPr>
          <w:rFonts w:ascii="Verdana" w:hAnsi="Verdana" w:cs="Arial"/>
          <w:b/>
          <w:i/>
          <w:iCs/>
          <w:sz w:val="20"/>
          <w:szCs w:val="20"/>
        </w:rPr>
        <w:t xml:space="preserve">R$ </w:t>
      </w:r>
      <w:r w:rsidR="00402F12">
        <w:rPr>
          <w:rFonts w:ascii="Verdana" w:hAnsi="Verdana" w:cs="Arial"/>
          <w:b/>
          <w:i/>
          <w:iCs/>
          <w:sz w:val="20"/>
          <w:szCs w:val="20"/>
        </w:rPr>
        <w:t>0,01</w:t>
      </w:r>
      <w:r w:rsidRPr="00C65DF7">
        <w:rPr>
          <w:rFonts w:ascii="Verdana" w:hAnsi="Verdana" w:cs="Arial"/>
          <w:bCs/>
          <w:i/>
          <w:iCs/>
          <w:sz w:val="20"/>
          <w:szCs w:val="20"/>
        </w:rPr>
        <w:t xml:space="preserve"> (</w:t>
      </w:r>
      <w:r w:rsidR="00402F12">
        <w:rPr>
          <w:rFonts w:ascii="Verdana" w:hAnsi="Verdana" w:cs="Arial"/>
          <w:bCs/>
          <w:i/>
          <w:iCs/>
          <w:sz w:val="20"/>
          <w:szCs w:val="20"/>
        </w:rPr>
        <w:t>um centavo</w:t>
      </w:r>
      <w:r w:rsidRPr="00C65DF7">
        <w:rPr>
          <w:rFonts w:ascii="Verdana" w:hAnsi="Verdana" w:cs="Arial"/>
          <w:bCs/>
          <w:i/>
          <w:iCs/>
          <w:sz w:val="20"/>
          <w:szCs w:val="20"/>
        </w:rPr>
        <w:t>)</w:t>
      </w:r>
      <w:r w:rsidRPr="00C65DF7">
        <w:rPr>
          <w:rFonts w:ascii="Verdana" w:hAnsi="Verdana" w:cs="Arial"/>
          <w:bCs/>
          <w:sz w:val="20"/>
          <w:szCs w:val="20"/>
        </w:rPr>
        <w:t>.</w:t>
      </w:r>
    </w:p>
    <w:p w14:paraId="6F6D2A1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7.9. O licitante poderá, uma única vez, excluir seu último lance ofertado, no intervalo de 15 (quinze) segundos após o registro no sistema, na hipótese de lance inconsistente ou inexequível.</w:t>
      </w:r>
    </w:p>
    <w:p w14:paraId="49F470B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7.10. O procedimento seguirá de acordo com o modo de disputa adotado.</w:t>
      </w:r>
    </w:p>
    <w:p w14:paraId="419638A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 Caso seja adotado para o envio de lances no pregão eletrônico o modo de disputa “aberto”, os licitantes apresentarão lances públicos e sucessivos, com prorrogações.</w:t>
      </w:r>
    </w:p>
    <w:p w14:paraId="3B088D1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7.11.1. A etapa de lances da sessão pública terá duração de 10 (dez) minutos e, após isso, será prorrogada automaticamente pelo sistema quando houver lance ofertado nos últimos dois minutos do período de duração da sessão pública.</w:t>
      </w:r>
    </w:p>
    <w:p w14:paraId="5219F2E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7.11.2. A prorrogação automática da etapa de lances, de que trata o subitem anterior, será de 2 (dois) minutos e ocorrerá sucessivamente sempre que houver lances enviados nesse período de prorrogação, inclusive no caso de lances intermediários.</w:t>
      </w:r>
    </w:p>
    <w:p w14:paraId="4887E38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7.11.3. Não havendo novos lances na forma estabelecida nos itens anteriores, a sessão pública encerrar-se-á automaticamente, e o sistema ordenará e divulgará os lances conforme a ordem final de classificação.</w:t>
      </w:r>
    </w:p>
    <w:p w14:paraId="202F9B1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D5C8E6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7.11.5. Após o reinício previsto no item supra, os licitantes serão convocados para apresentar lances intermediários.</w:t>
      </w:r>
    </w:p>
    <w:p w14:paraId="42D0CEB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 Caso seja adotado para o envio de lances no pregão eletrônico o modo de disputa “aberto e fechado”, os licitantes apresentarão lances públicos e sucessivos, com lance final e fechado.</w:t>
      </w:r>
    </w:p>
    <w:p w14:paraId="5F979B5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7.12.1. A etapa de lances da sessão pública terá duração inicial de 15 (quinze) minutos. Após esse prazo, o sistema encaminhará aviso de fechamento iminente dos lances, após o que transcorrerá o período de até 10 (dez) minutos, aleatoriamente determinado, findo o qual será automaticamente encerrada a recepção de lances.</w:t>
      </w:r>
    </w:p>
    <w:p w14:paraId="562E8C4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7.12.2. 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52C76FE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7.12.3. No procedimento de que trata o subitem supra, o licitante poderá optar por manter o seu último lance da etapa aberta, ou por ofertar melhor lance.</w:t>
      </w:r>
    </w:p>
    <w:p w14:paraId="481DE0E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7.12.4. Não havendo pelo menos 3 (três) ofertas nas condições definidas neste item, poderão os autores dos melhores lances subsequentes, na ordem de classificação, até o máximo de 3 (três), oferecer um lance final e fechado em até 5 (cinco) minutos, o qual será sigiloso até o encerramento deste prazo.</w:t>
      </w:r>
    </w:p>
    <w:p w14:paraId="3D49661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7.12.5. Após o término dos prazos estabelecidos nos itens anteriores, o sistema ordenará e divulgará os lances segundo a ordem crescente de valores.</w:t>
      </w:r>
    </w:p>
    <w:p w14:paraId="43DE6356" w14:textId="072FBC22"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7.13. Caso seja adotado para o envio de lances no pregão eletrônico o modo de disputa “fechado e aberto”, poderão participar da etapa aberta somente os licitantes que apresentarem a proposta de </w:t>
      </w:r>
      <w:r w:rsidRPr="00C65DF7">
        <w:rPr>
          <w:rFonts w:ascii="Verdana" w:hAnsi="Verdana" w:cs="Arial"/>
          <w:b/>
          <w:bCs/>
          <w:sz w:val="20"/>
          <w:szCs w:val="20"/>
          <w:u w:val="single"/>
        </w:rPr>
        <w:t>MENOR PREÇO</w:t>
      </w:r>
      <w:r w:rsidR="009D1351">
        <w:rPr>
          <w:rFonts w:ascii="Verdana" w:hAnsi="Verdana" w:cs="Arial"/>
          <w:b/>
          <w:bCs/>
          <w:sz w:val="20"/>
          <w:szCs w:val="20"/>
          <w:u w:val="single"/>
        </w:rPr>
        <w:t xml:space="preserve"> </w:t>
      </w:r>
      <w:r w:rsidR="00952E33">
        <w:rPr>
          <w:rFonts w:ascii="Verdana" w:hAnsi="Verdana" w:cs="Arial"/>
          <w:b/>
          <w:bCs/>
          <w:sz w:val="20"/>
          <w:szCs w:val="20"/>
          <w:u w:val="single"/>
        </w:rPr>
        <w:t>POR LOTE</w:t>
      </w:r>
      <w:r w:rsidRPr="00C65DF7">
        <w:rPr>
          <w:rFonts w:ascii="Verdana" w:hAnsi="Verdana" w:cs="Arial"/>
          <w:bCs/>
          <w:sz w:val="20"/>
          <w:szCs w:val="20"/>
        </w:rPr>
        <w:t xml:space="preserve"> e os das propostas até 10% (dez por cento) superiores/inferiores àquela, em que os licitantes apresentarão lances públicos e sucessivos, até o encerramento da sessão e eventuais prorrogações.</w:t>
      </w:r>
    </w:p>
    <w:p w14:paraId="4595B20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7.13.1. Não havendo pelo menos 3 (três) propostas nas condições definidas no item 7.13, poderão os licitantes que apresentaram as 3 (três) melhores propostas, consideradas as empatadas, oferecer novos lances sucessivos.</w:t>
      </w:r>
    </w:p>
    <w:p w14:paraId="1ADCBEC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7.13.2. A etapa de lances da sessão pública terá duração de 10 (dez) minutos e, após isso, será prorrogada automaticamente pelo sistema quando houver lance ofertado nos últimos 2 (dois) minutos do período de duração da sessão pública.</w:t>
      </w:r>
    </w:p>
    <w:p w14:paraId="2190475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7.13.3. A prorrogação automática da etapa de lances, de que trata o subitem anterior, será de 2 (dois) minutos e ocorrerá sucessivamente sempre que houver lances enviados nesse período de prorrogação, inclusive no caso de lances intermediários.</w:t>
      </w:r>
    </w:p>
    <w:p w14:paraId="370CB28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7.13.4. Não havendo novos lances na forma estabelecida nos itens anteriores, a sessão pública encerrar-se-á automaticamente, e o sistema ordenará e divulgará os lances conforme a ordem final de classificação.</w:t>
      </w:r>
    </w:p>
    <w:p w14:paraId="7D2A0FE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7.13.5.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1B009F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7.13.6. Após o reinício previsto no subitem supra, os licitantes serão convocados para apresentar lances intermediários.  </w:t>
      </w:r>
    </w:p>
    <w:p w14:paraId="697B6A3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7.14. Após o término dos prazos estabelecidos nos subitens anteriores, o sistema ordenará e divulgará os lances segundo a ordem crescente de valores.</w:t>
      </w:r>
    </w:p>
    <w:p w14:paraId="3EA6111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7.15. Não serão aceitos 2 (dois) ou mais lances de mesmo valor, prevalecendo aquele que for recebido e registrado em primeiro lugar. </w:t>
      </w:r>
    </w:p>
    <w:p w14:paraId="03E9EAF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7.16. Durante o transcurso da sessão pública, os licitantes serão informados, em tempo real, do valor do menor lance registrado, vedada a identificação do licitante. </w:t>
      </w:r>
    </w:p>
    <w:p w14:paraId="3FE87A4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 xml:space="preserve">7.17. No caso de desconexão com o Pregoeiro, no decorrer da etapa competitiva do pregão, o sistema eletrônico poderá permanecer acessível aos licitantes para a recepção dos lances. </w:t>
      </w:r>
    </w:p>
    <w:p w14:paraId="54A88AA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7.18.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14:paraId="60DC08B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7.19. Caso o licitante não apresente lances, concorrerá com o valor de sua proposta.</w:t>
      </w:r>
    </w:p>
    <w:p w14:paraId="74479C2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7.20. Em relação a itens não exclusivos para participação de microempresas e empresas de pequeno porte, uma vez encerrada a etapa de lances, será efetivada a verificação automática, junto à Receita Federal, do porte da entidade empresarial. </w:t>
      </w:r>
    </w:p>
    <w:p w14:paraId="7A3ED3D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7.20.1.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nº 8.538, de 2015.</w:t>
      </w:r>
    </w:p>
    <w:p w14:paraId="5752D8F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7.20.2. Nessas condições, as propostas de microempresas e empresas de pequeno porte que se encontrarem na faixa de até 5% (cinco por cento) acima da melhor proposta ou melhor lance serão consideradas empatadas com a primeira colocada.</w:t>
      </w:r>
    </w:p>
    <w:p w14:paraId="205A7C8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7.20.3.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A68507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7.20.4.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1EE39DA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7.20.5.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D23E0E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7.21. Só poderá haver empate entre propostas iguais (não seguidas de lances), ou entre lances finais da fase fechada do modo de disputa aberto e fechado. </w:t>
      </w:r>
    </w:p>
    <w:p w14:paraId="047760C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w:t>
      </w:r>
      <w:r w:rsidRPr="00C65DF7">
        <w:rPr>
          <w:rFonts w:ascii="Verdana" w:hAnsi="Verdana" w:cs="Arial"/>
          <w:bCs/>
          <w:sz w:val="20"/>
          <w:szCs w:val="20"/>
        </w:rPr>
        <w:tab/>
        <w:t>Havendo eventual empate entre propostas ou lances, o critério de desempate será aquele previsto no art. 60 da Lei nº 14.133, de 2021, nesta ordem:</w:t>
      </w:r>
    </w:p>
    <w:p w14:paraId="72C84C8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7.21.1.1. Disputa final, hipótese em que os licitantes empatados poderão apresentar </w:t>
      </w:r>
      <w:r w:rsidRPr="00C65DF7">
        <w:rPr>
          <w:rFonts w:ascii="Verdana" w:hAnsi="Verdana" w:cs="Arial"/>
          <w:bCs/>
          <w:sz w:val="20"/>
          <w:szCs w:val="20"/>
        </w:rPr>
        <w:lastRenderedPageBreak/>
        <w:t>nova proposta em ato contínuo à classificação;</w:t>
      </w:r>
    </w:p>
    <w:p w14:paraId="092C53D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7.21.1.2. Avaliação do desempenho contratual prévio dos licitantes, para a qual deverão preferencialmente ser utilizados registros cadastrais para efeito de atesto de cumprimento de obrigações previstos nesta Lei;</w:t>
      </w:r>
    </w:p>
    <w:p w14:paraId="0498807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7.21.1.3. Desenvolvimento pelo licitante de ações de equidade entre homens e mulheres no ambiente de trabalho, conforme regulamento;</w:t>
      </w:r>
    </w:p>
    <w:p w14:paraId="69856BF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7.21.1.4. Desenvolvimento pelo licitante de programa de integridade, conforme orientações dos órgãos de controle.</w:t>
      </w:r>
    </w:p>
    <w:p w14:paraId="3E8C8E1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 Persistindo o empate, será assegurada preferência, sucessivamente, aos bens e serviços produzidos ou prestados por:</w:t>
      </w:r>
    </w:p>
    <w:p w14:paraId="3133151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FBDEBC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7.21.2.2. Empresas brasileiras;</w:t>
      </w:r>
    </w:p>
    <w:p w14:paraId="040BF16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7.21.2.3. Empresas que invistam em pesquisa e no desenvolvimento de tecnologia no País;</w:t>
      </w:r>
    </w:p>
    <w:p w14:paraId="59383B9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7.21.2.4. Empresas que comprovem a prática de mitigação, nos termos da Lei nº 12.187, de 29 de dezembro de 2009.</w:t>
      </w:r>
    </w:p>
    <w:p w14:paraId="5D537E9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7.22.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672BC25D" w14:textId="77777777" w:rsidR="002B5BFA" w:rsidRPr="00C65DF7" w:rsidRDefault="002B5BFA" w:rsidP="00C65DF7">
      <w:pPr>
        <w:pStyle w:val="Nvel3-R"/>
        <w:numPr>
          <w:ilvl w:val="0"/>
          <w:numId w:val="0"/>
        </w:numPr>
        <w:spacing w:before="0" w:after="0" w:line="360" w:lineRule="auto"/>
        <w:rPr>
          <w:rFonts w:ascii="Verdana" w:hAnsi="Verdana"/>
          <w:i w:val="0"/>
          <w:iCs w:val="0"/>
          <w:color w:val="auto"/>
        </w:rPr>
      </w:pPr>
      <w:r w:rsidRPr="00C65DF7">
        <w:rPr>
          <w:rFonts w:ascii="Verdana" w:hAnsi="Verdana"/>
          <w:i w:val="0"/>
          <w:iCs w:val="0"/>
          <w:color w:val="auto"/>
        </w:rPr>
        <w:t xml:space="preserve">7.22.2. Não será admitida a previsão de preços diferentes em razão de local de entrega ou de acondicionamento, tamanho de lote ou qualquer outro motivo. </w:t>
      </w:r>
    </w:p>
    <w:p w14:paraId="14CC586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7.22.3.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E675EF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7.22.4. A negociação será realizada por meio do sistema, podendo ser acompanhada pelos demais licitantes.</w:t>
      </w:r>
    </w:p>
    <w:p w14:paraId="5EB3593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7.22.5. O resultado da negociação será divulgado a todos os licitantes e anexado aos autos do processo licitatório.</w:t>
      </w:r>
    </w:p>
    <w:p w14:paraId="217255E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7.22.6. O Pregoeiro solicitará ao licitante mais bem classificado que, no prazo de 24</w:t>
      </w:r>
      <w:r w:rsidRPr="00C65DF7">
        <w:rPr>
          <w:rFonts w:ascii="Verdana" w:hAnsi="Verdana" w:cs="Arial"/>
          <w:sz w:val="20"/>
          <w:szCs w:val="20"/>
        </w:rPr>
        <w:t xml:space="preserve"> </w:t>
      </w:r>
      <w:r w:rsidRPr="00C65DF7">
        <w:rPr>
          <w:rFonts w:ascii="Verdana" w:hAnsi="Verdana" w:cs="Arial"/>
          <w:i/>
          <w:iCs/>
          <w:sz w:val="20"/>
          <w:szCs w:val="20"/>
        </w:rPr>
        <w:t>(vinte e quatro horas)</w:t>
      </w:r>
      <w:r w:rsidRPr="00C65DF7">
        <w:rPr>
          <w:rFonts w:ascii="Verdana" w:hAnsi="Verdana" w:cs="Arial"/>
          <w:bCs/>
          <w:sz w:val="20"/>
          <w:szCs w:val="20"/>
        </w:rPr>
        <w:t>, envie a proposta adequada ao último lance ofertado após a negociação realizada, acompanhada, se for o caso, dos documentos complementares, quando necessários à confirmação daqueles exigidos neste Edital e já apresentados.</w:t>
      </w:r>
    </w:p>
    <w:p w14:paraId="3A55ED8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7.22.7. É facultado ao Pregoeiro prorrogar o prazo estabelecido, a partir de solicitação fundamentada feita no chat pelo licitante, antes de findo o prazo.</w:t>
      </w:r>
    </w:p>
    <w:p w14:paraId="0D86753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7.23. Após a negociação do preço, o Pregoeiro iniciará a fase de aceitação e julgamento da proposta.</w:t>
      </w:r>
    </w:p>
    <w:p w14:paraId="7A4B8DA7" w14:textId="77777777" w:rsidR="002B5BFA" w:rsidRPr="00C65DF7" w:rsidRDefault="002B5BFA" w:rsidP="00C65DF7">
      <w:pPr>
        <w:pStyle w:val="Ttulo1"/>
        <w:spacing w:before="0" w:after="0" w:line="360" w:lineRule="auto"/>
        <w:rPr>
          <w:rFonts w:ascii="Verdana" w:hAnsi="Verdana" w:cs="Arial"/>
          <w:sz w:val="20"/>
          <w:szCs w:val="20"/>
        </w:rPr>
      </w:pPr>
    </w:p>
    <w:p w14:paraId="3F86353B" w14:textId="77777777" w:rsidR="002B5BFA" w:rsidRPr="00C65DF7" w:rsidRDefault="002B5BFA" w:rsidP="00C65DF7">
      <w:pPr>
        <w:pStyle w:val="Ttulo1"/>
        <w:spacing w:before="0" w:after="0" w:line="360" w:lineRule="auto"/>
        <w:rPr>
          <w:rFonts w:ascii="Verdana" w:hAnsi="Verdana" w:cs="Arial"/>
          <w:sz w:val="20"/>
          <w:szCs w:val="20"/>
        </w:rPr>
      </w:pPr>
      <w:bookmarkStart w:id="8" w:name="_Toc138354314"/>
      <w:r w:rsidRPr="00C65DF7">
        <w:rPr>
          <w:rFonts w:ascii="Verdana" w:hAnsi="Verdana" w:cs="Arial"/>
          <w:sz w:val="20"/>
          <w:szCs w:val="20"/>
        </w:rPr>
        <w:t>8. DA FASE DE JULGAMENTO</w:t>
      </w:r>
      <w:bookmarkEnd w:id="8"/>
    </w:p>
    <w:p w14:paraId="1AB4F22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8.1. Encerrada a etapa de negociação, o Pregoeiro verificará se o licitante provisoriamente classificado em primeiro lugar atende às condições de participação no certame, conforme previsto no art. 14 da Lei nº 14.133, da 2021, legislação correlata e no item 3</w:t>
      </w:r>
      <w:r w:rsidRPr="00C65DF7">
        <w:rPr>
          <w:rFonts w:ascii="Verdana" w:hAnsi="Verdana" w:cs="Arial"/>
          <w:sz w:val="20"/>
          <w:szCs w:val="20"/>
        </w:rPr>
        <w:t>.7</w:t>
      </w:r>
      <w:r w:rsidRPr="00C65DF7">
        <w:rPr>
          <w:rFonts w:ascii="Verdana" w:hAnsi="Verdana" w:cs="Arial"/>
          <w:bCs/>
          <w:sz w:val="20"/>
          <w:szCs w:val="20"/>
        </w:rPr>
        <w:t xml:space="preserve"> deste Edital, especialmente quanto à existência de sanção que impeça a participação no certame ou a futura contratação. </w:t>
      </w:r>
    </w:p>
    <w:p w14:paraId="2AB9795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8.2. </w:t>
      </w:r>
      <w:r w:rsidRPr="00C65DF7">
        <w:rPr>
          <w:rFonts w:ascii="Verdana" w:hAnsi="Verdana" w:cs="Arial"/>
          <w:sz w:val="20"/>
          <w:szCs w:val="20"/>
        </w:rPr>
        <w:t>Na hipótese de inversão das fases de habilitação e julgamento</w:t>
      </w:r>
      <w:r w:rsidRPr="00C65DF7">
        <w:rPr>
          <w:rFonts w:ascii="Verdana" w:hAnsi="Verdana" w:cs="Arial"/>
          <w:bCs/>
          <w:sz w:val="20"/>
          <w:szCs w:val="20"/>
        </w:rPr>
        <w:t>, caso atendidas as condições de participação, será iniciado o procedimento de habilitação.</w:t>
      </w:r>
    </w:p>
    <w:p w14:paraId="2871A00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8.3. Caso o licitante provisoriamente classificado em primeiro lugar tenha se utilizado de algum tratamento favorecido às microempresas e empresas de pequeno porte, o Pregoeiro verificará se faz jus ao benefício, em conformidade com os </w:t>
      </w:r>
      <w:r w:rsidRPr="00C65DF7">
        <w:rPr>
          <w:rFonts w:ascii="Verdana" w:hAnsi="Verdana" w:cs="Arial"/>
          <w:sz w:val="20"/>
          <w:szCs w:val="20"/>
        </w:rPr>
        <w:t>itens 3.5.1 e 4.6</w:t>
      </w:r>
      <w:r w:rsidRPr="00C65DF7">
        <w:rPr>
          <w:rFonts w:ascii="Verdana" w:hAnsi="Verdana" w:cs="Arial"/>
          <w:bCs/>
          <w:sz w:val="20"/>
          <w:szCs w:val="20"/>
        </w:rPr>
        <w:t xml:space="preserve"> deste Edital.</w:t>
      </w:r>
    </w:p>
    <w:p w14:paraId="2A16069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8.4.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2A06951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 8.5. Será desclassificada a proposta vencedora que: </w:t>
      </w:r>
    </w:p>
    <w:p w14:paraId="599321F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8.5.1. Contiver vícios insanáveis;</w:t>
      </w:r>
    </w:p>
    <w:p w14:paraId="7C8C10C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8.5.2. Não obedecer às especificações técnicas contidas no Termo de Referência;</w:t>
      </w:r>
    </w:p>
    <w:p w14:paraId="246C4D4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8.5.3. Apresentar preços inexequíveis ou permanecerem acima do preço máximo definido para a contratação;</w:t>
      </w:r>
    </w:p>
    <w:p w14:paraId="69DE66D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8.5.4. Não tiverem sua exequibilidade demonstrada, quando exigido pela Administração;</w:t>
      </w:r>
    </w:p>
    <w:p w14:paraId="141C97E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8.5.5. Apresentar desconformidade com quaisquer outras exigências deste Edital ou seus anexos, desde que insanável.</w:t>
      </w:r>
    </w:p>
    <w:p w14:paraId="27FC698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8.6. No caso de bens e serviços em geral, é indício de inexequibilidade das propostas valores inferiores a 50% (cinquenta por cento) do valor orçado pela Administração.</w:t>
      </w:r>
    </w:p>
    <w:p w14:paraId="196986D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8.6.1. A inexequibilidade, na hipótese de que trata o caput só será considerada após diligência do Pregoeiro, que comprove:</w:t>
      </w:r>
    </w:p>
    <w:p w14:paraId="00667FF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8.8.1.1. Que o custo do licitante ultrapassa o valor da proposta; e</w:t>
      </w:r>
    </w:p>
    <w:p w14:paraId="7747A7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8.8.1.2. Inexistirem custos de oportunidade capazes de justificar o vulto da oferta.</w:t>
      </w:r>
    </w:p>
    <w:p w14:paraId="12DFAD4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8.7. Se houver indícios de inexequibilidade da proposta de preço, ou em caso da necessidade de esclarecimentos complementares, poderão ser efetuadas diligências, para </w:t>
      </w:r>
      <w:r w:rsidRPr="00C65DF7">
        <w:rPr>
          <w:rFonts w:ascii="Verdana" w:hAnsi="Verdana" w:cs="Arial"/>
          <w:bCs/>
          <w:sz w:val="20"/>
          <w:szCs w:val="20"/>
        </w:rPr>
        <w:lastRenderedPageBreak/>
        <w:t>que a empresa comprove a exequibilidade da proposta.</w:t>
      </w:r>
    </w:p>
    <w:p w14:paraId="2A068C7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8.8.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847F37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8.9. Erros no preenchimento da planilha não constituem motivo para a desclassificação da proposta. A planilha poderá́ ser ajustada pelo fornecedor, no prazo indicado pelo sistema, desde que não haja majoração do preço.</w:t>
      </w:r>
    </w:p>
    <w:p w14:paraId="5B532F0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8.11.1. O ajuste de que trata este dispositivo se limita a sanar erros ou falhas que não alterem a substância das propostas;</w:t>
      </w:r>
    </w:p>
    <w:p w14:paraId="214139B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8.11.2. Considera-se erro no preenchimento da planilha passível de correção a indicação de recolhimento de impostos e contribuições na forma do Simples Nacional, quando não cabível esse regime.</w:t>
      </w:r>
    </w:p>
    <w:p w14:paraId="5E4F6D67"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bCs/>
          <w:szCs w:val="20"/>
        </w:rPr>
        <w:t xml:space="preserve">8.10. </w:t>
      </w:r>
      <w:r w:rsidRPr="00C65DF7">
        <w:rPr>
          <w:rFonts w:ascii="Verdana" w:hAnsi="Verdana" w:cs="Arial"/>
          <w:color w:val="000000"/>
          <w:szCs w:val="20"/>
        </w:rPr>
        <w:t>Para fins de análise da proposta quanto ao cumprimento das especificações do objeto, poderá ser colhida a manifestação escrita do setor requisitante do serviço ou da área especializada no objeto.</w:t>
      </w:r>
    </w:p>
    <w:p w14:paraId="2824FF68"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color w:val="000000"/>
          <w:szCs w:val="20"/>
        </w:rPr>
        <w:t>8.11. Caso o Termo de Referência exija a apresentação de amostra, o licitante classificado em primeiro lugar deverá apresentá-la, conforme disciplinado no Termo de Referência, sob pena de não aceitação da proposta.</w:t>
      </w:r>
    </w:p>
    <w:p w14:paraId="2E66FD58"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color w:val="000000"/>
          <w:szCs w:val="20"/>
        </w:rPr>
        <w:t>8.12. Por meio de mensagem no sistema, será divulgado o local e horário de realização do procedimento para a avaliação das amostras, caso necessário, cuja presença será facultada a todos os interessados, incluindo os demais licitantes.</w:t>
      </w:r>
    </w:p>
    <w:p w14:paraId="4011D42A"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color w:val="000000"/>
          <w:szCs w:val="20"/>
        </w:rPr>
        <w:t>8.13. Os resultados das avaliações serão divulgados por meio de mensagem no sistema ou outro canal de comunicação pertinente.</w:t>
      </w:r>
    </w:p>
    <w:p w14:paraId="070515C5"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color w:val="000000"/>
          <w:szCs w:val="20"/>
        </w:rPr>
        <w:t xml:space="preserve">8.16. No caso de não haver entrega da amostra ou ocorrer atraso na entrega, sem justificativa aceita pelo Pregoeiro, ou havendo entrega de amostra fora das especificações previstas neste Edital, a proposta do licitante será recusada. </w:t>
      </w:r>
    </w:p>
    <w:p w14:paraId="6920D71E" w14:textId="77777777" w:rsidR="002B5BFA" w:rsidRPr="00C65DF7" w:rsidRDefault="002B5BFA" w:rsidP="00C65DF7">
      <w:pPr>
        <w:pStyle w:val="NormalWeb"/>
        <w:spacing w:before="0" w:beforeAutospacing="0" w:after="0" w:afterAutospacing="0" w:line="360" w:lineRule="auto"/>
        <w:jc w:val="both"/>
        <w:rPr>
          <w:rFonts w:ascii="Verdana" w:hAnsi="Verdana" w:cs="Arial"/>
          <w:bCs/>
          <w:szCs w:val="20"/>
        </w:rPr>
      </w:pPr>
      <w:r w:rsidRPr="00C65DF7">
        <w:rPr>
          <w:rFonts w:ascii="Verdana" w:hAnsi="Verdana" w:cs="Arial"/>
          <w:color w:val="000000"/>
          <w:szCs w:val="20"/>
        </w:rPr>
        <w:t xml:space="preserve">8.17. Se </w:t>
      </w:r>
      <w:proofErr w:type="gramStart"/>
      <w:r w:rsidRPr="00C65DF7">
        <w:rPr>
          <w:rFonts w:ascii="Verdana" w:hAnsi="Verdana" w:cs="Arial"/>
          <w:color w:val="000000"/>
          <w:szCs w:val="20"/>
        </w:rPr>
        <w:t>a(</w:t>
      </w:r>
      <w:proofErr w:type="gramEnd"/>
      <w:r w:rsidRPr="00C65DF7">
        <w:rPr>
          <w:rFonts w:ascii="Verdana" w:hAnsi="Verdana" w:cs="Arial"/>
          <w:color w:val="000000"/>
          <w:szCs w:val="20"/>
        </w:rPr>
        <w:t xml:space="preserve">s) amostra(s) apresentada(s) pelo primeiro classificado não for(em) aceita(s), o Pregoeiro analisará a aceitabilidade da proposta ou lance ofertado pelo segundo classificado. Seguir-se-á com a verificação </w:t>
      </w:r>
      <w:proofErr w:type="gramStart"/>
      <w:r w:rsidRPr="00C65DF7">
        <w:rPr>
          <w:rFonts w:ascii="Verdana" w:hAnsi="Verdana" w:cs="Arial"/>
          <w:color w:val="000000"/>
          <w:szCs w:val="20"/>
        </w:rPr>
        <w:t>da(</w:t>
      </w:r>
      <w:proofErr w:type="gramEnd"/>
      <w:r w:rsidRPr="00C65DF7">
        <w:rPr>
          <w:rFonts w:ascii="Verdana" w:hAnsi="Verdana" w:cs="Arial"/>
          <w:color w:val="000000"/>
          <w:szCs w:val="20"/>
        </w:rPr>
        <w:t>s) amostra(s) e, assim, sucessivamente, até a verificação de uma que atenda às especificações constantes no Termo de Referência.</w:t>
      </w:r>
    </w:p>
    <w:p w14:paraId="2BE98EB7" w14:textId="77777777" w:rsidR="002B5BFA" w:rsidRPr="00C65DF7" w:rsidRDefault="002B5BFA" w:rsidP="00C65DF7">
      <w:pPr>
        <w:pStyle w:val="Ttulo1"/>
        <w:spacing w:before="0" w:after="0" w:line="360" w:lineRule="auto"/>
        <w:rPr>
          <w:rFonts w:ascii="Verdana" w:hAnsi="Verdana" w:cs="Arial"/>
          <w:sz w:val="20"/>
          <w:szCs w:val="20"/>
        </w:rPr>
      </w:pPr>
    </w:p>
    <w:p w14:paraId="3A14BCC6" w14:textId="77777777" w:rsidR="002B5BFA" w:rsidRPr="00C65DF7" w:rsidRDefault="002B5BFA" w:rsidP="00C65DF7">
      <w:pPr>
        <w:pStyle w:val="Ttulo1"/>
        <w:spacing w:before="0" w:after="0" w:line="360" w:lineRule="auto"/>
        <w:rPr>
          <w:rFonts w:ascii="Verdana" w:hAnsi="Verdana" w:cs="Arial"/>
          <w:sz w:val="20"/>
          <w:szCs w:val="20"/>
        </w:rPr>
      </w:pPr>
      <w:bookmarkStart w:id="9" w:name="_Toc138354315"/>
      <w:r w:rsidRPr="00C65DF7">
        <w:rPr>
          <w:rFonts w:ascii="Verdana" w:hAnsi="Verdana" w:cs="Arial"/>
          <w:sz w:val="20"/>
          <w:szCs w:val="20"/>
        </w:rPr>
        <w:t>9. DA FASE DE HABILITAÇÃO</w:t>
      </w:r>
      <w:bookmarkEnd w:id="9"/>
    </w:p>
    <w:p w14:paraId="489ADDE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9.1. Os documentos previstos no Termo de Referência, necessários e suficientes para demonstrar a capacidade do licitante de realizar o objeto da licitação, serão exigidos para </w:t>
      </w:r>
      <w:r w:rsidRPr="00C65DF7">
        <w:rPr>
          <w:rFonts w:ascii="Verdana" w:hAnsi="Verdana" w:cs="Arial"/>
          <w:bCs/>
          <w:sz w:val="20"/>
          <w:szCs w:val="20"/>
        </w:rPr>
        <w:lastRenderedPageBreak/>
        <w:t>fins de habilitação, nos termos dos arts. 62 a 70 da Lei nº 14.133, de 2021.</w:t>
      </w:r>
    </w:p>
    <w:p w14:paraId="783FEF4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9.2. Quando permitida a participação de empresas estrangeiras que não funcionem no País, as exigências de habilitação serão atendidas mediante documentos equivalentes, inicialmente apresentados em tradução livre.</w:t>
      </w:r>
    </w:p>
    <w:p w14:paraId="47CBB3D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CBEFD5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9.4.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60AFD2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9.4.1. Se o consórcio não for formado integralmente por microempresas ou empresas de pequeno porte e o Termo de Referência exigir requisitos de habilitação econômico-financeira, haverá um acréscimo de </w:t>
      </w:r>
      <w:r w:rsidRPr="00C65DF7">
        <w:rPr>
          <w:rFonts w:ascii="Verdana" w:hAnsi="Verdana" w:cs="Arial"/>
          <w:b/>
          <w:i/>
          <w:iCs/>
          <w:sz w:val="20"/>
          <w:szCs w:val="20"/>
        </w:rPr>
        <w:t>20%</w:t>
      </w:r>
      <w:r w:rsidRPr="00C65DF7">
        <w:rPr>
          <w:rFonts w:ascii="Verdana" w:hAnsi="Verdana" w:cs="Arial"/>
          <w:bCs/>
          <w:i/>
          <w:iCs/>
          <w:sz w:val="20"/>
          <w:szCs w:val="20"/>
        </w:rPr>
        <w:t xml:space="preserve"> (vinte por cento)</w:t>
      </w:r>
      <w:r w:rsidRPr="00C65DF7">
        <w:rPr>
          <w:rFonts w:ascii="Verdana" w:hAnsi="Verdana" w:cs="Arial"/>
          <w:bCs/>
          <w:sz w:val="20"/>
          <w:szCs w:val="20"/>
        </w:rPr>
        <w:t xml:space="preserve"> para o consórcio em relação ao valor exigido para os licitantes individuais.</w:t>
      </w:r>
    </w:p>
    <w:p w14:paraId="1E9F951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9.5. Os documentos exigidos para fins de habilitação poderão ser apresentados em original, por cópia ou por </w:t>
      </w:r>
      <w:r w:rsidRPr="00C65DF7">
        <w:rPr>
          <w:rFonts w:ascii="Verdana" w:hAnsi="Verdana" w:cs="Arial"/>
          <w:bCs/>
          <w:i/>
          <w:iCs/>
          <w:sz w:val="20"/>
          <w:szCs w:val="20"/>
        </w:rPr>
        <w:t>qualquer outro meio expressamente admitido pela administração</w:t>
      </w:r>
      <w:r w:rsidRPr="00C65DF7">
        <w:rPr>
          <w:rFonts w:ascii="Verdana" w:hAnsi="Verdana" w:cs="Arial"/>
          <w:bCs/>
          <w:sz w:val="20"/>
          <w:szCs w:val="20"/>
        </w:rPr>
        <w:t>.</w:t>
      </w:r>
    </w:p>
    <w:p w14:paraId="6B287DC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sz w:val="20"/>
          <w:szCs w:val="20"/>
        </w:rPr>
        <w:t>9.6. Os documentos exigidos para fins de habilitação poderão ser substituídos por registro cadastral emitido por órgão ou entidade pública, desde que o registro tenha sido feito em obediência ao disposto na Lei nº 14.133, de 2021.</w:t>
      </w:r>
    </w:p>
    <w:p w14:paraId="0B6E525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9.7. Será verificado se o licitante </w:t>
      </w:r>
      <w:r w:rsidRPr="00C65DF7">
        <w:rPr>
          <w:rFonts w:ascii="Verdana" w:hAnsi="Verdana" w:cs="Arial"/>
          <w:b/>
          <w:bCs/>
          <w:sz w:val="20"/>
          <w:szCs w:val="20"/>
          <w:u w:val="single"/>
        </w:rPr>
        <w:t>apresentou declaração de que atende aos requisitos de habilitação</w:t>
      </w:r>
      <w:r w:rsidRPr="00C65DF7">
        <w:rPr>
          <w:rFonts w:ascii="Verdana" w:hAnsi="Verdana" w:cs="Arial"/>
          <w:bCs/>
          <w:sz w:val="20"/>
          <w:szCs w:val="20"/>
        </w:rPr>
        <w:t>, e o declarante responderá pela veracidade das informações prestadas, na forma do inciso I do art. 63 da Lei nº 14.133, de 2021.</w:t>
      </w:r>
    </w:p>
    <w:p w14:paraId="225A015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9.8. Será verificado se o licitante apresentou no sistema, sob pena de inabilitação, a </w:t>
      </w:r>
      <w:r w:rsidRPr="00C65DF7">
        <w:rPr>
          <w:rFonts w:ascii="Verdana" w:hAnsi="Verdana" w:cs="Arial"/>
          <w:b/>
          <w:bCs/>
          <w:sz w:val="20"/>
          <w:szCs w:val="20"/>
          <w:u w:val="single"/>
        </w:rPr>
        <w:t>declaração de que cumpre as exigências de reserva de cargos para pessoa com deficiência e para reabilitado da Previdência Social</w:t>
      </w:r>
      <w:r w:rsidRPr="00C65DF7">
        <w:rPr>
          <w:rFonts w:ascii="Verdana" w:hAnsi="Verdana" w:cs="Arial"/>
          <w:bCs/>
          <w:sz w:val="20"/>
          <w:szCs w:val="20"/>
        </w:rPr>
        <w:t>, previstas em lei e em outras normas específicas.</w:t>
      </w:r>
    </w:p>
    <w:p w14:paraId="71F32F3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9.9.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9682AE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9.10. A verificação pelo Pregoeiro, em sítios eletrônicos oficiais de órgãos e entidades </w:t>
      </w:r>
      <w:r w:rsidRPr="00C65DF7">
        <w:rPr>
          <w:rFonts w:ascii="Verdana" w:hAnsi="Verdana" w:cs="Arial"/>
          <w:bCs/>
          <w:sz w:val="20"/>
          <w:szCs w:val="20"/>
        </w:rPr>
        <w:lastRenderedPageBreak/>
        <w:t>emissores de certidões constitui meio legal de prova, para fins de habilitação.</w:t>
      </w:r>
    </w:p>
    <w:p w14:paraId="4C43920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9.10.1. Os documentos exigidos para habilitação serão enviados por meio do sistema ou outro meio informado pela administração, em formato digital, no prazo de 24</w:t>
      </w:r>
      <w:r w:rsidRPr="00C65DF7">
        <w:rPr>
          <w:rFonts w:ascii="Verdana" w:hAnsi="Verdana" w:cs="Arial"/>
          <w:bCs/>
          <w:i/>
          <w:iCs/>
          <w:sz w:val="20"/>
          <w:szCs w:val="20"/>
        </w:rPr>
        <w:t xml:space="preserve"> (vinte e quatro)</w:t>
      </w:r>
      <w:r w:rsidRPr="00C65DF7">
        <w:rPr>
          <w:rFonts w:ascii="Verdana" w:hAnsi="Verdana" w:cs="Arial"/>
          <w:bCs/>
          <w:sz w:val="20"/>
          <w:szCs w:val="20"/>
        </w:rPr>
        <w:t xml:space="preserve"> </w:t>
      </w:r>
      <w:r w:rsidRPr="00C65DF7">
        <w:rPr>
          <w:rFonts w:ascii="Verdana" w:hAnsi="Verdana" w:cs="Arial"/>
          <w:bCs/>
          <w:i/>
          <w:iCs/>
          <w:sz w:val="20"/>
          <w:szCs w:val="20"/>
        </w:rPr>
        <w:t>(no mínimo, duas horas)</w:t>
      </w:r>
      <w:r w:rsidRPr="00C65DF7">
        <w:rPr>
          <w:rFonts w:ascii="Verdana" w:hAnsi="Verdana" w:cs="Arial"/>
          <w:bCs/>
          <w:sz w:val="20"/>
          <w:szCs w:val="20"/>
        </w:rPr>
        <w:t>, prorrogável por igual período, contado da solicitação do Pregoeiro.</w:t>
      </w:r>
    </w:p>
    <w:p w14:paraId="5744E3E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9.10.2. Na hipótese de a fase de habilitação anteceder a fase de apresentação de propostas e lances, os licitantes encaminharão, por meio do sistema, simultaneamente os documentos de habilitação e a proposta com o preço ou o percentual de desconto.</w:t>
      </w:r>
    </w:p>
    <w:p w14:paraId="08E860A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9.11. A verificação da exigência dos documentos nele não contidos somente será feita em relação ao licitante vencedor.</w:t>
      </w:r>
    </w:p>
    <w:p w14:paraId="55D0959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9.11.1. Os documentos relativos à regularidade fiscal que constem do Termo de Referência somente serão exigidos, em qualquer caso, em momento posterior ao julgamento das propostas, e apenas do licitante mais bem classificado.</w:t>
      </w:r>
    </w:p>
    <w:p w14:paraId="3E06F70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9.11.2.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2C3EA99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9.12. Após a entrega dos documentos para habilitação, não será permitida a substituição ou a apresentação de novos documentos, salvo em sede de diligência (art. 64 da Lei nº 14.133), para:</w:t>
      </w:r>
    </w:p>
    <w:p w14:paraId="7AFD09F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9.12.1. Complementação de informações acerca dos documentos já apresentados pelos licitantes e desde que necessária para apurar fatos existentes à época da abertura do certame; e</w:t>
      </w:r>
    </w:p>
    <w:p w14:paraId="5873B86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9.12.2. Atualização de documentos cuja validade tenha expirado após a data de recebimento das propostas;</w:t>
      </w:r>
    </w:p>
    <w:p w14:paraId="6A75E3F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47B75C7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9.14. Na hipótese de o licitante não atender às exigências para habilitação, o Pregoeiro examinará a proposta subsequente e assim sucessivamente, na ordem de classificação, até a apuração de uma proposta que atenda ao presente Edital</w:t>
      </w:r>
      <w:r w:rsidRPr="00C65DF7">
        <w:rPr>
          <w:rFonts w:ascii="Verdana" w:hAnsi="Verdana" w:cs="Arial"/>
          <w:sz w:val="20"/>
          <w:szCs w:val="20"/>
        </w:rPr>
        <w:t>.</w:t>
      </w:r>
    </w:p>
    <w:p w14:paraId="6062092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9.15. Somente serão disponibilizados para acesso público os documentos de habilitação do licitante cuja proposta atenda ao Edital de licitação, após concluídos os procedimentos de que trata o subitem anterior.</w:t>
      </w:r>
    </w:p>
    <w:p w14:paraId="2C052C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9.16. Quando a fase de habilitação anteceder a de julgamento e já tiver sido encerrada, não caberá exclusão de licitante por motivo relacionado à habilitação, salvo em razão de </w:t>
      </w:r>
      <w:r w:rsidRPr="00C65DF7">
        <w:rPr>
          <w:rFonts w:ascii="Verdana" w:hAnsi="Verdana" w:cs="Arial"/>
          <w:bCs/>
          <w:sz w:val="20"/>
          <w:szCs w:val="20"/>
        </w:rPr>
        <w:lastRenderedPageBreak/>
        <w:t>fatos supervenientes ou só conhecidos após o julgamento.</w:t>
      </w:r>
    </w:p>
    <w:p w14:paraId="5D76D7BE" w14:textId="77777777" w:rsidR="002B5BFA" w:rsidRPr="00C65DF7" w:rsidRDefault="002B5BFA" w:rsidP="00C65DF7">
      <w:pPr>
        <w:pStyle w:val="Ttulo1"/>
        <w:spacing w:before="0" w:after="0" w:line="360" w:lineRule="auto"/>
        <w:rPr>
          <w:rFonts w:ascii="Verdana" w:hAnsi="Verdana"/>
          <w:color w:val="00B050"/>
          <w:sz w:val="20"/>
          <w:szCs w:val="20"/>
        </w:rPr>
      </w:pPr>
    </w:p>
    <w:p w14:paraId="333F6DA4" w14:textId="77777777" w:rsidR="002B5BFA" w:rsidRPr="00C65DF7" w:rsidRDefault="002B5BFA" w:rsidP="00C65DF7">
      <w:pPr>
        <w:pStyle w:val="Ttulo1"/>
        <w:spacing w:before="0" w:after="0" w:line="360" w:lineRule="auto"/>
        <w:rPr>
          <w:rFonts w:ascii="Verdana" w:hAnsi="Verdana" w:cs="Arial"/>
          <w:color w:val="auto"/>
          <w:sz w:val="20"/>
          <w:szCs w:val="20"/>
        </w:rPr>
      </w:pPr>
      <w:bookmarkStart w:id="10" w:name="_Toc138354316"/>
      <w:r w:rsidRPr="00C65DF7">
        <w:rPr>
          <w:rFonts w:ascii="Verdana" w:hAnsi="Verdana"/>
          <w:color w:val="auto"/>
          <w:sz w:val="20"/>
          <w:szCs w:val="20"/>
        </w:rPr>
        <w:t>10</w:t>
      </w:r>
      <w:r w:rsidRPr="00C65DF7">
        <w:rPr>
          <w:rFonts w:ascii="Verdana" w:hAnsi="Verdana" w:cs="Arial"/>
          <w:color w:val="auto"/>
          <w:sz w:val="20"/>
          <w:szCs w:val="20"/>
        </w:rPr>
        <w:t>. DA ATA DE REGISTRO DE PREÇOS</w:t>
      </w:r>
      <w:bookmarkEnd w:id="10"/>
    </w:p>
    <w:p w14:paraId="235DE959"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10.1. Homologado o resultado da licitação, o licitante mais bem classificado terá o prazo de 72 (setenta e duas) horas, contados a partir da data de sua convocação, para assinar a Ata de Registro de Preços, cujo prazo de validade encontra-se nela fixado, sob pena de decadência do direito à contratação, sem prejuízo das sanções previstas na Lei nº 14.133, de 2021. </w:t>
      </w:r>
    </w:p>
    <w:p w14:paraId="64CDBAB8"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10.2. O prazo de convocação poderá ser prorrogado uma vez, por igual período, mediante   solicitação do licitante mais bem classificado ou do fornecedor convocado, desde que:</w:t>
      </w:r>
    </w:p>
    <w:p w14:paraId="4381184F" w14:textId="77777777" w:rsidR="002B5BFA" w:rsidRPr="00C65DF7" w:rsidRDefault="002B5BFA" w:rsidP="00C65DF7">
      <w:pPr>
        <w:pStyle w:val="Nivel2"/>
        <w:numPr>
          <w:ilvl w:val="0"/>
          <w:numId w:val="0"/>
        </w:numPr>
        <w:spacing w:before="0" w:after="0" w:line="360" w:lineRule="auto"/>
        <w:rPr>
          <w:rFonts w:ascii="Verdana" w:hAnsi="Verdana" w:cs="Arial"/>
          <w:iCs/>
          <w:sz w:val="20"/>
          <w:szCs w:val="20"/>
        </w:rPr>
      </w:pPr>
      <w:r w:rsidRPr="00C65DF7">
        <w:rPr>
          <w:rFonts w:ascii="Verdana" w:hAnsi="Verdana" w:cs="Arial"/>
          <w:iCs/>
          <w:sz w:val="20"/>
          <w:szCs w:val="20"/>
        </w:rPr>
        <w:t xml:space="preserve">10.2.1. </w:t>
      </w:r>
      <w:proofErr w:type="gramStart"/>
      <w:r w:rsidRPr="00C65DF7">
        <w:rPr>
          <w:rFonts w:ascii="Verdana" w:hAnsi="Verdana" w:cs="Arial"/>
          <w:iCs/>
          <w:sz w:val="20"/>
          <w:szCs w:val="20"/>
        </w:rPr>
        <w:t>a</w:t>
      </w:r>
      <w:proofErr w:type="gramEnd"/>
      <w:r w:rsidRPr="00C65DF7">
        <w:rPr>
          <w:rFonts w:ascii="Verdana" w:hAnsi="Verdana" w:cs="Arial"/>
          <w:iCs/>
          <w:sz w:val="20"/>
          <w:szCs w:val="20"/>
        </w:rPr>
        <w:t xml:space="preserve"> solicitação seja devidamente justificada e apresentada dentro do prazo; e</w:t>
      </w:r>
    </w:p>
    <w:p w14:paraId="4A8E6504" w14:textId="77777777" w:rsidR="002B5BFA" w:rsidRPr="00C65DF7" w:rsidRDefault="002B5BFA" w:rsidP="00C65DF7">
      <w:pPr>
        <w:pStyle w:val="Nivel2"/>
        <w:numPr>
          <w:ilvl w:val="0"/>
          <w:numId w:val="0"/>
        </w:numPr>
        <w:spacing w:before="0" w:after="0" w:line="360" w:lineRule="auto"/>
        <w:rPr>
          <w:rFonts w:ascii="Verdana" w:hAnsi="Verdana" w:cs="Arial"/>
          <w:iCs/>
          <w:sz w:val="20"/>
          <w:szCs w:val="20"/>
        </w:rPr>
      </w:pPr>
      <w:r w:rsidRPr="00C65DF7">
        <w:rPr>
          <w:rFonts w:ascii="Verdana" w:hAnsi="Verdana" w:cs="Arial"/>
          <w:iCs/>
          <w:sz w:val="20"/>
          <w:szCs w:val="20"/>
        </w:rPr>
        <w:t xml:space="preserve">10.2.2. </w:t>
      </w:r>
      <w:proofErr w:type="gramStart"/>
      <w:r w:rsidRPr="00C65DF7">
        <w:rPr>
          <w:rFonts w:ascii="Verdana" w:hAnsi="Verdana" w:cs="Arial"/>
          <w:iCs/>
          <w:sz w:val="20"/>
          <w:szCs w:val="20"/>
        </w:rPr>
        <w:t>a</w:t>
      </w:r>
      <w:proofErr w:type="gramEnd"/>
      <w:r w:rsidRPr="00C65DF7">
        <w:rPr>
          <w:rFonts w:ascii="Verdana" w:hAnsi="Verdana" w:cs="Arial"/>
          <w:iCs/>
          <w:sz w:val="20"/>
          <w:szCs w:val="20"/>
        </w:rPr>
        <w:t xml:space="preserve"> justificativa apresentada seja aceita pela Administração.</w:t>
      </w:r>
    </w:p>
    <w:p w14:paraId="53C62DE2"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10.3. A ata de registro de preços será assinada por meio de assinatura digital e disponibilizada no sistema de registro de preços.</w:t>
      </w:r>
    </w:p>
    <w:p w14:paraId="74DB125C"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10.4. Serão formalizadas tantas Atas de Registro de Preços quantas forem necessárias para o registro de todos os itens constantes no Termo de Referência, com a indicação do licitante vencedor, a descrição </w:t>
      </w:r>
      <w:proofErr w:type="gramStart"/>
      <w:r w:rsidRPr="00C65DF7">
        <w:rPr>
          <w:rFonts w:ascii="Verdana" w:hAnsi="Verdana" w:cs="Arial"/>
          <w:sz w:val="20"/>
          <w:szCs w:val="20"/>
        </w:rPr>
        <w:t>do(</w:t>
      </w:r>
      <w:proofErr w:type="gramEnd"/>
      <w:r w:rsidRPr="00C65DF7">
        <w:rPr>
          <w:rFonts w:ascii="Verdana" w:hAnsi="Verdana" w:cs="Arial"/>
          <w:sz w:val="20"/>
          <w:szCs w:val="20"/>
        </w:rPr>
        <w:t>s) item (ns), as respectivas quantidades, preços registrados e demais condições.</w:t>
      </w:r>
    </w:p>
    <w:p w14:paraId="135C5CC5"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10.5. O preço registrado, com a indicação dos fornecedores, será divulgado no PNCP e disponibilizado durante a vigência da ata de registro de preços.</w:t>
      </w:r>
    </w:p>
    <w:p w14:paraId="595FA318"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500AC08"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5D4805A" w14:textId="77777777" w:rsidR="002B5BFA" w:rsidRPr="00C65DF7" w:rsidRDefault="002B5BFA" w:rsidP="00C65DF7">
      <w:pPr>
        <w:spacing w:line="360" w:lineRule="auto"/>
        <w:rPr>
          <w:rFonts w:ascii="Verdana" w:hAnsi="Verdana" w:cs="Arial"/>
          <w:sz w:val="20"/>
          <w:szCs w:val="20"/>
        </w:rPr>
      </w:pPr>
    </w:p>
    <w:p w14:paraId="044CE78C" w14:textId="77777777" w:rsidR="002B5BFA" w:rsidRPr="00C65DF7" w:rsidRDefault="002B5BFA" w:rsidP="00C65DF7">
      <w:pPr>
        <w:pStyle w:val="Ttulo1"/>
        <w:spacing w:before="0" w:after="0" w:line="360" w:lineRule="auto"/>
        <w:rPr>
          <w:rFonts w:ascii="Verdana" w:hAnsi="Verdana" w:cs="Arial"/>
          <w:color w:val="auto"/>
          <w:sz w:val="20"/>
          <w:szCs w:val="20"/>
        </w:rPr>
      </w:pPr>
      <w:bookmarkStart w:id="11" w:name="_Toc138354317"/>
      <w:r w:rsidRPr="00C65DF7">
        <w:rPr>
          <w:rFonts w:ascii="Verdana" w:hAnsi="Verdana" w:cs="Arial"/>
          <w:color w:val="auto"/>
          <w:sz w:val="20"/>
          <w:szCs w:val="20"/>
        </w:rPr>
        <w:t>11. DA FORMAÇÃO DO CADASTRO DE RESERVA</w:t>
      </w:r>
      <w:bookmarkEnd w:id="11"/>
    </w:p>
    <w:p w14:paraId="155B9A16"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11.1. Após a homologação da licitação, será incluído na ata, na forma de anexo, o registro:</w:t>
      </w:r>
    </w:p>
    <w:p w14:paraId="7633089E"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t xml:space="preserve">11.1.1. </w:t>
      </w:r>
      <w:proofErr w:type="gramStart"/>
      <w:r w:rsidRPr="00C65DF7">
        <w:rPr>
          <w:rFonts w:ascii="Verdana" w:hAnsi="Verdana"/>
          <w:color w:val="auto"/>
        </w:rPr>
        <w:t>dos</w:t>
      </w:r>
      <w:proofErr w:type="gramEnd"/>
      <w:r w:rsidRPr="00C65DF7">
        <w:rPr>
          <w:rFonts w:ascii="Verdana" w:hAnsi="Verdana"/>
          <w:color w:val="auto"/>
        </w:rPr>
        <w:t xml:space="preserve"> licitantes </w:t>
      </w:r>
      <w:bookmarkStart w:id="12" w:name="_Hlk132991372"/>
      <w:r w:rsidRPr="00C65DF7">
        <w:rPr>
          <w:rFonts w:ascii="Verdana" w:hAnsi="Verdana"/>
          <w:color w:val="auto"/>
        </w:rPr>
        <w:t xml:space="preserve">que </w:t>
      </w:r>
      <w:bookmarkStart w:id="13" w:name="_Hlk132989696"/>
      <w:r w:rsidRPr="00C65DF7">
        <w:rPr>
          <w:rFonts w:ascii="Verdana" w:hAnsi="Verdana"/>
          <w:color w:val="auto"/>
        </w:rPr>
        <w:t>aceitarem cotar o objeto com preço igual ao do adjudicatári</w:t>
      </w:r>
      <w:bookmarkEnd w:id="12"/>
      <w:r w:rsidRPr="00C65DF7">
        <w:rPr>
          <w:rFonts w:ascii="Verdana" w:hAnsi="Verdana"/>
          <w:color w:val="auto"/>
        </w:rPr>
        <w:t>o</w:t>
      </w:r>
      <w:bookmarkEnd w:id="13"/>
      <w:r w:rsidRPr="00C65DF7">
        <w:rPr>
          <w:rFonts w:ascii="Verdana" w:hAnsi="Verdana"/>
          <w:color w:val="auto"/>
        </w:rPr>
        <w:t xml:space="preserve">, observada a classificação na licitação; e </w:t>
      </w:r>
    </w:p>
    <w:p w14:paraId="1EDE924E" w14:textId="77777777" w:rsidR="002B5BFA" w:rsidRPr="00C65DF7" w:rsidRDefault="002B5BFA" w:rsidP="00C65DF7">
      <w:pPr>
        <w:pStyle w:val="Nivel3"/>
        <w:spacing w:before="0" w:after="0" w:line="360" w:lineRule="auto"/>
        <w:ind w:left="0" w:firstLine="0"/>
        <w:rPr>
          <w:rFonts w:ascii="Verdana" w:eastAsia="MS Mincho" w:hAnsi="Verdana"/>
          <w:iCs/>
          <w:color w:val="auto"/>
        </w:rPr>
      </w:pPr>
      <w:r w:rsidRPr="00C65DF7">
        <w:rPr>
          <w:rFonts w:ascii="Verdana" w:hAnsi="Verdana"/>
          <w:color w:val="auto"/>
        </w:rPr>
        <w:t xml:space="preserve">11.1.2. </w:t>
      </w:r>
      <w:proofErr w:type="gramStart"/>
      <w:r w:rsidRPr="00C65DF7">
        <w:rPr>
          <w:rFonts w:ascii="Verdana" w:hAnsi="Verdana"/>
          <w:color w:val="auto"/>
        </w:rPr>
        <w:t>dos</w:t>
      </w:r>
      <w:proofErr w:type="gramEnd"/>
      <w:r w:rsidRPr="00C65DF7">
        <w:rPr>
          <w:rFonts w:ascii="Verdana" w:hAnsi="Verdana"/>
          <w:color w:val="auto"/>
        </w:rPr>
        <w:t xml:space="preserve"> licitantes que mantiverem sua proposta original.</w:t>
      </w:r>
    </w:p>
    <w:p w14:paraId="5B9F8C62" w14:textId="77777777" w:rsidR="002B5BFA" w:rsidRPr="00C65DF7" w:rsidRDefault="002B5BFA" w:rsidP="00C65DF7">
      <w:pPr>
        <w:pStyle w:val="Nivel2"/>
        <w:numPr>
          <w:ilvl w:val="0"/>
          <w:numId w:val="0"/>
        </w:numPr>
        <w:spacing w:before="0" w:after="0" w:line="360" w:lineRule="auto"/>
        <w:rPr>
          <w:rFonts w:ascii="Verdana" w:eastAsia="MS Mincho" w:hAnsi="Verdana" w:cs="Arial"/>
          <w:i/>
          <w:iCs/>
          <w:sz w:val="20"/>
          <w:szCs w:val="20"/>
        </w:rPr>
      </w:pPr>
      <w:r w:rsidRPr="00C65DF7">
        <w:rPr>
          <w:rFonts w:ascii="Verdana" w:hAnsi="Verdana" w:cs="Arial"/>
          <w:sz w:val="20"/>
          <w:szCs w:val="20"/>
        </w:rPr>
        <w:lastRenderedPageBreak/>
        <w:t>11.2. Será respeitada, nas contratações, a ordem de classificação dos licitantes ou fornecedores registrados na ata.</w:t>
      </w:r>
    </w:p>
    <w:p w14:paraId="12D96179" w14:textId="77777777" w:rsidR="002B5BFA" w:rsidRPr="00C65DF7" w:rsidRDefault="002B5BFA" w:rsidP="00C65DF7">
      <w:pPr>
        <w:pStyle w:val="Nivel3"/>
        <w:spacing w:before="0" w:after="0" w:line="360" w:lineRule="auto"/>
        <w:ind w:left="0" w:firstLine="0"/>
        <w:rPr>
          <w:rFonts w:ascii="Verdana" w:eastAsia="Times New Roman" w:hAnsi="Verdana"/>
          <w:color w:val="auto"/>
        </w:rPr>
      </w:pPr>
      <w:r w:rsidRPr="00C65DF7">
        <w:rPr>
          <w:rFonts w:ascii="Verdana" w:hAnsi="Verdana"/>
          <w:color w:val="auto"/>
        </w:rPr>
        <w:t>11.2.1. A apresentação de novas propostas na forma deste item não prejudicará o resultado do certame em relação ao licitante mais bem classificado.</w:t>
      </w:r>
    </w:p>
    <w:p w14:paraId="387D1894"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t>11.2.2. Para fins da ordem de classificação, os licitantes ou fornecedores que aceitarem cotar o objeto com preço igual ao do adjudicatário antecederão aqueles que mantiverem sua proposta original.</w:t>
      </w:r>
    </w:p>
    <w:p w14:paraId="3224B364"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11.3. A habilitação dos licitantes que comporão o cadastro de reserva será efetuada quando houver necessidade de contratação dos licitantes remanescentes, nas seguintes hipóteses:</w:t>
      </w:r>
    </w:p>
    <w:p w14:paraId="4502E410"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t xml:space="preserve">11.3.1. </w:t>
      </w:r>
      <w:proofErr w:type="gramStart"/>
      <w:r w:rsidRPr="00C65DF7">
        <w:rPr>
          <w:rFonts w:ascii="Verdana" w:hAnsi="Verdana"/>
          <w:color w:val="auto"/>
        </w:rPr>
        <w:t>quando</w:t>
      </w:r>
      <w:proofErr w:type="gramEnd"/>
      <w:r w:rsidRPr="00C65DF7">
        <w:rPr>
          <w:rFonts w:ascii="Verdana" w:hAnsi="Verdana"/>
          <w:color w:val="auto"/>
        </w:rPr>
        <w:t xml:space="preserve"> o licitante vencedor não assinar a ata de registro de preços no prazo e nas condições estabelecidos no edital; ou</w:t>
      </w:r>
    </w:p>
    <w:p w14:paraId="1AF40066" w14:textId="77777777" w:rsidR="002B5BFA" w:rsidRPr="00C65DF7" w:rsidRDefault="002B5BFA" w:rsidP="00C65DF7">
      <w:pPr>
        <w:pStyle w:val="Nivel3"/>
        <w:spacing w:before="0" w:after="0" w:line="360" w:lineRule="auto"/>
        <w:ind w:left="0" w:firstLine="0"/>
        <w:rPr>
          <w:rFonts w:ascii="Verdana" w:eastAsia="Times New Roman" w:hAnsi="Verdana"/>
          <w:color w:val="auto"/>
        </w:rPr>
      </w:pPr>
      <w:r w:rsidRPr="00C65DF7">
        <w:rPr>
          <w:rFonts w:ascii="Verdana" w:hAnsi="Verdana"/>
          <w:color w:val="auto"/>
        </w:rPr>
        <w:t xml:space="preserve">11.3.2. </w:t>
      </w:r>
      <w:proofErr w:type="gramStart"/>
      <w:r w:rsidRPr="00C65DF7">
        <w:rPr>
          <w:rFonts w:ascii="Verdana" w:hAnsi="Verdana"/>
          <w:color w:val="auto"/>
        </w:rPr>
        <w:t>quando</w:t>
      </w:r>
      <w:proofErr w:type="gramEnd"/>
      <w:r w:rsidRPr="00C65DF7">
        <w:rPr>
          <w:rFonts w:ascii="Verdana" w:hAnsi="Verdana"/>
          <w:color w:val="auto"/>
        </w:rPr>
        <w:t xml:space="preserve"> houver o cancelamento do registro do fornecedor ou do registro de preços, nas hipóteses previstas em lei.</w:t>
      </w:r>
    </w:p>
    <w:p w14:paraId="1DC00094"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9E2F818"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t xml:space="preserve">11.4.1. </w:t>
      </w:r>
      <w:proofErr w:type="gramStart"/>
      <w:r w:rsidRPr="00C65DF7">
        <w:rPr>
          <w:rFonts w:ascii="Verdana" w:hAnsi="Verdana"/>
          <w:color w:val="auto"/>
        </w:rPr>
        <w:t>convocar</w:t>
      </w:r>
      <w:proofErr w:type="gramEnd"/>
      <w:r w:rsidRPr="00C65DF7">
        <w:rPr>
          <w:rFonts w:ascii="Verdana" w:hAnsi="Verdana"/>
          <w:color w:val="auto"/>
        </w:rPr>
        <w:t xml:space="preserve"> os licitantes que mantiveram sua proposta original para negociação, na ordem de classificação, com vistas à obtenção de preço melhor, mesmo que acima do preço do adjudicatário; ou</w:t>
      </w:r>
    </w:p>
    <w:p w14:paraId="435491C0"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t xml:space="preserve">11.4.2. </w:t>
      </w:r>
      <w:proofErr w:type="gramStart"/>
      <w:r w:rsidRPr="00C65DF7">
        <w:rPr>
          <w:rFonts w:ascii="Verdana" w:hAnsi="Verdana"/>
          <w:color w:val="auto"/>
        </w:rPr>
        <w:t>adjudicar</w:t>
      </w:r>
      <w:proofErr w:type="gramEnd"/>
      <w:r w:rsidRPr="00C65DF7">
        <w:rPr>
          <w:rFonts w:ascii="Verdana" w:hAnsi="Verdana"/>
          <w:color w:val="auto"/>
        </w:rPr>
        <w:t xml:space="preserve"> e firmar o contrato nas condições ofertadas pelos licitantes remanescentes, observada a ordem de classificação, quando frustrada a negociação de melhor condição.</w:t>
      </w:r>
    </w:p>
    <w:p w14:paraId="1E685535" w14:textId="77777777" w:rsidR="002B5BFA" w:rsidRPr="00C65DF7" w:rsidRDefault="002B5BFA" w:rsidP="00C65DF7">
      <w:pPr>
        <w:pStyle w:val="Ttulo1"/>
        <w:spacing w:before="0" w:after="0" w:line="360" w:lineRule="auto"/>
        <w:rPr>
          <w:rFonts w:ascii="Verdana" w:hAnsi="Verdana" w:cs="Arial"/>
          <w:sz w:val="20"/>
          <w:szCs w:val="20"/>
        </w:rPr>
      </w:pPr>
    </w:p>
    <w:p w14:paraId="23999FA8" w14:textId="77777777" w:rsidR="002B5BFA" w:rsidRPr="00C65DF7" w:rsidRDefault="002B5BFA" w:rsidP="00C65DF7">
      <w:pPr>
        <w:pStyle w:val="Ttulo1"/>
        <w:spacing w:before="0" w:after="0" w:line="360" w:lineRule="auto"/>
        <w:rPr>
          <w:rFonts w:ascii="Verdana" w:hAnsi="Verdana" w:cs="Arial"/>
          <w:sz w:val="20"/>
          <w:szCs w:val="20"/>
        </w:rPr>
      </w:pPr>
      <w:bookmarkStart w:id="14" w:name="_Toc138354318"/>
      <w:r w:rsidRPr="00C65DF7">
        <w:rPr>
          <w:rFonts w:ascii="Verdana" w:hAnsi="Verdana" w:cs="Arial"/>
          <w:sz w:val="20"/>
          <w:szCs w:val="20"/>
        </w:rPr>
        <w:t>12. DOS RECURSOS</w:t>
      </w:r>
      <w:bookmarkEnd w:id="14"/>
    </w:p>
    <w:p w14:paraId="578EBBD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12.1. A interposição de recurso referente ao julgamento das propostas, à habilitação ou inabilitação de licitantes, à anulação ou revogação da licitação, observará o disposto no art. 165 da Lei nº 14.133, de 2021.</w:t>
      </w:r>
    </w:p>
    <w:p w14:paraId="19C9B9D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12.2. O prazo recursal é de 3 (três) dias úteis, contados da data de intimação ou de lavratura da ata.</w:t>
      </w:r>
    </w:p>
    <w:p w14:paraId="6AEC566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12.3. Quando o recurso apresentado impugnar o julgamento das propostas ou o ato de habilitação ou inabilitação do licitante:</w:t>
      </w:r>
    </w:p>
    <w:p w14:paraId="07BBCF0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12.3.1. A intenção de recorrer deverá ser manifestada imediatamente, sob pena de preclusão;</w:t>
      </w:r>
    </w:p>
    <w:p w14:paraId="4B0284D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12.3.2. O prazo </w:t>
      </w:r>
      <w:r w:rsidRPr="00C65DF7">
        <w:rPr>
          <w:rFonts w:ascii="Verdana" w:hAnsi="Verdana" w:cs="Arial"/>
          <w:sz w:val="20"/>
          <w:szCs w:val="20"/>
        </w:rPr>
        <w:t>para a manifestação da intenção de recorrer não será inferior a 10 (dez) minutos;</w:t>
      </w:r>
    </w:p>
    <w:p w14:paraId="3AAE9CD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12.3.3. O prazo para apresentação das razões recursais será iniciado na data de intimação ou de lavratura da ata de habilitação ou inabilitação;</w:t>
      </w:r>
    </w:p>
    <w:p w14:paraId="57C2FC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12.3.4. Na hipótese de adoção da inversão de fases prevista no § 1º do art. 17 da Lei nº 14.133, de 2021, o prazo para apresentação das razões recursais será iniciado na data de intimação da ata de julgamento.</w:t>
      </w:r>
    </w:p>
    <w:p w14:paraId="6E4B8D4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12.4. Os recursos deverão ser encaminhados em campo próprio do sistema.</w:t>
      </w:r>
    </w:p>
    <w:p w14:paraId="6377DCD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86034A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12.6. Os recursos interpostos fora do prazo não serão conhecidos. </w:t>
      </w:r>
    </w:p>
    <w:p w14:paraId="6DD0602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E068E1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12.8. O recurso e o pedido de reconsideração terão efeito suspensivo do ato ou da decisão recorrida até que sobrevenha decisão final da autoridade competente. </w:t>
      </w:r>
    </w:p>
    <w:p w14:paraId="0C84F56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12.9. O acolhimento do recurso invalida tão somente os atos insuscetíveis de aproveitamento. </w:t>
      </w:r>
    </w:p>
    <w:p w14:paraId="63C80294" w14:textId="77777777" w:rsidR="002B5BFA" w:rsidRPr="00C65DF7" w:rsidRDefault="002B5BFA" w:rsidP="00C65DF7">
      <w:pPr>
        <w:spacing w:line="360" w:lineRule="auto"/>
        <w:rPr>
          <w:rFonts w:ascii="Verdana" w:hAnsi="Verdana" w:cs="Arial"/>
          <w:bCs/>
          <w:i/>
          <w:iCs/>
          <w:sz w:val="20"/>
          <w:szCs w:val="20"/>
        </w:rPr>
      </w:pPr>
      <w:r w:rsidRPr="00C65DF7">
        <w:rPr>
          <w:rFonts w:ascii="Verdana" w:hAnsi="Verdana" w:cs="Arial"/>
          <w:bCs/>
          <w:sz w:val="20"/>
          <w:szCs w:val="20"/>
        </w:rPr>
        <w:t xml:space="preserve">12.10. Os autos do processo permanecerão com vista franqueada aos interessados no sítio eletrônico </w:t>
      </w:r>
      <w:hyperlink r:id="rId11" w:history="1">
        <w:r w:rsidRPr="00C65DF7">
          <w:rPr>
            <w:rStyle w:val="Hyperlink"/>
            <w:rFonts w:ascii="Verdana" w:eastAsia="Calibri" w:hAnsi="Verdana" w:cs="Arial"/>
            <w:b/>
            <w:bCs/>
            <w:sz w:val="20"/>
            <w:szCs w:val="20"/>
          </w:rPr>
          <w:t>https://bnc.org.br/</w:t>
        </w:r>
      </w:hyperlink>
      <w:r w:rsidRPr="00C65DF7">
        <w:rPr>
          <w:rStyle w:val="Hyperlink"/>
          <w:rFonts w:ascii="Verdana" w:eastAsia="Calibri" w:hAnsi="Verdana" w:cs="Arial"/>
          <w:b/>
          <w:bCs/>
          <w:iCs/>
          <w:sz w:val="20"/>
          <w:szCs w:val="20"/>
        </w:rPr>
        <w:t>.</w:t>
      </w:r>
    </w:p>
    <w:p w14:paraId="0B17D983" w14:textId="77777777" w:rsidR="002B5BFA" w:rsidRPr="00C65DF7" w:rsidRDefault="002B5BFA" w:rsidP="00C65DF7">
      <w:pPr>
        <w:spacing w:line="360" w:lineRule="auto"/>
        <w:rPr>
          <w:rFonts w:ascii="Verdana" w:hAnsi="Verdana" w:cs="Arial"/>
          <w:bCs/>
          <w:i/>
          <w:iCs/>
          <w:sz w:val="20"/>
          <w:szCs w:val="20"/>
        </w:rPr>
      </w:pPr>
    </w:p>
    <w:p w14:paraId="2D001FBA" w14:textId="77777777" w:rsidR="002B5BFA" w:rsidRPr="00C65DF7" w:rsidRDefault="002B5BFA" w:rsidP="00C65DF7">
      <w:pPr>
        <w:pStyle w:val="Ttulo1"/>
        <w:spacing w:before="0" w:after="0" w:line="360" w:lineRule="auto"/>
        <w:rPr>
          <w:rFonts w:ascii="Verdana" w:hAnsi="Verdana" w:cs="Arial"/>
          <w:sz w:val="20"/>
          <w:szCs w:val="20"/>
        </w:rPr>
      </w:pPr>
      <w:bookmarkStart w:id="15" w:name="_Toc138354319"/>
      <w:r w:rsidRPr="00C65DF7">
        <w:rPr>
          <w:rFonts w:ascii="Verdana" w:hAnsi="Verdana" w:cs="Arial"/>
          <w:sz w:val="20"/>
          <w:szCs w:val="20"/>
        </w:rPr>
        <w:t>13. DAS INFRAÇÕES ADMINISTRATIVAS E SANÇÕES</w:t>
      </w:r>
      <w:bookmarkEnd w:id="15"/>
    </w:p>
    <w:p w14:paraId="78CDF1B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 Comete infração administrativa, nos termos da lei, o licitante que, com dolo ou culpa: </w:t>
      </w:r>
    </w:p>
    <w:p w14:paraId="0FBE0C5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13.1.1. Deixar de entregar a documentação exigida para o certame ou não entregar qualquer documento que tenha sido solicitado pelo/a Pregoeiro/a durante o certame;</w:t>
      </w:r>
    </w:p>
    <w:p w14:paraId="08EB1A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13.1.2. Salvo em decorrência de fato superveniente devidamente justificado, não mantiver a proposta em especial quando:</w:t>
      </w:r>
    </w:p>
    <w:p w14:paraId="3E52448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13.1.2.1. Não enviar a proposta adequada ao último lance ofertado ou após a negociação; </w:t>
      </w:r>
    </w:p>
    <w:p w14:paraId="751BBB8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13.1.2.2. Recusar-se a enviar o detalhamento da proposta quando exigível; </w:t>
      </w:r>
    </w:p>
    <w:p w14:paraId="43F6AEC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13.1.2.3. Pedir para ser desclassificado quando encerrada a etapa competitiva; ou</w:t>
      </w:r>
    </w:p>
    <w:p w14:paraId="699C7FC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13.1.2.4. Deixar de apresentar amostra;</w:t>
      </w:r>
    </w:p>
    <w:p w14:paraId="33DEF3E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13.1.2.5. Apresentar proposta em desacordo com as especificações do Edital. </w:t>
      </w:r>
    </w:p>
    <w:p w14:paraId="0B407D8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13.1.3. Não celebrar o contrato ou não entregar a documentação exigida para a contratação, quando convocado dentro do prazo de validade de sua proposta.</w:t>
      </w:r>
    </w:p>
    <w:p w14:paraId="441C60E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13.1.3.1. Recusar-se, sem justificativa, a assinar o contrato ou a ata de registro de preço, ou a aceitar ou retirar o instrumento equivalente no prazo estabelecido pela Administração.</w:t>
      </w:r>
    </w:p>
    <w:p w14:paraId="0FBDAAD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13.1.4. Apresentar declaração ou documentação falsa exigida para o certame ou prestar declaração falsa durante a licitação.</w:t>
      </w:r>
    </w:p>
    <w:p w14:paraId="7A4F29A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13.1.5. Fraudar a licitação;</w:t>
      </w:r>
    </w:p>
    <w:p w14:paraId="49FD028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13.1.6. Comportar-se de modo inidôneo ou cometer fraude de qualquer natureza, em especial quando:</w:t>
      </w:r>
    </w:p>
    <w:p w14:paraId="0A576E7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13.1.6.1. Agir em conluio ou em desconformidade com a lei; </w:t>
      </w:r>
    </w:p>
    <w:p w14:paraId="5736324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13.1.6.2. Induzir deliberadamente a erro no julgamento; </w:t>
      </w:r>
    </w:p>
    <w:p w14:paraId="5534E16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13.1.6.3. Apresentar amostra falsificada ou deteriorada.</w:t>
      </w:r>
    </w:p>
    <w:p w14:paraId="68B925E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13.1.7. Praticar atos ilícitos com vistas a frustrar os objetivos da licitação.</w:t>
      </w:r>
    </w:p>
    <w:p w14:paraId="21F0132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13.1.8. Praticar ato lesivo previsto no art. 5º da Lei nº 12.846, de 2013.</w:t>
      </w:r>
    </w:p>
    <w:p w14:paraId="121C22F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13.2. Com fulcro na Lei nº 14.133, de 2021, a Administração poderá, garantida a prévia defesa, aplicar aos licitantes e/ou adjudicatários as seguintes sanções, sem prejuízo das responsabilidades civil e criminal: </w:t>
      </w:r>
    </w:p>
    <w:p w14:paraId="5C75A54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13.2.1. Advertência; </w:t>
      </w:r>
    </w:p>
    <w:p w14:paraId="2853AA2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13.2.2. Multa;</w:t>
      </w:r>
    </w:p>
    <w:p w14:paraId="2CB38DE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13.2.3. Impedimento de licitar e contratar; e</w:t>
      </w:r>
    </w:p>
    <w:p w14:paraId="7F58D5A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13.2.4. Declaração de inidoneidade para licitar ou contratar, enquanto perdurarem os motivos determinantes da punição ou até que seja promovida sua reabilitação perante a própria autoridade que aplicou a penalidade.</w:t>
      </w:r>
    </w:p>
    <w:p w14:paraId="0E093A9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 Na aplicação das sanções serão considerados:</w:t>
      </w:r>
    </w:p>
    <w:p w14:paraId="131A75E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13.3.1. A natureza e a gravidade da infração cometida;</w:t>
      </w:r>
    </w:p>
    <w:p w14:paraId="7928C7D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13.3.2. As peculiaridades do caso concreto;</w:t>
      </w:r>
    </w:p>
    <w:p w14:paraId="2C88AA6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13.3.3. as circunstâncias agravantes ou atenuantes;</w:t>
      </w:r>
    </w:p>
    <w:p w14:paraId="11FD022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13.3.4. Os danos que dela provierem para a Administração Pública;</w:t>
      </w:r>
    </w:p>
    <w:p w14:paraId="3248BE3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13.3.5. A implantação ou o aperfeiçoamento de programa de integridade, conforme normas e orientações dos órgãos de controle.</w:t>
      </w:r>
    </w:p>
    <w:p w14:paraId="2BB5AC8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13.4. A multa será recolhida em percentual de </w:t>
      </w:r>
      <w:r w:rsidRPr="00C65DF7">
        <w:rPr>
          <w:rFonts w:ascii="Verdana" w:hAnsi="Verdana" w:cs="Arial"/>
          <w:b/>
          <w:i/>
          <w:iCs/>
          <w:sz w:val="20"/>
          <w:szCs w:val="20"/>
        </w:rPr>
        <w:t>0,5%</w:t>
      </w:r>
      <w:r w:rsidRPr="00C65DF7">
        <w:rPr>
          <w:rFonts w:ascii="Verdana" w:hAnsi="Verdana" w:cs="Arial"/>
          <w:bCs/>
          <w:sz w:val="20"/>
          <w:szCs w:val="20"/>
        </w:rPr>
        <w:t xml:space="preserve"> a </w:t>
      </w:r>
      <w:r w:rsidRPr="00C65DF7">
        <w:rPr>
          <w:rFonts w:ascii="Verdana" w:hAnsi="Verdana" w:cs="Arial"/>
          <w:b/>
          <w:i/>
          <w:iCs/>
          <w:sz w:val="20"/>
          <w:szCs w:val="20"/>
        </w:rPr>
        <w:t>30%</w:t>
      </w:r>
      <w:r w:rsidRPr="00C65DF7">
        <w:rPr>
          <w:rFonts w:ascii="Verdana" w:hAnsi="Verdana" w:cs="Arial"/>
          <w:bCs/>
          <w:sz w:val="20"/>
          <w:szCs w:val="20"/>
        </w:rPr>
        <w:t xml:space="preserve"> incidente sobre o valor do contrato licitado, recolhida no prazo máximo de </w:t>
      </w:r>
      <w:r w:rsidRPr="00C65DF7">
        <w:rPr>
          <w:rFonts w:ascii="Verdana" w:hAnsi="Verdana" w:cs="Arial"/>
          <w:b/>
          <w:i/>
          <w:iCs/>
          <w:sz w:val="20"/>
          <w:szCs w:val="20"/>
        </w:rPr>
        <w:t xml:space="preserve">08 </w:t>
      </w:r>
      <w:r w:rsidRPr="00C65DF7">
        <w:rPr>
          <w:rFonts w:ascii="Verdana" w:hAnsi="Verdana" w:cs="Arial"/>
          <w:bCs/>
          <w:sz w:val="20"/>
          <w:szCs w:val="20"/>
        </w:rPr>
        <w:t xml:space="preserve">dias úteis, a contar da comunicação oficial. </w:t>
      </w:r>
    </w:p>
    <w:p w14:paraId="73A8968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13.4.1. Para as infrações previstas dos itens 13.1.1 a 13.1.3, a multa será de </w:t>
      </w:r>
      <w:r w:rsidRPr="00C65DF7">
        <w:rPr>
          <w:rFonts w:ascii="Verdana" w:hAnsi="Verdana" w:cs="Arial"/>
          <w:b/>
          <w:i/>
          <w:iCs/>
          <w:sz w:val="20"/>
          <w:szCs w:val="20"/>
        </w:rPr>
        <w:t>0,5%</w:t>
      </w:r>
      <w:r w:rsidRPr="00C65DF7">
        <w:rPr>
          <w:rFonts w:ascii="Verdana" w:hAnsi="Verdana" w:cs="Arial"/>
          <w:bCs/>
          <w:sz w:val="20"/>
          <w:szCs w:val="20"/>
        </w:rPr>
        <w:t xml:space="preserve"> a </w:t>
      </w:r>
      <w:r w:rsidRPr="00C65DF7">
        <w:rPr>
          <w:rFonts w:ascii="Verdana" w:hAnsi="Verdana" w:cs="Arial"/>
          <w:b/>
          <w:i/>
          <w:iCs/>
          <w:sz w:val="20"/>
          <w:szCs w:val="20"/>
        </w:rPr>
        <w:t>15%</w:t>
      </w:r>
      <w:r w:rsidRPr="00C65DF7">
        <w:rPr>
          <w:rFonts w:ascii="Verdana" w:hAnsi="Verdana" w:cs="Arial"/>
          <w:bCs/>
          <w:sz w:val="20"/>
          <w:szCs w:val="20"/>
        </w:rPr>
        <w:t xml:space="preserve"> do valor do contrato licitado.</w:t>
      </w:r>
    </w:p>
    <w:p w14:paraId="25A2961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13.4.2. Para as infrações previstas dos itens 13.1.4 a 13.1.8, a multa será de </w:t>
      </w:r>
      <w:r w:rsidRPr="00C65DF7">
        <w:rPr>
          <w:rFonts w:ascii="Verdana" w:hAnsi="Verdana" w:cs="Arial"/>
          <w:b/>
          <w:i/>
          <w:iCs/>
          <w:sz w:val="20"/>
          <w:szCs w:val="20"/>
        </w:rPr>
        <w:t>15%</w:t>
      </w:r>
      <w:r w:rsidRPr="00C65DF7">
        <w:rPr>
          <w:rFonts w:ascii="Verdana" w:hAnsi="Verdana" w:cs="Arial"/>
          <w:bCs/>
          <w:sz w:val="20"/>
          <w:szCs w:val="20"/>
        </w:rPr>
        <w:t xml:space="preserve"> a </w:t>
      </w:r>
      <w:r w:rsidRPr="00C65DF7">
        <w:rPr>
          <w:rFonts w:ascii="Verdana" w:hAnsi="Verdana" w:cs="Arial"/>
          <w:b/>
          <w:i/>
          <w:iCs/>
          <w:sz w:val="20"/>
          <w:szCs w:val="20"/>
        </w:rPr>
        <w:t>30%</w:t>
      </w:r>
      <w:r w:rsidRPr="00C65DF7">
        <w:rPr>
          <w:rFonts w:ascii="Verdana" w:hAnsi="Verdana" w:cs="Arial"/>
          <w:bCs/>
          <w:sz w:val="20"/>
          <w:szCs w:val="20"/>
        </w:rPr>
        <w:t xml:space="preserve"> do valor do contrato licitado.</w:t>
      </w:r>
    </w:p>
    <w:p w14:paraId="69642E3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13.5. As sanções de advertência, impedimento de licitar e contratar e declaração de </w:t>
      </w:r>
      <w:r w:rsidRPr="00C65DF7">
        <w:rPr>
          <w:rFonts w:ascii="Verdana" w:hAnsi="Verdana" w:cs="Arial"/>
          <w:bCs/>
          <w:sz w:val="20"/>
          <w:szCs w:val="20"/>
        </w:rPr>
        <w:lastRenderedPageBreak/>
        <w:t>inidoneidade para licitar ou contratar poderão ser aplicadas, cumulativamente ou não, à penalidade de multa.</w:t>
      </w:r>
    </w:p>
    <w:p w14:paraId="434CFF1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13.6. Na aplicação da sanção de multa será facultada a defesa do interessado no prazo de 15 (quinze) dias úteis, contado da data de sua intimação.</w:t>
      </w:r>
    </w:p>
    <w:p w14:paraId="7BE307C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13.7. A sanção de impedimento de licitar e contratar será aplicada ao responsável em decorrência das infrações administrativas relacionadas dos itens 13.1.1 a 13.1.3,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FADF86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13.8. Poderá ser aplicada ao responsável a sanção de declaração de inidoneidade para licitar ou contratar, em decorrência da prática das infrações dispostas dos itens 13.1.4 a 13.1.8, bem como pelas infrações administrativas previstas dos itens 13.1.1 a 13.1.3 que justifiquem a imposição de penalidade mais grave que a sanção de impedimento de licitar e contratar, cuja duração observará o prazo previsto no §5º do art. 156 da Lei nº 14.133, de 2021.</w:t>
      </w:r>
    </w:p>
    <w:p w14:paraId="601FF14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13.9. 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p>
    <w:p w14:paraId="4477BA1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2AA58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F1DD79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E536C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13.13. O recurso e o pedido de reconsideração terão efeito suspensivo do ato ou da decisão recorrida até que sobrevenha decisão final da autoridade competente.</w:t>
      </w:r>
    </w:p>
    <w:p w14:paraId="5273C949" w14:textId="77777777" w:rsidR="002B5BFA" w:rsidRPr="00C65DF7" w:rsidRDefault="002B5BFA" w:rsidP="00C65DF7">
      <w:pPr>
        <w:spacing w:line="360" w:lineRule="auto"/>
        <w:rPr>
          <w:rFonts w:ascii="Verdana" w:hAnsi="Verdana" w:cstheme="minorHAnsi"/>
          <w:bCs/>
          <w:sz w:val="20"/>
          <w:szCs w:val="20"/>
        </w:rPr>
      </w:pPr>
      <w:r w:rsidRPr="00C65DF7">
        <w:rPr>
          <w:rFonts w:ascii="Verdana" w:hAnsi="Verdana" w:cs="Arial"/>
          <w:bCs/>
          <w:sz w:val="20"/>
          <w:szCs w:val="20"/>
        </w:rPr>
        <w:t>13.14. A aplicação das sanções previstas neste Edital não exclui, em hipótese alguma, a obrigação de reparação integral dos danos causados</w:t>
      </w:r>
      <w:r w:rsidRPr="00C65DF7">
        <w:rPr>
          <w:rFonts w:ascii="Verdana" w:hAnsi="Verdana" w:cstheme="minorHAnsi"/>
          <w:bCs/>
          <w:sz w:val="20"/>
          <w:szCs w:val="20"/>
        </w:rPr>
        <w:t>.</w:t>
      </w:r>
    </w:p>
    <w:p w14:paraId="3EFDD08F" w14:textId="77777777" w:rsidR="002B5BFA" w:rsidRPr="00C65DF7" w:rsidRDefault="002B5BFA" w:rsidP="00C65DF7">
      <w:pPr>
        <w:pStyle w:val="Ttulo1"/>
        <w:spacing w:before="0" w:after="0" w:line="360" w:lineRule="auto"/>
        <w:rPr>
          <w:rFonts w:ascii="Verdana" w:hAnsi="Verdana" w:cs="Arial"/>
          <w:sz w:val="20"/>
          <w:szCs w:val="20"/>
        </w:rPr>
      </w:pPr>
    </w:p>
    <w:p w14:paraId="2A36CC07" w14:textId="77777777" w:rsidR="002B5BFA" w:rsidRPr="00C65DF7" w:rsidRDefault="002B5BFA" w:rsidP="00C65DF7">
      <w:pPr>
        <w:pStyle w:val="Ttulo1"/>
        <w:spacing w:before="0" w:after="0" w:line="360" w:lineRule="auto"/>
        <w:rPr>
          <w:rFonts w:ascii="Verdana" w:hAnsi="Verdana" w:cs="Arial"/>
          <w:sz w:val="20"/>
          <w:szCs w:val="20"/>
        </w:rPr>
      </w:pPr>
      <w:bookmarkStart w:id="16" w:name="_Toc138354320"/>
      <w:r w:rsidRPr="00C65DF7">
        <w:rPr>
          <w:rFonts w:ascii="Verdana" w:hAnsi="Verdana" w:cs="Arial"/>
          <w:sz w:val="20"/>
          <w:szCs w:val="20"/>
        </w:rPr>
        <w:t>14. DA IMPUGNAÇÃO AO EDITAL E DO PEDIDO DE ESCLARECIMENTO</w:t>
      </w:r>
      <w:bookmarkEnd w:id="16"/>
    </w:p>
    <w:p w14:paraId="133DE65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14.1. Qualquer pessoa é parte legítima para impugnar este Edital por irregularidade na aplicação do art. 164 da Lei nº 14.133, de 2021, devendo protocolar o pedido até 3 (três) dias úteis antes da data da abertura do certame.</w:t>
      </w:r>
    </w:p>
    <w:p w14:paraId="48BB2BA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14.2. A resposta à impugnação ou ao pedido de esclarecimento será divulgado em sítio eletrônico oficial no prazo de até 3 (três) dias úteis, limitado ao último dia útil anterior à data da abertura do certame.</w:t>
      </w:r>
    </w:p>
    <w:p w14:paraId="4F8612B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14.3. A impugnação e o pedido de esclarecimento poderão ser realizados por forma eletrônica, pelos seguintes meios: governo@correntina.ba.gov.br</w:t>
      </w:r>
    </w:p>
    <w:p w14:paraId="6588ABA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14.4. As impugnações e pedidos de esclarecimentos não suspendem os prazos previstos no certame.</w:t>
      </w:r>
    </w:p>
    <w:p w14:paraId="472F0AB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14.4.1. A concessão de efeito suspensivo à impugnação é medida excepcional e deverá ser motivada pelo agente de contratação, nos autos do processo de licitação (§2º do art. 16 da IN Seges/ME nº 73, de 2022).</w:t>
      </w:r>
    </w:p>
    <w:p w14:paraId="72BA62B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14.5. Acolhida a impugnação, será definida e publicada nova data para a realização do certame.</w:t>
      </w:r>
    </w:p>
    <w:p w14:paraId="736A2A0C" w14:textId="77777777" w:rsidR="002B5BFA" w:rsidRPr="00C65DF7" w:rsidRDefault="002B5BFA" w:rsidP="00C65DF7">
      <w:pPr>
        <w:spacing w:line="360" w:lineRule="auto"/>
        <w:rPr>
          <w:rFonts w:ascii="Verdana" w:hAnsi="Verdana" w:cs="Arial"/>
          <w:bCs/>
          <w:sz w:val="20"/>
          <w:szCs w:val="20"/>
        </w:rPr>
      </w:pPr>
    </w:p>
    <w:p w14:paraId="4ADBFC47" w14:textId="77777777" w:rsidR="002B5BFA" w:rsidRPr="00C65DF7" w:rsidRDefault="002B5BFA" w:rsidP="00C65DF7">
      <w:pPr>
        <w:pStyle w:val="Ttulo1"/>
        <w:spacing w:before="0" w:after="0" w:line="360" w:lineRule="auto"/>
        <w:rPr>
          <w:rFonts w:ascii="Verdana" w:hAnsi="Verdana" w:cs="Arial"/>
          <w:sz w:val="20"/>
          <w:szCs w:val="20"/>
        </w:rPr>
      </w:pPr>
      <w:bookmarkStart w:id="17" w:name="_Toc138354321"/>
      <w:r w:rsidRPr="00C65DF7">
        <w:rPr>
          <w:rFonts w:ascii="Verdana" w:hAnsi="Verdana" w:cs="Arial"/>
          <w:sz w:val="20"/>
          <w:szCs w:val="20"/>
        </w:rPr>
        <w:t>15. DAS DISPOSIÇÕES GERAIS</w:t>
      </w:r>
      <w:bookmarkEnd w:id="17"/>
    </w:p>
    <w:p w14:paraId="746A1B9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15.1. Será divulgada ata da sessão pública no sistema eletrônico.</w:t>
      </w:r>
    </w:p>
    <w:p w14:paraId="25B23E7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213FCD4" w14:textId="687B1F26" w:rsidR="002B5BFA" w:rsidRDefault="002B5BFA" w:rsidP="00C65DF7">
      <w:pPr>
        <w:spacing w:line="360" w:lineRule="auto"/>
        <w:rPr>
          <w:rFonts w:ascii="Verdana" w:hAnsi="Verdana" w:cs="Arial"/>
          <w:bCs/>
          <w:sz w:val="20"/>
          <w:szCs w:val="20"/>
        </w:rPr>
      </w:pPr>
      <w:r w:rsidRPr="00C65DF7">
        <w:rPr>
          <w:rFonts w:ascii="Verdana" w:hAnsi="Verdana" w:cs="Arial"/>
          <w:bCs/>
          <w:sz w:val="20"/>
          <w:szCs w:val="20"/>
        </w:rPr>
        <w:t>15.3. Todas as referências de tempo no Edital, no aviso e durante a sessão pública observarão o horário de Brasília - DF.</w:t>
      </w:r>
    </w:p>
    <w:p w14:paraId="5666F35C" w14:textId="27D70F17" w:rsidR="00821AEF" w:rsidRPr="00C65DF7" w:rsidRDefault="00821AEF" w:rsidP="00C65DF7">
      <w:pPr>
        <w:spacing w:line="360" w:lineRule="auto"/>
        <w:rPr>
          <w:rFonts w:ascii="Verdana" w:hAnsi="Verdana" w:cs="Arial"/>
          <w:bCs/>
          <w:sz w:val="20"/>
          <w:szCs w:val="20"/>
        </w:rPr>
      </w:pPr>
      <w:r>
        <w:rPr>
          <w:rFonts w:ascii="Verdana" w:hAnsi="Verdana" w:cs="Arial"/>
          <w:bCs/>
          <w:sz w:val="20"/>
          <w:szCs w:val="20"/>
        </w:rPr>
        <w:t>15.4. A empresa que não apresentar a certidão de insolvencia Civil será desclassificada.</w:t>
      </w:r>
    </w:p>
    <w:p w14:paraId="13D72C6E" w14:textId="68E0ECFD" w:rsidR="002B5BFA" w:rsidRPr="00C65DF7" w:rsidRDefault="00EB6003" w:rsidP="00C65DF7">
      <w:pPr>
        <w:spacing w:line="360" w:lineRule="auto"/>
        <w:rPr>
          <w:rFonts w:ascii="Verdana" w:hAnsi="Verdana" w:cs="Arial"/>
          <w:bCs/>
          <w:sz w:val="20"/>
          <w:szCs w:val="20"/>
        </w:rPr>
      </w:pPr>
      <w:r>
        <w:rPr>
          <w:rFonts w:ascii="Verdana" w:hAnsi="Verdana" w:cs="Arial"/>
          <w:bCs/>
          <w:sz w:val="20"/>
          <w:szCs w:val="20"/>
        </w:rPr>
        <w:t>15.5</w:t>
      </w:r>
      <w:r w:rsidR="002B5BFA" w:rsidRPr="00C65DF7">
        <w:rPr>
          <w:rFonts w:ascii="Verdana" w:hAnsi="Verdana" w:cs="Arial"/>
          <w:bCs/>
          <w:sz w:val="20"/>
          <w:szCs w:val="20"/>
        </w:rPr>
        <w:t>. A homologação do resultado desta licitação não implicará direito à contratação.</w:t>
      </w:r>
    </w:p>
    <w:p w14:paraId="40D04284" w14:textId="1AA15021" w:rsidR="002B5BFA" w:rsidRPr="00C65DF7" w:rsidRDefault="00EB6003" w:rsidP="00C65DF7">
      <w:pPr>
        <w:spacing w:line="360" w:lineRule="auto"/>
        <w:rPr>
          <w:rFonts w:ascii="Verdana" w:hAnsi="Verdana" w:cs="Arial"/>
          <w:bCs/>
          <w:sz w:val="20"/>
          <w:szCs w:val="20"/>
        </w:rPr>
      </w:pPr>
      <w:r>
        <w:rPr>
          <w:rFonts w:ascii="Verdana" w:hAnsi="Verdana" w:cs="Arial"/>
          <w:bCs/>
          <w:sz w:val="20"/>
          <w:szCs w:val="20"/>
        </w:rPr>
        <w:t>15.6</w:t>
      </w:r>
      <w:r w:rsidR="002B5BFA" w:rsidRPr="00C65DF7">
        <w:rPr>
          <w:rFonts w:ascii="Verdana" w:hAnsi="Verdana" w:cs="Arial"/>
          <w:bCs/>
          <w:sz w:val="20"/>
          <w:szCs w:val="20"/>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10949188" w14:textId="61658CF5" w:rsidR="002B5BFA" w:rsidRPr="00C65DF7" w:rsidRDefault="00EB6003" w:rsidP="00C65DF7">
      <w:pPr>
        <w:spacing w:line="360" w:lineRule="auto"/>
        <w:rPr>
          <w:rFonts w:ascii="Verdana" w:hAnsi="Verdana" w:cs="Arial"/>
          <w:bCs/>
          <w:sz w:val="20"/>
          <w:szCs w:val="20"/>
        </w:rPr>
      </w:pPr>
      <w:r>
        <w:rPr>
          <w:rFonts w:ascii="Verdana" w:hAnsi="Verdana" w:cs="Arial"/>
          <w:bCs/>
          <w:sz w:val="20"/>
          <w:szCs w:val="20"/>
        </w:rPr>
        <w:t>15.7</w:t>
      </w:r>
      <w:r w:rsidR="002B5BFA" w:rsidRPr="00C65DF7">
        <w:rPr>
          <w:rFonts w:ascii="Verdana" w:hAnsi="Verdana" w:cs="Arial"/>
          <w:bCs/>
          <w:sz w:val="20"/>
          <w:szCs w:val="20"/>
        </w:rPr>
        <w:t xml:space="preserve">. Os licitantes assumem todos os custos de preparação e apresentação de suas propostas e a Administração não será, em nenhum caso, responsável por esses custos, </w:t>
      </w:r>
      <w:r w:rsidR="002B5BFA" w:rsidRPr="00C65DF7">
        <w:rPr>
          <w:rFonts w:ascii="Verdana" w:hAnsi="Verdana" w:cs="Arial"/>
          <w:bCs/>
          <w:sz w:val="20"/>
          <w:szCs w:val="20"/>
        </w:rPr>
        <w:lastRenderedPageBreak/>
        <w:t>independentemente da condução ou do resultado do processo licitatório.</w:t>
      </w:r>
    </w:p>
    <w:p w14:paraId="2E9FBE23" w14:textId="6FC29401" w:rsidR="002B5BFA" w:rsidRPr="00C65DF7" w:rsidRDefault="00EB6003" w:rsidP="00C65DF7">
      <w:pPr>
        <w:spacing w:line="360" w:lineRule="auto"/>
        <w:rPr>
          <w:rFonts w:ascii="Verdana" w:hAnsi="Verdana" w:cs="Arial"/>
          <w:bCs/>
          <w:sz w:val="20"/>
          <w:szCs w:val="20"/>
        </w:rPr>
      </w:pPr>
      <w:r>
        <w:rPr>
          <w:rFonts w:ascii="Verdana" w:hAnsi="Verdana" w:cs="Arial"/>
          <w:bCs/>
          <w:sz w:val="20"/>
          <w:szCs w:val="20"/>
        </w:rPr>
        <w:t>15.8</w:t>
      </w:r>
      <w:r w:rsidR="002B5BFA" w:rsidRPr="00C65DF7">
        <w:rPr>
          <w:rFonts w:ascii="Verdana" w:hAnsi="Verdana" w:cs="Arial"/>
          <w:bCs/>
          <w:sz w:val="20"/>
          <w:szCs w:val="20"/>
        </w:rPr>
        <w:t>. Na contagem dos prazos estabelecidos neste Edital e seus Anexos, excluir-se-á o dia do início e incluir-se-á o do vencimento. Só se iniciam e vencem os prazos em dias de expediente na Administração.</w:t>
      </w:r>
    </w:p>
    <w:p w14:paraId="414E133D" w14:textId="6CC95812" w:rsidR="002B5BFA" w:rsidRPr="00C65DF7" w:rsidRDefault="00EB6003" w:rsidP="00C65DF7">
      <w:pPr>
        <w:spacing w:line="360" w:lineRule="auto"/>
        <w:rPr>
          <w:rFonts w:ascii="Verdana" w:hAnsi="Verdana" w:cs="Arial"/>
          <w:bCs/>
          <w:sz w:val="20"/>
          <w:szCs w:val="20"/>
        </w:rPr>
      </w:pPr>
      <w:r>
        <w:rPr>
          <w:rFonts w:ascii="Verdana" w:hAnsi="Verdana" w:cs="Arial"/>
          <w:bCs/>
          <w:sz w:val="20"/>
          <w:szCs w:val="20"/>
        </w:rPr>
        <w:t>15.9</w:t>
      </w:r>
      <w:r w:rsidR="002B5BFA" w:rsidRPr="00C65DF7">
        <w:rPr>
          <w:rFonts w:ascii="Verdana" w:hAnsi="Verdana" w:cs="Arial"/>
          <w:bCs/>
          <w:sz w:val="20"/>
          <w:szCs w:val="20"/>
        </w:rPr>
        <w:t>. O desatendimento de exigências formais não essenciais não importará o afastamento do licitante, desde que seja possível o aproveitamento do ato, observados os princípios da isonomia e do interesse público.</w:t>
      </w:r>
    </w:p>
    <w:p w14:paraId="6B44F2C9" w14:textId="31FF0BFA" w:rsidR="002B5BFA" w:rsidRPr="00C65DF7" w:rsidRDefault="00EB6003" w:rsidP="00C65DF7">
      <w:pPr>
        <w:spacing w:line="360" w:lineRule="auto"/>
        <w:rPr>
          <w:rFonts w:ascii="Verdana" w:hAnsi="Verdana" w:cs="Arial"/>
          <w:bCs/>
          <w:sz w:val="20"/>
          <w:szCs w:val="20"/>
        </w:rPr>
      </w:pPr>
      <w:r>
        <w:rPr>
          <w:rFonts w:ascii="Verdana" w:hAnsi="Verdana" w:cs="Arial"/>
          <w:bCs/>
          <w:sz w:val="20"/>
          <w:szCs w:val="20"/>
        </w:rPr>
        <w:t>15.10</w:t>
      </w:r>
      <w:r w:rsidR="002B5BFA" w:rsidRPr="00C65DF7">
        <w:rPr>
          <w:rFonts w:ascii="Verdana" w:hAnsi="Verdana" w:cs="Arial"/>
          <w:bCs/>
          <w:sz w:val="20"/>
          <w:szCs w:val="20"/>
        </w:rPr>
        <w:t>. Em caso de divergência entre disposições deste Edital e de seus anexos ou demais peças que compõem o processo, prevalecerá as deste Edital.</w:t>
      </w:r>
    </w:p>
    <w:p w14:paraId="4F22EAE0" w14:textId="33DD0CE4"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15.1</w:t>
      </w:r>
      <w:r w:rsidR="00EB6003">
        <w:rPr>
          <w:rFonts w:ascii="Verdana" w:hAnsi="Verdana" w:cs="Arial"/>
          <w:bCs/>
          <w:sz w:val="20"/>
          <w:szCs w:val="20"/>
        </w:rPr>
        <w:t>1</w:t>
      </w:r>
      <w:r w:rsidRPr="00C65DF7">
        <w:rPr>
          <w:rFonts w:ascii="Verdana" w:hAnsi="Verdana" w:cs="Arial"/>
          <w:bCs/>
          <w:sz w:val="20"/>
          <w:szCs w:val="20"/>
        </w:rPr>
        <w:t xml:space="preserve">. O Edital e seus anexos estão disponíveis, na íntegra, no Portal Nacional de Contratações Públicas (PNCP) e no endereço eletrônico </w:t>
      </w:r>
      <w:hyperlink r:id="rId12" w:history="1">
        <w:r w:rsidRPr="00C65DF7">
          <w:rPr>
            <w:rStyle w:val="Hyperlink"/>
            <w:rFonts w:ascii="Verdana" w:eastAsia="Calibri" w:hAnsi="Verdana" w:cs="Arial"/>
            <w:b/>
            <w:bCs/>
            <w:sz w:val="20"/>
            <w:szCs w:val="20"/>
          </w:rPr>
          <w:t>https://bnc.org.br/</w:t>
        </w:r>
      </w:hyperlink>
      <w:r w:rsidRPr="00C65DF7">
        <w:rPr>
          <w:rFonts w:ascii="Verdana" w:hAnsi="Verdana" w:cs="Arial"/>
          <w:bCs/>
          <w:sz w:val="20"/>
          <w:szCs w:val="20"/>
        </w:rPr>
        <w:t xml:space="preserve">. </w:t>
      </w:r>
    </w:p>
    <w:p w14:paraId="099975C2" w14:textId="501E6141"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15.1</w:t>
      </w:r>
      <w:r w:rsidR="00EB6003">
        <w:rPr>
          <w:rFonts w:ascii="Verdana" w:hAnsi="Verdana" w:cs="Arial"/>
          <w:bCs/>
          <w:sz w:val="20"/>
          <w:szCs w:val="20"/>
        </w:rPr>
        <w:t>2</w:t>
      </w:r>
      <w:r w:rsidRPr="00C65DF7">
        <w:rPr>
          <w:rFonts w:ascii="Verdana" w:hAnsi="Verdana" w:cs="Arial"/>
          <w:bCs/>
          <w:sz w:val="20"/>
          <w:szCs w:val="20"/>
        </w:rPr>
        <w:t>. Integram este Edital, para todos os fins e efeitos, os seguintes anexos:</w:t>
      </w:r>
    </w:p>
    <w:p w14:paraId="5F4759E8" w14:textId="77777777" w:rsidR="002B5BFA" w:rsidRPr="00C65DF7" w:rsidRDefault="002B5BFA" w:rsidP="00C65DF7">
      <w:pPr>
        <w:spacing w:line="360" w:lineRule="auto"/>
        <w:rPr>
          <w:rFonts w:ascii="Verdana" w:hAnsi="Verdana" w:cs="Arial"/>
          <w:sz w:val="20"/>
          <w:szCs w:val="20"/>
        </w:rPr>
      </w:pPr>
      <w:r w:rsidRPr="00C65DF7">
        <w:rPr>
          <w:rFonts w:ascii="Verdana" w:hAnsi="Verdana" w:cs="Arial"/>
          <w:bCs/>
          <w:sz w:val="20"/>
          <w:szCs w:val="20"/>
        </w:rPr>
        <w:t xml:space="preserve">ANEXO I – </w:t>
      </w:r>
      <w:r w:rsidRPr="00C65DF7">
        <w:rPr>
          <w:rFonts w:ascii="Verdana" w:hAnsi="Verdana" w:cs="Arial"/>
          <w:sz w:val="20"/>
          <w:szCs w:val="20"/>
        </w:rPr>
        <w:t>Termo de Referência</w:t>
      </w:r>
    </w:p>
    <w:p w14:paraId="4F510F9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ANEXO II – Minuta de Termo de Contrato</w:t>
      </w:r>
    </w:p>
    <w:p w14:paraId="73D00CC9" w14:textId="77777777" w:rsidR="002B5BFA" w:rsidRPr="00C65DF7" w:rsidRDefault="002B5BFA" w:rsidP="00C65DF7">
      <w:pPr>
        <w:spacing w:line="360" w:lineRule="auto"/>
        <w:rPr>
          <w:rFonts w:ascii="Verdana" w:hAnsi="Verdana" w:cs="Arial"/>
          <w:iCs/>
          <w:sz w:val="20"/>
          <w:szCs w:val="20"/>
        </w:rPr>
      </w:pPr>
      <w:r w:rsidRPr="00C65DF7">
        <w:rPr>
          <w:rFonts w:ascii="Verdana" w:hAnsi="Verdana" w:cs="Arial"/>
          <w:bCs/>
          <w:sz w:val="20"/>
          <w:szCs w:val="20"/>
        </w:rPr>
        <w:t xml:space="preserve">ANEXO III – </w:t>
      </w:r>
      <w:r w:rsidRPr="00C65DF7">
        <w:rPr>
          <w:rFonts w:ascii="Verdana" w:hAnsi="Verdana" w:cs="Arial"/>
          <w:iCs/>
          <w:sz w:val="20"/>
          <w:szCs w:val="20"/>
        </w:rPr>
        <w:t>Minuta da Ata de Registro de Preços</w:t>
      </w:r>
    </w:p>
    <w:p w14:paraId="0F8781AB" w14:textId="77777777" w:rsidR="002B5BFA" w:rsidRPr="00C65DF7" w:rsidRDefault="002B5BFA" w:rsidP="00C65DF7">
      <w:pPr>
        <w:spacing w:line="360" w:lineRule="auto"/>
        <w:rPr>
          <w:rFonts w:ascii="Verdana" w:hAnsi="Verdana" w:cs="Arial"/>
          <w:bCs/>
          <w:sz w:val="20"/>
          <w:szCs w:val="20"/>
        </w:rPr>
      </w:pPr>
    </w:p>
    <w:p w14:paraId="5C864055" w14:textId="74CF95F8" w:rsidR="002B5BFA" w:rsidRPr="00C65DF7" w:rsidRDefault="002B5BFA" w:rsidP="00C65DF7">
      <w:pPr>
        <w:spacing w:line="360" w:lineRule="auto"/>
        <w:ind w:right="-15"/>
        <w:jc w:val="center"/>
        <w:rPr>
          <w:rFonts w:ascii="Verdana" w:hAnsi="Verdana" w:cs="Arial"/>
          <w:sz w:val="20"/>
          <w:szCs w:val="20"/>
        </w:rPr>
      </w:pPr>
      <w:r w:rsidRPr="00C65DF7">
        <w:rPr>
          <w:rFonts w:ascii="Verdana" w:hAnsi="Verdana" w:cs="Arial"/>
          <w:b/>
          <w:i/>
          <w:sz w:val="20"/>
          <w:szCs w:val="20"/>
        </w:rPr>
        <w:t>Correntina</w:t>
      </w:r>
      <w:r w:rsidRPr="00C65DF7">
        <w:rPr>
          <w:rFonts w:ascii="Verdana" w:hAnsi="Verdana" w:cs="Arial"/>
          <w:sz w:val="20"/>
          <w:szCs w:val="20"/>
        </w:rPr>
        <w:t xml:space="preserve">, </w:t>
      </w:r>
      <w:r w:rsidR="00150206">
        <w:rPr>
          <w:rFonts w:ascii="Verdana" w:hAnsi="Verdana" w:cs="Arial"/>
          <w:sz w:val="20"/>
          <w:szCs w:val="20"/>
        </w:rPr>
        <w:t>27 de fevereiro de 2026</w:t>
      </w:r>
      <w:r w:rsidR="002225D0" w:rsidRPr="00C65DF7">
        <w:rPr>
          <w:rFonts w:ascii="Verdana" w:hAnsi="Verdana" w:cs="Arial"/>
          <w:sz w:val="20"/>
          <w:szCs w:val="20"/>
        </w:rPr>
        <w:t>.</w:t>
      </w:r>
    </w:p>
    <w:p w14:paraId="255ED419" w14:textId="77777777" w:rsidR="002B5BFA" w:rsidRPr="00C65DF7" w:rsidRDefault="002B5BFA" w:rsidP="00C65DF7">
      <w:pPr>
        <w:spacing w:line="360" w:lineRule="auto"/>
        <w:ind w:right="-15"/>
        <w:jc w:val="center"/>
        <w:rPr>
          <w:rFonts w:ascii="Verdana" w:hAnsi="Verdana" w:cs="Arial"/>
          <w:sz w:val="20"/>
          <w:szCs w:val="20"/>
        </w:rPr>
      </w:pPr>
    </w:p>
    <w:p w14:paraId="41FB870B" w14:textId="77777777" w:rsidR="002B5BFA" w:rsidRPr="00C65DF7" w:rsidRDefault="002B5BFA" w:rsidP="00C65DF7">
      <w:pPr>
        <w:spacing w:line="360" w:lineRule="auto"/>
        <w:ind w:right="-15"/>
        <w:jc w:val="center"/>
        <w:rPr>
          <w:rFonts w:ascii="Verdana" w:hAnsi="Verdana" w:cs="Arial"/>
          <w:sz w:val="20"/>
          <w:szCs w:val="20"/>
        </w:rPr>
      </w:pPr>
    </w:p>
    <w:p w14:paraId="6978812B" w14:textId="77777777" w:rsidR="002B5BFA" w:rsidRPr="00C65DF7" w:rsidRDefault="002B5BFA" w:rsidP="00C65DF7">
      <w:pPr>
        <w:spacing w:line="360" w:lineRule="auto"/>
        <w:ind w:right="-15"/>
        <w:jc w:val="center"/>
        <w:rPr>
          <w:rFonts w:ascii="Verdana" w:hAnsi="Verdana" w:cs="Arial"/>
          <w:sz w:val="20"/>
          <w:szCs w:val="20"/>
        </w:rPr>
      </w:pPr>
    </w:p>
    <w:p w14:paraId="4F003619" w14:textId="77777777" w:rsidR="002B5BFA" w:rsidRPr="00C65DF7" w:rsidRDefault="002B5BFA" w:rsidP="00C65DF7">
      <w:pPr>
        <w:spacing w:line="360" w:lineRule="auto"/>
        <w:jc w:val="center"/>
        <w:rPr>
          <w:rFonts w:ascii="Verdana" w:hAnsi="Verdana" w:cs="Arial"/>
          <w:sz w:val="20"/>
          <w:szCs w:val="20"/>
        </w:rPr>
      </w:pPr>
      <w:r w:rsidRPr="00C65DF7">
        <w:rPr>
          <w:rFonts w:ascii="Verdana" w:hAnsi="Verdana" w:cs="Arial"/>
          <w:sz w:val="20"/>
          <w:szCs w:val="20"/>
        </w:rPr>
        <w:t>_______________________________________________________</w:t>
      </w:r>
    </w:p>
    <w:p w14:paraId="56283100" w14:textId="77777777" w:rsidR="002B5BFA" w:rsidRPr="00C65DF7" w:rsidRDefault="002B5BFA" w:rsidP="00C65DF7">
      <w:pPr>
        <w:spacing w:line="360" w:lineRule="auto"/>
        <w:jc w:val="center"/>
        <w:rPr>
          <w:rFonts w:ascii="Verdana" w:hAnsi="Verdana" w:cs="Arial"/>
          <w:bCs/>
          <w:sz w:val="20"/>
          <w:szCs w:val="20"/>
        </w:rPr>
      </w:pPr>
      <w:r w:rsidRPr="00C65DF7">
        <w:rPr>
          <w:rFonts w:ascii="Verdana" w:hAnsi="Verdana" w:cs="Arial"/>
          <w:sz w:val="20"/>
          <w:szCs w:val="20"/>
        </w:rPr>
        <w:t>Assinatura da autoridade competente</w:t>
      </w:r>
    </w:p>
    <w:p w14:paraId="5EECB79F" w14:textId="77777777" w:rsidR="002B5BFA" w:rsidRPr="00C65DF7" w:rsidRDefault="002B5BFA" w:rsidP="00C65DF7">
      <w:pPr>
        <w:jc w:val="center"/>
        <w:rPr>
          <w:rFonts w:ascii="Verdana" w:hAnsi="Verdana" w:cs="Arial"/>
          <w:bCs/>
          <w:sz w:val="24"/>
          <w:szCs w:val="24"/>
        </w:rPr>
      </w:pPr>
    </w:p>
    <w:p w14:paraId="3A4D3ACF" w14:textId="77777777" w:rsidR="002B5BFA" w:rsidRPr="00C65DF7" w:rsidRDefault="002B5BFA" w:rsidP="00C65DF7">
      <w:pPr>
        <w:rPr>
          <w:rFonts w:ascii="Verdana" w:hAnsi="Verdana" w:cs="Tahoma"/>
          <w:sz w:val="24"/>
          <w:szCs w:val="24"/>
        </w:rPr>
      </w:pPr>
    </w:p>
    <w:p w14:paraId="6DFD2502" w14:textId="77777777" w:rsidR="002B5BFA" w:rsidRPr="00C65DF7" w:rsidRDefault="002B5BFA" w:rsidP="002B5BFA">
      <w:pPr>
        <w:jc w:val="center"/>
        <w:rPr>
          <w:rFonts w:ascii="Verdana" w:hAnsi="Verdana" w:cs="Arial"/>
          <w:b/>
          <w:bCs/>
          <w:sz w:val="24"/>
          <w:szCs w:val="24"/>
        </w:rPr>
      </w:pPr>
    </w:p>
    <w:p w14:paraId="2381AAE6" w14:textId="77777777" w:rsidR="002B5BFA" w:rsidRPr="00C65DF7" w:rsidRDefault="002B5BFA" w:rsidP="002B5BFA">
      <w:pPr>
        <w:jc w:val="center"/>
        <w:rPr>
          <w:rFonts w:ascii="Verdana" w:hAnsi="Verdana" w:cs="Arial"/>
          <w:b/>
          <w:bCs/>
          <w:sz w:val="24"/>
          <w:szCs w:val="24"/>
        </w:rPr>
      </w:pPr>
    </w:p>
    <w:p w14:paraId="4086060F" w14:textId="77777777" w:rsidR="002B5BFA" w:rsidRPr="00C65DF7" w:rsidRDefault="002B5BFA" w:rsidP="002B5BFA">
      <w:pPr>
        <w:jc w:val="center"/>
        <w:rPr>
          <w:rFonts w:ascii="Verdana" w:hAnsi="Verdana" w:cs="Arial"/>
          <w:b/>
          <w:bCs/>
          <w:sz w:val="24"/>
          <w:szCs w:val="24"/>
        </w:rPr>
      </w:pPr>
    </w:p>
    <w:p w14:paraId="70A33261" w14:textId="77777777" w:rsidR="002B5BFA" w:rsidRPr="00C65DF7" w:rsidRDefault="002B5BFA" w:rsidP="002B5BFA">
      <w:pPr>
        <w:jc w:val="center"/>
        <w:rPr>
          <w:rFonts w:ascii="Verdana" w:hAnsi="Verdana" w:cs="Arial"/>
          <w:b/>
          <w:bCs/>
          <w:sz w:val="24"/>
          <w:szCs w:val="24"/>
        </w:rPr>
      </w:pPr>
    </w:p>
    <w:p w14:paraId="3FD0B7A3" w14:textId="77777777" w:rsidR="002B5BFA" w:rsidRPr="00C65DF7" w:rsidRDefault="002B5BFA" w:rsidP="002B5BFA">
      <w:pPr>
        <w:jc w:val="center"/>
        <w:rPr>
          <w:rFonts w:ascii="Verdana" w:hAnsi="Verdana" w:cs="Arial"/>
          <w:b/>
          <w:bCs/>
        </w:rPr>
      </w:pPr>
    </w:p>
    <w:p w14:paraId="4521C08E" w14:textId="77777777" w:rsidR="002B5BFA" w:rsidRPr="00C65DF7" w:rsidRDefault="002B5BFA" w:rsidP="002B5BFA">
      <w:pPr>
        <w:jc w:val="center"/>
        <w:rPr>
          <w:rFonts w:ascii="Verdana" w:hAnsi="Verdana" w:cs="Arial"/>
          <w:b/>
          <w:bCs/>
        </w:rPr>
      </w:pPr>
    </w:p>
    <w:p w14:paraId="3AE4E758" w14:textId="77777777" w:rsidR="002B5BFA" w:rsidRPr="00C65DF7" w:rsidRDefault="002B5BFA" w:rsidP="002B5BFA">
      <w:pPr>
        <w:jc w:val="center"/>
        <w:rPr>
          <w:rFonts w:ascii="Verdana" w:hAnsi="Verdana" w:cs="Arial"/>
          <w:b/>
          <w:bCs/>
        </w:rPr>
      </w:pPr>
    </w:p>
    <w:p w14:paraId="7A8BFA0D" w14:textId="77777777" w:rsidR="002B5BFA" w:rsidRPr="00C65DF7" w:rsidRDefault="002B5BFA" w:rsidP="002B5BFA">
      <w:pPr>
        <w:jc w:val="center"/>
        <w:rPr>
          <w:rFonts w:ascii="Verdana" w:hAnsi="Verdana" w:cs="Arial"/>
          <w:b/>
          <w:bCs/>
        </w:rPr>
      </w:pPr>
    </w:p>
    <w:p w14:paraId="6704B1D1" w14:textId="77777777" w:rsidR="002B5BFA" w:rsidRPr="00C65DF7" w:rsidRDefault="002B5BFA" w:rsidP="002B5BFA">
      <w:pPr>
        <w:jc w:val="center"/>
        <w:rPr>
          <w:rFonts w:ascii="Verdana" w:hAnsi="Verdana" w:cs="Arial"/>
          <w:b/>
          <w:bCs/>
        </w:rPr>
      </w:pPr>
    </w:p>
    <w:p w14:paraId="3A268AC0" w14:textId="77777777" w:rsidR="002B5BFA" w:rsidRPr="00C65DF7" w:rsidRDefault="002B5BFA" w:rsidP="002B5BFA">
      <w:pPr>
        <w:jc w:val="center"/>
        <w:rPr>
          <w:rFonts w:ascii="Verdana" w:hAnsi="Verdana" w:cs="Arial"/>
          <w:b/>
          <w:bCs/>
        </w:rPr>
      </w:pPr>
    </w:p>
    <w:p w14:paraId="73A5A9D5" w14:textId="77777777" w:rsidR="002B5BFA" w:rsidRPr="00C65DF7" w:rsidRDefault="002B5BFA" w:rsidP="002B5BFA">
      <w:pPr>
        <w:jc w:val="center"/>
        <w:rPr>
          <w:rFonts w:ascii="Verdana" w:hAnsi="Verdana" w:cs="Arial"/>
          <w:b/>
          <w:bCs/>
        </w:rPr>
      </w:pPr>
    </w:p>
    <w:p w14:paraId="35715886" w14:textId="77777777" w:rsidR="002B5BFA" w:rsidRPr="00C65DF7" w:rsidRDefault="002B5BFA" w:rsidP="002B5BFA">
      <w:pPr>
        <w:jc w:val="center"/>
        <w:rPr>
          <w:rFonts w:ascii="Verdana" w:hAnsi="Verdana" w:cs="Arial"/>
          <w:b/>
          <w:bCs/>
        </w:rPr>
      </w:pPr>
    </w:p>
    <w:p w14:paraId="585DE82A" w14:textId="77777777" w:rsidR="002B5BFA" w:rsidRPr="00C65DF7" w:rsidRDefault="002B5BFA" w:rsidP="002B5BFA">
      <w:pPr>
        <w:jc w:val="center"/>
        <w:rPr>
          <w:rFonts w:ascii="Verdana" w:hAnsi="Verdana" w:cs="Arial"/>
          <w:b/>
          <w:bCs/>
        </w:rPr>
      </w:pPr>
    </w:p>
    <w:p w14:paraId="25A08B25" w14:textId="77777777" w:rsidR="002B5BFA" w:rsidRPr="00C65DF7" w:rsidRDefault="002B5BFA" w:rsidP="002B5BFA">
      <w:pPr>
        <w:jc w:val="center"/>
        <w:rPr>
          <w:rFonts w:ascii="Verdana" w:hAnsi="Verdana" w:cs="Arial"/>
          <w:b/>
          <w:bCs/>
        </w:rPr>
      </w:pPr>
    </w:p>
    <w:p w14:paraId="1B06D5E6" w14:textId="77777777" w:rsidR="002B5BFA" w:rsidRPr="00C65DF7" w:rsidRDefault="002B5BFA" w:rsidP="002B5BFA">
      <w:pPr>
        <w:jc w:val="center"/>
        <w:rPr>
          <w:rFonts w:ascii="Verdana" w:hAnsi="Verdana" w:cs="Arial"/>
          <w:b/>
          <w:bCs/>
        </w:rPr>
      </w:pPr>
    </w:p>
    <w:p w14:paraId="704888A8" w14:textId="77777777" w:rsidR="002B5BFA" w:rsidRPr="00C65DF7" w:rsidRDefault="002B5BFA" w:rsidP="002B5BFA">
      <w:pPr>
        <w:jc w:val="center"/>
        <w:rPr>
          <w:rFonts w:ascii="Verdana" w:hAnsi="Verdana" w:cs="Arial"/>
          <w:b/>
          <w:bCs/>
        </w:rPr>
      </w:pPr>
    </w:p>
    <w:p w14:paraId="29AF8666" w14:textId="77777777" w:rsidR="002B5BFA" w:rsidRPr="00C65DF7" w:rsidRDefault="002B5BFA" w:rsidP="002B5BFA">
      <w:pPr>
        <w:jc w:val="center"/>
        <w:rPr>
          <w:rFonts w:ascii="Verdana" w:hAnsi="Verdana" w:cs="Arial"/>
          <w:b/>
          <w:bCs/>
        </w:rPr>
      </w:pPr>
    </w:p>
    <w:p w14:paraId="4DC3CA26" w14:textId="77777777" w:rsidR="002B5BFA" w:rsidRPr="00C65DF7" w:rsidRDefault="002B5BFA" w:rsidP="002B5BFA">
      <w:pPr>
        <w:jc w:val="center"/>
        <w:rPr>
          <w:rFonts w:ascii="Verdana" w:hAnsi="Verdana" w:cs="Arial"/>
          <w:b/>
          <w:bCs/>
        </w:rPr>
      </w:pPr>
    </w:p>
    <w:p w14:paraId="6B2EFE80" w14:textId="77777777" w:rsidR="002B5BFA" w:rsidRPr="00C65DF7" w:rsidRDefault="002B5BFA" w:rsidP="002B5BFA">
      <w:pPr>
        <w:jc w:val="center"/>
        <w:rPr>
          <w:rFonts w:ascii="Verdana" w:hAnsi="Verdana" w:cs="Arial"/>
          <w:b/>
          <w:bCs/>
        </w:rPr>
      </w:pPr>
    </w:p>
    <w:p w14:paraId="3FD5EE31" w14:textId="77777777" w:rsidR="002B5BFA" w:rsidRPr="00CD3E0E" w:rsidRDefault="002B5BFA" w:rsidP="00CD3E0E">
      <w:pPr>
        <w:spacing w:line="360" w:lineRule="auto"/>
        <w:jc w:val="center"/>
        <w:rPr>
          <w:rFonts w:ascii="Verdana" w:hAnsi="Verdana" w:cs="Arial"/>
          <w:b/>
          <w:bCs/>
          <w:sz w:val="20"/>
          <w:szCs w:val="20"/>
        </w:rPr>
      </w:pPr>
      <w:r w:rsidRPr="00CD3E0E">
        <w:rPr>
          <w:rFonts w:ascii="Verdana" w:hAnsi="Verdana" w:cs="Arial"/>
          <w:b/>
          <w:bCs/>
          <w:sz w:val="20"/>
          <w:szCs w:val="20"/>
        </w:rPr>
        <w:t>TERMO DE REFERÊNCIA</w:t>
      </w:r>
    </w:p>
    <w:p w14:paraId="0D1FA339" w14:textId="77777777" w:rsidR="002B5BFA" w:rsidRPr="00CD3E0E" w:rsidRDefault="002B5BFA" w:rsidP="00CD3E0E">
      <w:pPr>
        <w:spacing w:line="360" w:lineRule="auto"/>
        <w:jc w:val="center"/>
        <w:rPr>
          <w:rFonts w:ascii="Verdana" w:hAnsi="Verdana" w:cs="Arial"/>
          <w:b/>
          <w:bCs/>
          <w:sz w:val="20"/>
          <w:szCs w:val="20"/>
        </w:rPr>
      </w:pPr>
    </w:p>
    <w:p w14:paraId="11C577E2" w14:textId="77777777" w:rsidR="002B5BFA" w:rsidRPr="00CD3E0E" w:rsidRDefault="002B5BFA" w:rsidP="00CD3E0E">
      <w:pPr>
        <w:spacing w:line="360" w:lineRule="auto"/>
        <w:jc w:val="center"/>
        <w:rPr>
          <w:rFonts w:ascii="Verdana" w:hAnsi="Verdana" w:cs="Arial"/>
          <w:b/>
          <w:bCs/>
          <w:sz w:val="20"/>
          <w:szCs w:val="20"/>
        </w:rPr>
      </w:pPr>
    </w:p>
    <w:p w14:paraId="5F94D917"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1.</w:t>
      </w:r>
      <w:r w:rsidRPr="00CD3E0E">
        <w:rPr>
          <w:rFonts w:ascii="Verdana" w:hAnsi="Verdana" w:cs="Arial"/>
          <w:b/>
          <w:bCs/>
          <w:sz w:val="20"/>
          <w:szCs w:val="20"/>
        </w:rPr>
        <w:tab/>
        <w:t xml:space="preserve">CONDIÇÕES GERAIS DA CONTRATAÇÃO </w:t>
      </w:r>
    </w:p>
    <w:p w14:paraId="6C5925D6" w14:textId="1AC2183E" w:rsidR="002B5BFA" w:rsidRPr="00821AEF" w:rsidRDefault="002B5BFA" w:rsidP="00CD3E0E">
      <w:pPr>
        <w:spacing w:line="360" w:lineRule="auto"/>
        <w:rPr>
          <w:rFonts w:ascii="Verdana" w:hAnsi="Verdana" w:cs="Arial"/>
          <w:sz w:val="20"/>
          <w:szCs w:val="20"/>
        </w:rPr>
      </w:pPr>
      <w:r w:rsidRPr="00CD3E0E">
        <w:rPr>
          <w:rFonts w:ascii="Verdana" w:hAnsi="Verdana" w:cs="Arial"/>
          <w:sz w:val="20"/>
          <w:szCs w:val="20"/>
        </w:rPr>
        <w:t>1.1</w:t>
      </w:r>
      <w:r w:rsidRPr="00CD3E0E">
        <w:rPr>
          <w:rFonts w:ascii="Verdana" w:hAnsi="Verdana" w:cs="Arial"/>
          <w:sz w:val="20"/>
          <w:szCs w:val="20"/>
        </w:rPr>
        <w:tab/>
      </w:r>
      <w:bookmarkStart w:id="18" w:name="_Hlk195012148"/>
      <w:r w:rsidR="00EA0BDF" w:rsidRPr="00EA0BDF">
        <w:rPr>
          <w:rFonts w:ascii="Verdana" w:hAnsi="Verdana" w:cs="Arial"/>
          <w:sz w:val="20"/>
          <w:szCs w:val="20"/>
        </w:rPr>
        <w:t xml:space="preserve">registro de preços para aquisição de cesta basica para atender a nescessida da secretaria de </w:t>
      </w:r>
      <w:r w:rsidR="00EA0BDF" w:rsidRPr="00922869">
        <w:rPr>
          <w:rFonts w:ascii="Verdana" w:hAnsi="Verdana" w:cs="Arial"/>
          <w:sz w:val="20"/>
          <w:szCs w:val="20"/>
        </w:rPr>
        <w:t xml:space="preserve">desenvolvimento social e cidadania e demais secretaria do municipio de </w:t>
      </w:r>
      <w:r w:rsidR="00EA0BDF" w:rsidRPr="00821AEF">
        <w:rPr>
          <w:rFonts w:ascii="Verdana" w:hAnsi="Verdana" w:cs="Arial"/>
          <w:sz w:val="20"/>
          <w:szCs w:val="20"/>
        </w:rPr>
        <w:t>correntina</w:t>
      </w:r>
      <w:r w:rsidR="00EA0BDF" w:rsidRPr="00821AEF">
        <w:rPr>
          <w:rFonts w:ascii="Verdana" w:hAnsi="Verdana" w:cs="Calibri"/>
          <w:sz w:val="20"/>
          <w:szCs w:val="20"/>
        </w:rPr>
        <w:t xml:space="preserve"> - ba</w:t>
      </w:r>
      <w:bookmarkEnd w:id="18"/>
      <w:r w:rsidRPr="00821AEF">
        <w:rPr>
          <w:rFonts w:ascii="Verdana" w:hAnsi="Verdana" w:cs="Arial"/>
          <w:sz w:val="20"/>
          <w:szCs w:val="20"/>
        </w:rPr>
        <w:t>, conforme Termo de Referência, nos termos da tabela abaixo, conforme condições e exigências estabelecidas neste instrumento.</w:t>
      </w:r>
      <w:r w:rsidRPr="00821AEF">
        <w:rPr>
          <w:rFonts w:ascii="Verdana" w:hAnsi="Verdana" w:cs="Arial"/>
          <w:sz w:val="20"/>
          <w:szCs w:val="20"/>
        </w:rPr>
        <w:tab/>
      </w:r>
    </w:p>
    <w:p w14:paraId="330D84D2" w14:textId="469EEAF0" w:rsidR="002B5BFA" w:rsidRPr="00821AEF" w:rsidRDefault="00EA0BDF" w:rsidP="002B5BFA">
      <w:pPr>
        <w:rPr>
          <w:rFonts w:ascii="Verdana" w:hAnsi="Verdana" w:cs="Arial"/>
          <w:sz w:val="20"/>
          <w:szCs w:val="20"/>
        </w:rPr>
      </w:pPr>
      <w:r w:rsidRPr="00821AEF">
        <w:rPr>
          <w:rFonts w:ascii="Verdana" w:hAnsi="Verdana" w:cs="Arial"/>
          <w:sz w:val="20"/>
          <w:szCs w:val="20"/>
        </w:rPr>
        <w:t>LOTE 01 SEC DE DESENVOLVIMENTO SOCIAL E CIDADANIA</w:t>
      </w:r>
    </w:p>
    <w:tbl>
      <w:tblPr>
        <w:tblW w:w="9827" w:type="dxa"/>
        <w:tblInd w:w="75" w:type="dxa"/>
        <w:tblCellMar>
          <w:left w:w="70" w:type="dxa"/>
          <w:right w:w="70" w:type="dxa"/>
        </w:tblCellMar>
        <w:tblLook w:val="04A0" w:firstRow="1" w:lastRow="0" w:firstColumn="1" w:lastColumn="0" w:noHBand="0" w:noVBand="1"/>
      </w:tblPr>
      <w:tblGrid>
        <w:gridCol w:w="430"/>
        <w:gridCol w:w="4388"/>
        <w:gridCol w:w="944"/>
        <w:gridCol w:w="1188"/>
        <w:gridCol w:w="1184"/>
        <w:gridCol w:w="1693"/>
      </w:tblGrid>
      <w:tr w:rsidR="00EA0BDF" w:rsidRPr="00821AEF" w14:paraId="6E5EDF51" w14:textId="77777777" w:rsidTr="00FC401E">
        <w:trPr>
          <w:trHeight w:val="601"/>
        </w:trPr>
        <w:tc>
          <w:tcPr>
            <w:tcW w:w="430" w:type="dxa"/>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0D00D67A" w14:textId="77777777" w:rsidR="00EA0BDF" w:rsidRPr="00821AEF" w:rsidRDefault="00EA0BDF" w:rsidP="00EA0BDF">
            <w:pPr>
              <w:widowControl/>
              <w:autoSpaceDE/>
              <w:autoSpaceDN/>
              <w:jc w:val="center"/>
              <w:rPr>
                <w:rFonts w:ascii="Verdana" w:eastAsia="Times New Roman" w:hAnsi="Verdana" w:cs="Arial"/>
                <w:color w:val="000000"/>
                <w:sz w:val="20"/>
                <w:szCs w:val="20"/>
                <w:lang w:val="pt-BR" w:eastAsia="pt-BR"/>
              </w:rPr>
            </w:pPr>
            <w:r w:rsidRPr="00821AEF">
              <w:rPr>
                <w:rFonts w:ascii="Verdana" w:eastAsia="Times New Roman" w:hAnsi="Verdana" w:cs="Arial"/>
                <w:color w:val="000000"/>
                <w:sz w:val="20"/>
                <w:szCs w:val="20"/>
                <w:lang w:val="pt-BR" w:eastAsia="pt-BR"/>
              </w:rPr>
              <w:t>Nº</w:t>
            </w:r>
          </w:p>
        </w:tc>
        <w:tc>
          <w:tcPr>
            <w:tcW w:w="4388" w:type="dxa"/>
            <w:tcBorders>
              <w:top w:val="single" w:sz="4" w:space="0" w:color="auto"/>
              <w:left w:val="nil"/>
              <w:bottom w:val="single" w:sz="4" w:space="0" w:color="auto"/>
              <w:right w:val="single" w:sz="4" w:space="0" w:color="auto"/>
            </w:tcBorders>
            <w:shd w:val="clear" w:color="000000" w:fill="BDD7EE"/>
            <w:noWrap/>
            <w:vAlign w:val="center"/>
            <w:hideMark/>
          </w:tcPr>
          <w:p w14:paraId="7430C735" w14:textId="77777777" w:rsidR="00EA0BDF" w:rsidRPr="00821AEF" w:rsidRDefault="00EA0BDF" w:rsidP="00EA0BDF">
            <w:pPr>
              <w:widowControl/>
              <w:autoSpaceDE/>
              <w:autoSpaceDN/>
              <w:jc w:val="center"/>
              <w:rPr>
                <w:rFonts w:ascii="Verdana" w:eastAsia="Times New Roman" w:hAnsi="Verdana" w:cs="Arial"/>
                <w:color w:val="000000"/>
                <w:sz w:val="20"/>
                <w:szCs w:val="20"/>
                <w:lang w:val="pt-BR" w:eastAsia="pt-BR"/>
              </w:rPr>
            </w:pPr>
            <w:r w:rsidRPr="00821AEF">
              <w:rPr>
                <w:rFonts w:ascii="Verdana" w:eastAsia="Times New Roman" w:hAnsi="Verdana" w:cs="Arial"/>
                <w:color w:val="000000"/>
                <w:sz w:val="20"/>
                <w:szCs w:val="20"/>
                <w:lang w:val="pt-BR" w:eastAsia="pt-BR"/>
              </w:rPr>
              <w:t>Descrição</w:t>
            </w:r>
          </w:p>
        </w:tc>
        <w:tc>
          <w:tcPr>
            <w:tcW w:w="944" w:type="dxa"/>
            <w:tcBorders>
              <w:top w:val="single" w:sz="4" w:space="0" w:color="auto"/>
              <w:left w:val="nil"/>
              <w:bottom w:val="single" w:sz="4" w:space="0" w:color="auto"/>
              <w:right w:val="single" w:sz="4" w:space="0" w:color="auto"/>
            </w:tcBorders>
            <w:shd w:val="clear" w:color="000000" w:fill="BDD7EE"/>
            <w:noWrap/>
            <w:vAlign w:val="center"/>
            <w:hideMark/>
          </w:tcPr>
          <w:p w14:paraId="0E5721A3" w14:textId="77777777" w:rsidR="00EA0BDF" w:rsidRPr="00821AEF" w:rsidRDefault="00EA0BDF" w:rsidP="00EA0BDF">
            <w:pPr>
              <w:widowControl/>
              <w:autoSpaceDE/>
              <w:autoSpaceDN/>
              <w:jc w:val="center"/>
              <w:rPr>
                <w:rFonts w:ascii="Verdana" w:eastAsia="Times New Roman" w:hAnsi="Verdana" w:cs="Arial"/>
                <w:color w:val="000000"/>
                <w:sz w:val="20"/>
                <w:szCs w:val="20"/>
                <w:lang w:val="pt-BR" w:eastAsia="pt-BR"/>
              </w:rPr>
            </w:pPr>
            <w:r w:rsidRPr="00821AEF">
              <w:rPr>
                <w:rFonts w:ascii="Verdana" w:eastAsia="Times New Roman" w:hAnsi="Verdana" w:cs="Arial"/>
                <w:color w:val="000000"/>
                <w:sz w:val="20"/>
                <w:szCs w:val="20"/>
                <w:lang w:val="pt-BR" w:eastAsia="pt-BR"/>
              </w:rPr>
              <w:t>Quant.</w:t>
            </w:r>
          </w:p>
        </w:tc>
        <w:tc>
          <w:tcPr>
            <w:tcW w:w="1187" w:type="dxa"/>
            <w:tcBorders>
              <w:top w:val="single" w:sz="4" w:space="0" w:color="auto"/>
              <w:left w:val="nil"/>
              <w:bottom w:val="single" w:sz="4" w:space="0" w:color="auto"/>
              <w:right w:val="single" w:sz="4" w:space="0" w:color="auto"/>
            </w:tcBorders>
            <w:shd w:val="clear" w:color="000000" w:fill="BDD7EE"/>
            <w:vAlign w:val="center"/>
            <w:hideMark/>
          </w:tcPr>
          <w:p w14:paraId="3FB2148D" w14:textId="77777777" w:rsidR="00EA0BDF" w:rsidRPr="00821AEF" w:rsidRDefault="00EA0BDF" w:rsidP="00EA0BDF">
            <w:pPr>
              <w:widowControl/>
              <w:autoSpaceDE/>
              <w:autoSpaceDN/>
              <w:jc w:val="center"/>
              <w:rPr>
                <w:rFonts w:ascii="Verdana" w:eastAsia="Times New Roman" w:hAnsi="Verdana" w:cs="Arial"/>
                <w:color w:val="000000"/>
                <w:sz w:val="20"/>
                <w:szCs w:val="20"/>
                <w:lang w:val="pt-BR" w:eastAsia="pt-BR"/>
              </w:rPr>
            </w:pPr>
            <w:r w:rsidRPr="00821AEF">
              <w:rPr>
                <w:rFonts w:ascii="Verdana" w:eastAsia="Times New Roman" w:hAnsi="Verdana" w:cs="Arial"/>
                <w:color w:val="000000"/>
                <w:sz w:val="20"/>
                <w:szCs w:val="20"/>
                <w:lang w:val="pt-BR" w:eastAsia="pt-BR"/>
              </w:rPr>
              <w:t>Unid. Medida</w:t>
            </w:r>
          </w:p>
        </w:tc>
        <w:tc>
          <w:tcPr>
            <w:tcW w:w="1184" w:type="dxa"/>
            <w:tcBorders>
              <w:top w:val="single" w:sz="4" w:space="0" w:color="auto"/>
              <w:left w:val="nil"/>
              <w:bottom w:val="single" w:sz="4" w:space="0" w:color="auto"/>
              <w:right w:val="single" w:sz="4" w:space="0" w:color="auto"/>
            </w:tcBorders>
            <w:shd w:val="clear" w:color="000000" w:fill="BDD7EE"/>
            <w:vAlign w:val="center"/>
            <w:hideMark/>
          </w:tcPr>
          <w:p w14:paraId="2DCB30C0" w14:textId="77777777" w:rsidR="00EA0BDF" w:rsidRPr="00821AEF" w:rsidRDefault="00EA0BDF" w:rsidP="00EA0BDF">
            <w:pPr>
              <w:widowControl/>
              <w:autoSpaceDE/>
              <w:autoSpaceDN/>
              <w:jc w:val="center"/>
              <w:rPr>
                <w:rFonts w:ascii="Verdana" w:eastAsia="Times New Roman" w:hAnsi="Verdana" w:cs="Arial"/>
                <w:color w:val="000000"/>
                <w:sz w:val="20"/>
                <w:szCs w:val="20"/>
                <w:lang w:val="pt-BR" w:eastAsia="pt-BR"/>
              </w:rPr>
            </w:pPr>
            <w:r w:rsidRPr="00821AEF">
              <w:rPr>
                <w:rFonts w:ascii="Verdana" w:eastAsia="Times New Roman" w:hAnsi="Verdana" w:cs="Arial"/>
                <w:color w:val="000000"/>
                <w:sz w:val="20"/>
                <w:szCs w:val="20"/>
                <w:lang w:val="pt-BR" w:eastAsia="pt-BR"/>
              </w:rPr>
              <w:t>Valor Und.(R$)</w:t>
            </w:r>
          </w:p>
        </w:tc>
        <w:tc>
          <w:tcPr>
            <w:tcW w:w="1693" w:type="dxa"/>
            <w:tcBorders>
              <w:top w:val="single" w:sz="4" w:space="0" w:color="auto"/>
              <w:left w:val="nil"/>
              <w:bottom w:val="single" w:sz="4" w:space="0" w:color="auto"/>
              <w:right w:val="single" w:sz="4" w:space="0" w:color="auto"/>
            </w:tcBorders>
            <w:shd w:val="clear" w:color="000000" w:fill="BDD7EE"/>
            <w:vAlign w:val="center"/>
            <w:hideMark/>
          </w:tcPr>
          <w:p w14:paraId="671A132F" w14:textId="77777777" w:rsidR="00EA0BDF" w:rsidRPr="00821AEF" w:rsidRDefault="00EA0BDF" w:rsidP="00EA0BDF">
            <w:pPr>
              <w:widowControl/>
              <w:autoSpaceDE/>
              <w:autoSpaceDN/>
              <w:jc w:val="center"/>
              <w:rPr>
                <w:rFonts w:ascii="Verdana" w:eastAsia="Times New Roman" w:hAnsi="Verdana" w:cs="Arial"/>
                <w:color w:val="000000"/>
                <w:sz w:val="20"/>
                <w:szCs w:val="20"/>
                <w:lang w:val="pt-BR" w:eastAsia="pt-BR"/>
              </w:rPr>
            </w:pPr>
            <w:r w:rsidRPr="00821AEF">
              <w:rPr>
                <w:rFonts w:ascii="Verdana" w:eastAsia="Times New Roman" w:hAnsi="Verdana" w:cs="Arial"/>
                <w:color w:val="000000"/>
                <w:sz w:val="20"/>
                <w:szCs w:val="20"/>
                <w:lang w:val="pt-BR" w:eastAsia="pt-BR"/>
              </w:rPr>
              <w:t>Valor Total(R$)</w:t>
            </w:r>
          </w:p>
        </w:tc>
      </w:tr>
      <w:tr w:rsidR="00EA0BDF" w:rsidRPr="00821AEF" w14:paraId="3F2CBDA2" w14:textId="77777777" w:rsidTr="00FC401E">
        <w:trPr>
          <w:trHeight w:val="2102"/>
        </w:trPr>
        <w:tc>
          <w:tcPr>
            <w:tcW w:w="430" w:type="dxa"/>
            <w:tcBorders>
              <w:top w:val="nil"/>
              <w:left w:val="single" w:sz="4" w:space="0" w:color="auto"/>
              <w:bottom w:val="single" w:sz="4" w:space="0" w:color="auto"/>
              <w:right w:val="single" w:sz="4" w:space="0" w:color="auto"/>
            </w:tcBorders>
            <w:shd w:val="clear" w:color="auto" w:fill="auto"/>
            <w:noWrap/>
            <w:vAlign w:val="center"/>
            <w:hideMark/>
          </w:tcPr>
          <w:p w14:paraId="48AA202F" w14:textId="77777777" w:rsidR="00EA0BDF" w:rsidRPr="00821AEF" w:rsidRDefault="00EA0BDF" w:rsidP="00EA0BDF">
            <w:pPr>
              <w:widowControl/>
              <w:autoSpaceDE/>
              <w:autoSpaceDN/>
              <w:jc w:val="center"/>
              <w:rPr>
                <w:rFonts w:ascii="Verdana" w:eastAsia="Times New Roman" w:hAnsi="Verdana" w:cs="Arial"/>
                <w:color w:val="000000"/>
                <w:sz w:val="20"/>
                <w:szCs w:val="20"/>
                <w:lang w:val="pt-BR" w:eastAsia="pt-BR"/>
              </w:rPr>
            </w:pPr>
            <w:r w:rsidRPr="00821AEF">
              <w:rPr>
                <w:rFonts w:ascii="Verdana" w:eastAsia="Times New Roman" w:hAnsi="Verdana" w:cs="Arial"/>
                <w:color w:val="000000"/>
                <w:sz w:val="20"/>
                <w:szCs w:val="20"/>
                <w:lang w:val="pt-BR" w:eastAsia="pt-BR"/>
              </w:rPr>
              <w:t>1</w:t>
            </w:r>
          </w:p>
        </w:tc>
        <w:tc>
          <w:tcPr>
            <w:tcW w:w="4388" w:type="dxa"/>
            <w:tcBorders>
              <w:top w:val="nil"/>
              <w:left w:val="nil"/>
              <w:bottom w:val="nil"/>
              <w:right w:val="nil"/>
            </w:tcBorders>
            <w:shd w:val="clear" w:color="auto" w:fill="auto"/>
            <w:vAlign w:val="center"/>
            <w:hideMark/>
          </w:tcPr>
          <w:p w14:paraId="41A18B5B" w14:textId="13ABD180" w:rsidR="00EA0BDF" w:rsidRPr="00821AEF" w:rsidRDefault="00DA724F" w:rsidP="00DA724F">
            <w:pPr>
              <w:widowControl/>
              <w:autoSpaceDE/>
              <w:autoSpaceDN/>
              <w:rPr>
                <w:rFonts w:ascii="Verdana" w:eastAsia="Times New Roman" w:hAnsi="Verdana" w:cs="Arial"/>
                <w:color w:val="000000"/>
                <w:sz w:val="20"/>
                <w:szCs w:val="20"/>
                <w:lang w:val="pt-BR" w:eastAsia="pt-BR"/>
              </w:rPr>
            </w:pPr>
            <w:r w:rsidRPr="00DA724F">
              <w:rPr>
                <w:rFonts w:ascii="Verdana" w:eastAsia="Times New Roman" w:hAnsi="Verdana" w:cs="Arial"/>
                <w:color w:val="000000"/>
                <w:sz w:val="20"/>
                <w:szCs w:val="20"/>
                <w:lang w:val="pt-BR" w:eastAsia="pt-BR"/>
              </w:rPr>
              <w:t>Cesta Básica de Alimentos composta de 25 produtos, sendo: 2kg arroz; 2kg feijão; 2kg farinha; 2kg açúcar; 2pct café de 250g; 3pct flocão de 500g; 1 margarina de 500g; 1kg sal; 1 tempero completo 50g; 2 pct biscoito agua e sal; 2pct macarrão 500g; 1pct leite em pó de 200g; 1 pct cremogema de 180g;1 óleo de 900ml, 2 latas de sardinha; dois pacotes de 500 gramas de carne moida congelada.</w:t>
            </w:r>
          </w:p>
        </w:tc>
        <w:tc>
          <w:tcPr>
            <w:tcW w:w="944" w:type="dxa"/>
            <w:tcBorders>
              <w:top w:val="nil"/>
              <w:left w:val="single" w:sz="4" w:space="0" w:color="auto"/>
              <w:bottom w:val="single" w:sz="4" w:space="0" w:color="auto"/>
              <w:right w:val="single" w:sz="4" w:space="0" w:color="auto"/>
            </w:tcBorders>
            <w:shd w:val="clear" w:color="auto" w:fill="auto"/>
            <w:noWrap/>
            <w:vAlign w:val="center"/>
            <w:hideMark/>
          </w:tcPr>
          <w:p w14:paraId="6D6C0B8E" w14:textId="71B7B160" w:rsidR="00EA0BDF" w:rsidRPr="00821AEF" w:rsidRDefault="00FC401E" w:rsidP="00EA0BDF">
            <w:pPr>
              <w:widowControl/>
              <w:autoSpaceDE/>
              <w:autoSpaceDN/>
              <w:jc w:val="center"/>
              <w:rPr>
                <w:rFonts w:ascii="Verdana" w:eastAsia="Times New Roman" w:hAnsi="Verdana" w:cs="Arial"/>
                <w:color w:val="000000"/>
                <w:sz w:val="20"/>
                <w:szCs w:val="20"/>
                <w:lang w:val="pt-BR" w:eastAsia="pt-BR"/>
              </w:rPr>
            </w:pPr>
            <w:r w:rsidRPr="00821AEF">
              <w:rPr>
                <w:rFonts w:ascii="Verdana" w:eastAsia="Times New Roman" w:hAnsi="Verdana" w:cs="Arial"/>
                <w:color w:val="000000"/>
                <w:sz w:val="20"/>
                <w:szCs w:val="20"/>
                <w:lang w:val="pt-BR" w:eastAsia="pt-BR"/>
              </w:rPr>
              <w:t>10.</w:t>
            </w:r>
            <w:r w:rsidR="00EA0BDF" w:rsidRPr="00821AEF">
              <w:rPr>
                <w:rFonts w:ascii="Verdana" w:eastAsia="Times New Roman" w:hAnsi="Verdana" w:cs="Arial"/>
                <w:color w:val="000000"/>
                <w:sz w:val="20"/>
                <w:szCs w:val="20"/>
                <w:lang w:val="pt-BR" w:eastAsia="pt-BR"/>
              </w:rPr>
              <w:t>000</w:t>
            </w:r>
          </w:p>
        </w:tc>
        <w:tc>
          <w:tcPr>
            <w:tcW w:w="1187" w:type="dxa"/>
            <w:tcBorders>
              <w:top w:val="nil"/>
              <w:left w:val="nil"/>
              <w:bottom w:val="single" w:sz="4" w:space="0" w:color="auto"/>
              <w:right w:val="single" w:sz="4" w:space="0" w:color="auto"/>
            </w:tcBorders>
            <w:shd w:val="clear" w:color="auto" w:fill="auto"/>
            <w:noWrap/>
            <w:vAlign w:val="center"/>
            <w:hideMark/>
          </w:tcPr>
          <w:p w14:paraId="65043D32" w14:textId="6F7FB585" w:rsidR="00EA0BDF" w:rsidRPr="00821AEF" w:rsidRDefault="00EA0BDF" w:rsidP="00EA0BDF">
            <w:pPr>
              <w:widowControl/>
              <w:autoSpaceDE/>
              <w:autoSpaceDN/>
              <w:jc w:val="center"/>
              <w:rPr>
                <w:rFonts w:ascii="Verdana" w:eastAsia="Times New Roman" w:hAnsi="Verdana" w:cs="Arial"/>
                <w:color w:val="000000"/>
                <w:sz w:val="20"/>
                <w:szCs w:val="20"/>
                <w:lang w:val="pt-BR" w:eastAsia="pt-BR"/>
              </w:rPr>
            </w:pPr>
            <w:r w:rsidRPr="00821AEF">
              <w:rPr>
                <w:rFonts w:ascii="Verdana" w:eastAsia="Times New Roman" w:hAnsi="Verdana" w:cs="Arial"/>
                <w:color w:val="000000"/>
                <w:sz w:val="20"/>
                <w:szCs w:val="20"/>
                <w:lang w:val="pt-BR" w:eastAsia="pt-BR"/>
              </w:rPr>
              <w:t>Unidades</w:t>
            </w:r>
          </w:p>
        </w:tc>
        <w:tc>
          <w:tcPr>
            <w:tcW w:w="1184" w:type="dxa"/>
            <w:tcBorders>
              <w:top w:val="nil"/>
              <w:left w:val="nil"/>
              <w:bottom w:val="single" w:sz="4" w:space="0" w:color="auto"/>
              <w:right w:val="single" w:sz="4" w:space="0" w:color="auto"/>
            </w:tcBorders>
            <w:shd w:val="clear" w:color="auto" w:fill="auto"/>
            <w:noWrap/>
            <w:vAlign w:val="center"/>
            <w:hideMark/>
          </w:tcPr>
          <w:p w14:paraId="6EAC95AE" w14:textId="2B520804" w:rsidR="00EA0BDF" w:rsidRPr="00821AEF" w:rsidRDefault="00EA0BDF" w:rsidP="00FC401E">
            <w:pPr>
              <w:widowControl/>
              <w:autoSpaceDE/>
              <w:autoSpaceDN/>
              <w:jc w:val="center"/>
              <w:rPr>
                <w:rFonts w:ascii="Verdana" w:eastAsia="Times New Roman" w:hAnsi="Verdana" w:cs="Arial"/>
                <w:color w:val="000000"/>
                <w:sz w:val="20"/>
                <w:szCs w:val="20"/>
                <w:lang w:val="pt-BR" w:eastAsia="pt-BR"/>
              </w:rPr>
            </w:pPr>
            <w:r w:rsidRPr="00821AEF">
              <w:rPr>
                <w:rFonts w:ascii="Verdana" w:eastAsia="Times New Roman" w:hAnsi="Verdana" w:cs="Arial"/>
                <w:color w:val="000000"/>
                <w:sz w:val="20"/>
                <w:szCs w:val="20"/>
                <w:lang w:val="pt-BR" w:eastAsia="pt-BR"/>
              </w:rPr>
              <w:t xml:space="preserve">R$ </w:t>
            </w:r>
            <w:r w:rsidR="00FC401E" w:rsidRPr="00821AEF">
              <w:rPr>
                <w:rFonts w:ascii="Verdana" w:eastAsia="Times New Roman" w:hAnsi="Verdana" w:cs="Arial"/>
                <w:color w:val="000000"/>
                <w:sz w:val="20"/>
                <w:szCs w:val="20"/>
                <w:lang w:val="pt-BR" w:eastAsia="pt-BR"/>
              </w:rPr>
              <w:t>189,70</w:t>
            </w:r>
          </w:p>
        </w:tc>
        <w:tc>
          <w:tcPr>
            <w:tcW w:w="1693" w:type="dxa"/>
            <w:tcBorders>
              <w:top w:val="nil"/>
              <w:left w:val="nil"/>
              <w:bottom w:val="single" w:sz="4" w:space="0" w:color="auto"/>
              <w:right w:val="single" w:sz="4" w:space="0" w:color="auto"/>
            </w:tcBorders>
            <w:shd w:val="clear" w:color="auto" w:fill="auto"/>
            <w:noWrap/>
            <w:vAlign w:val="center"/>
            <w:hideMark/>
          </w:tcPr>
          <w:p w14:paraId="6DF73157" w14:textId="2AF8AD7A" w:rsidR="00EA0BDF" w:rsidRPr="00821AEF" w:rsidRDefault="00EA0BDF" w:rsidP="00FC401E">
            <w:pPr>
              <w:widowControl/>
              <w:autoSpaceDE/>
              <w:autoSpaceDN/>
              <w:jc w:val="center"/>
              <w:rPr>
                <w:rFonts w:ascii="Verdana" w:eastAsia="Times New Roman" w:hAnsi="Verdana" w:cs="Arial"/>
                <w:color w:val="000000"/>
                <w:sz w:val="20"/>
                <w:szCs w:val="20"/>
                <w:lang w:val="pt-BR" w:eastAsia="pt-BR"/>
              </w:rPr>
            </w:pPr>
            <w:r w:rsidRPr="00821AEF">
              <w:rPr>
                <w:rFonts w:ascii="Verdana" w:eastAsia="Times New Roman" w:hAnsi="Verdana" w:cs="Arial"/>
                <w:color w:val="000000"/>
                <w:sz w:val="20"/>
                <w:szCs w:val="20"/>
                <w:lang w:val="pt-BR" w:eastAsia="pt-BR"/>
              </w:rPr>
              <w:t xml:space="preserve">R$ </w:t>
            </w:r>
            <w:r w:rsidR="00FC401E" w:rsidRPr="00821AEF">
              <w:rPr>
                <w:rFonts w:ascii="Verdana" w:eastAsia="Times New Roman" w:hAnsi="Verdana" w:cs="Arial"/>
                <w:color w:val="000000"/>
                <w:sz w:val="20"/>
                <w:szCs w:val="20"/>
                <w:lang w:val="pt-BR" w:eastAsia="pt-BR"/>
              </w:rPr>
              <w:t>1.897.000,00</w:t>
            </w:r>
          </w:p>
        </w:tc>
      </w:tr>
      <w:tr w:rsidR="00EA0BDF" w:rsidRPr="00821AEF" w14:paraId="74994B67" w14:textId="77777777" w:rsidTr="00FC401E">
        <w:trPr>
          <w:trHeight w:val="291"/>
        </w:trPr>
        <w:tc>
          <w:tcPr>
            <w:tcW w:w="695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273C067" w14:textId="77777777" w:rsidR="00EA0BDF" w:rsidRPr="00821AEF" w:rsidRDefault="00EA0BDF" w:rsidP="00EA0BDF">
            <w:pPr>
              <w:widowControl/>
              <w:autoSpaceDE/>
              <w:autoSpaceDN/>
              <w:jc w:val="right"/>
              <w:rPr>
                <w:rFonts w:ascii="Verdana" w:eastAsia="Times New Roman" w:hAnsi="Verdana" w:cs="Arial"/>
                <w:b/>
                <w:bCs/>
                <w:color w:val="000000"/>
                <w:sz w:val="20"/>
                <w:szCs w:val="20"/>
                <w:lang w:val="pt-BR" w:eastAsia="pt-BR"/>
              </w:rPr>
            </w:pPr>
            <w:r w:rsidRPr="00821AEF">
              <w:rPr>
                <w:rFonts w:ascii="Verdana" w:eastAsia="Times New Roman" w:hAnsi="Verdana" w:cs="Arial"/>
                <w:b/>
                <w:bCs/>
                <w:color w:val="000000"/>
                <w:sz w:val="20"/>
                <w:szCs w:val="20"/>
                <w:lang w:val="pt-BR" w:eastAsia="pt-BR"/>
              </w:rPr>
              <w:t>VALOR TOTAL:</w:t>
            </w:r>
          </w:p>
        </w:tc>
        <w:tc>
          <w:tcPr>
            <w:tcW w:w="2877"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1DA8ED03" w14:textId="4E0E7D8F" w:rsidR="00EA0BDF" w:rsidRPr="00821AEF" w:rsidRDefault="00EA0BDF" w:rsidP="00FC401E">
            <w:pPr>
              <w:widowControl/>
              <w:autoSpaceDE/>
              <w:autoSpaceDN/>
              <w:jc w:val="center"/>
              <w:rPr>
                <w:rFonts w:ascii="Verdana" w:eastAsia="Times New Roman" w:hAnsi="Verdana" w:cs="Arial"/>
                <w:b/>
                <w:bCs/>
                <w:color w:val="000000"/>
                <w:sz w:val="20"/>
                <w:szCs w:val="20"/>
                <w:lang w:val="pt-BR" w:eastAsia="pt-BR"/>
              </w:rPr>
            </w:pPr>
            <w:r w:rsidRPr="00821AEF">
              <w:rPr>
                <w:rFonts w:ascii="Verdana" w:eastAsia="Times New Roman" w:hAnsi="Verdana" w:cs="Arial"/>
                <w:b/>
                <w:bCs/>
                <w:color w:val="000000"/>
                <w:sz w:val="20"/>
                <w:szCs w:val="20"/>
                <w:lang w:val="pt-BR" w:eastAsia="pt-BR"/>
              </w:rPr>
              <w:t xml:space="preserve">R$ </w:t>
            </w:r>
            <w:r w:rsidR="00FC401E" w:rsidRPr="00821AEF">
              <w:rPr>
                <w:rFonts w:ascii="Verdana" w:eastAsia="Times New Roman" w:hAnsi="Verdana" w:cs="Arial"/>
                <w:b/>
                <w:bCs/>
                <w:color w:val="000000"/>
                <w:sz w:val="20"/>
                <w:szCs w:val="20"/>
                <w:lang w:val="pt-BR" w:eastAsia="pt-BR"/>
              </w:rPr>
              <w:t>1.897.000,00</w:t>
            </w:r>
          </w:p>
        </w:tc>
      </w:tr>
    </w:tbl>
    <w:p w14:paraId="191DD527" w14:textId="23C7517E" w:rsidR="00EA0BDF" w:rsidRPr="00821AEF" w:rsidRDefault="00EA0BDF" w:rsidP="00CD3E0E">
      <w:pPr>
        <w:spacing w:line="360" w:lineRule="auto"/>
        <w:rPr>
          <w:rFonts w:ascii="Verdana" w:hAnsi="Verdana" w:cs="Arial"/>
          <w:sz w:val="20"/>
          <w:szCs w:val="20"/>
        </w:rPr>
      </w:pPr>
    </w:p>
    <w:p w14:paraId="416490BE" w14:textId="5A30B1B2" w:rsidR="002B5BFA" w:rsidRPr="00821AEF" w:rsidRDefault="002B5BFA" w:rsidP="00CD3E0E">
      <w:pPr>
        <w:spacing w:line="360" w:lineRule="auto"/>
        <w:rPr>
          <w:rFonts w:ascii="Verdana" w:hAnsi="Verdana" w:cs="Arial"/>
          <w:sz w:val="20"/>
          <w:szCs w:val="20"/>
          <w:lang w:val="pt-BR" w:eastAsia="pt-BR"/>
        </w:rPr>
      </w:pPr>
      <w:r w:rsidRPr="00821AEF">
        <w:rPr>
          <w:rFonts w:ascii="Verdana" w:hAnsi="Verdana" w:cs="Arial"/>
          <w:sz w:val="20"/>
          <w:szCs w:val="20"/>
        </w:rPr>
        <w:t>1.2</w:t>
      </w:r>
      <w:r w:rsidRPr="00821AEF">
        <w:rPr>
          <w:rFonts w:ascii="Verdana" w:hAnsi="Verdana" w:cs="Arial"/>
          <w:sz w:val="20"/>
          <w:szCs w:val="20"/>
        </w:rPr>
        <w:tab/>
        <w:t xml:space="preserve">Os serviços, objeto desta contratação, são caracterizados como comum, conforme justificativa constante do Estudo Técnico Preliminar. </w:t>
      </w:r>
    </w:p>
    <w:p w14:paraId="4A11AD5A" w14:textId="77777777" w:rsidR="002B5BFA" w:rsidRPr="00CD3E0E" w:rsidRDefault="002B5BFA" w:rsidP="00CD3E0E">
      <w:pPr>
        <w:spacing w:line="360" w:lineRule="auto"/>
        <w:rPr>
          <w:rFonts w:ascii="Verdana" w:hAnsi="Verdana" w:cs="Arial"/>
          <w:sz w:val="20"/>
          <w:szCs w:val="20"/>
        </w:rPr>
      </w:pPr>
      <w:r w:rsidRPr="00821AEF">
        <w:rPr>
          <w:rFonts w:ascii="Verdana" w:hAnsi="Verdana" w:cs="Arial"/>
          <w:sz w:val="20"/>
          <w:szCs w:val="20"/>
        </w:rPr>
        <w:t>1.3</w:t>
      </w:r>
      <w:r w:rsidRPr="00821AEF">
        <w:rPr>
          <w:rFonts w:ascii="Verdana" w:hAnsi="Verdana" w:cs="Arial"/>
          <w:sz w:val="20"/>
          <w:szCs w:val="20"/>
        </w:rPr>
        <w:tab/>
        <w:t>O prazo de vigência da contratação</w:t>
      </w:r>
      <w:r w:rsidRPr="00CD3E0E">
        <w:rPr>
          <w:rFonts w:ascii="Verdana" w:hAnsi="Verdana" w:cs="Arial"/>
          <w:sz w:val="20"/>
          <w:szCs w:val="20"/>
        </w:rPr>
        <w:t xml:space="preserve"> será de 12 (dose) meses contados data da assinatura, podendo ser prorrogado por até 60 (sessenta) meses, forma do artigo 105 da Lei n° 14.133, de 2021. </w:t>
      </w:r>
    </w:p>
    <w:p w14:paraId="233437DA"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1.4</w:t>
      </w:r>
      <w:r w:rsidRPr="00CD3E0E">
        <w:rPr>
          <w:rFonts w:ascii="Verdana" w:hAnsi="Verdana" w:cs="Arial"/>
          <w:sz w:val="20"/>
          <w:szCs w:val="20"/>
        </w:rPr>
        <w:tab/>
        <w:t xml:space="preserve">O contrato oferece maior detalhamento das regras que serão aplicadas em relação à vigência da contratação. </w:t>
      </w:r>
    </w:p>
    <w:p w14:paraId="254F7E17"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2.</w:t>
      </w:r>
      <w:r w:rsidRPr="00CD3E0E">
        <w:rPr>
          <w:rFonts w:ascii="Verdana" w:hAnsi="Verdana" w:cs="Arial"/>
          <w:b/>
          <w:bCs/>
          <w:sz w:val="20"/>
          <w:szCs w:val="20"/>
        </w:rPr>
        <w:tab/>
        <w:t xml:space="preserve">FUNDAMENTAÇÃO E DESCRIÇÃO DA NECESSIDADE DA CONTRATAÇÃO </w:t>
      </w:r>
    </w:p>
    <w:p w14:paraId="75A4EE4D"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2.1</w:t>
      </w:r>
      <w:r w:rsidRPr="00CD3E0E">
        <w:rPr>
          <w:rFonts w:ascii="Verdana" w:hAnsi="Verdana" w:cs="Arial"/>
          <w:sz w:val="20"/>
          <w:szCs w:val="20"/>
        </w:rPr>
        <w:tab/>
        <w:t xml:space="preserve">A Fundamentação da Contratação e de seus quantitativos encontra-se pormenorizada em tópico específico dos Estudos Técnicos Preliminares, apêndice deste Termo de Referência. </w:t>
      </w:r>
    </w:p>
    <w:p w14:paraId="5356F7C8" w14:textId="7565EDB2"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2.2</w:t>
      </w:r>
      <w:r w:rsidRPr="00CD3E0E">
        <w:rPr>
          <w:rFonts w:ascii="Verdana" w:hAnsi="Verdana" w:cs="Arial"/>
          <w:sz w:val="20"/>
          <w:szCs w:val="20"/>
        </w:rPr>
        <w:tab/>
        <w:t>A previsão orçamentária para o objeto em questão será devidamente contemplada na Lei Orçamentária Anual (LOA) de 202</w:t>
      </w:r>
      <w:r w:rsidR="00220067">
        <w:rPr>
          <w:rFonts w:ascii="Verdana" w:hAnsi="Verdana" w:cs="Arial"/>
          <w:sz w:val="20"/>
          <w:szCs w:val="20"/>
        </w:rPr>
        <w:t>6</w:t>
      </w:r>
      <w:r w:rsidRPr="00CD3E0E">
        <w:rPr>
          <w:rFonts w:ascii="Verdana" w:hAnsi="Verdana" w:cs="Arial"/>
          <w:sz w:val="20"/>
          <w:szCs w:val="20"/>
        </w:rPr>
        <w:t xml:space="preserve">, que representa o instrumento legal que consolida e estabelece as diretrizes para a execução do orçamento municipal. </w:t>
      </w:r>
    </w:p>
    <w:p w14:paraId="4A6C9E94" w14:textId="19E960F3"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2.3</w:t>
      </w:r>
      <w:r w:rsidRPr="00CD3E0E">
        <w:rPr>
          <w:rFonts w:ascii="Verdana" w:hAnsi="Verdana" w:cs="Arial"/>
          <w:sz w:val="20"/>
          <w:szCs w:val="20"/>
        </w:rPr>
        <w:tab/>
        <w:t>O objeto da contratação está previsto no Plano de Contratações Anual 202</w:t>
      </w:r>
      <w:r w:rsidR="00220067">
        <w:rPr>
          <w:rFonts w:ascii="Verdana" w:hAnsi="Verdana" w:cs="Arial"/>
          <w:sz w:val="20"/>
          <w:szCs w:val="20"/>
        </w:rPr>
        <w:t>6</w:t>
      </w:r>
      <w:r w:rsidRPr="00CD3E0E">
        <w:rPr>
          <w:rFonts w:ascii="Verdana" w:hAnsi="Verdana" w:cs="Arial"/>
          <w:sz w:val="20"/>
          <w:szCs w:val="20"/>
        </w:rPr>
        <w:t xml:space="preserve"> conforme detalhamento a seguir: </w:t>
      </w:r>
    </w:p>
    <w:p w14:paraId="440C7553" w14:textId="0D5FA4C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lastRenderedPageBreak/>
        <w:t>2.4</w:t>
      </w:r>
      <w:r w:rsidRPr="00CD3E0E">
        <w:rPr>
          <w:rFonts w:ascii="Verdana" w:hAnsi="Verdana" w:cs="Arial"/>
          <w:sz w:val="20"/>
          <w:szCs w:val="20"/>
        </w:rPr>
        <w:tab/>
        <w:t>O objeto da contratação está previsto no Plano de Contratações Anual 202</w:t>
      </w:r>
      <w:r w:rsidR="00220067">
        <w:rPr>
          <w:rFonts w:ascii="Verdana" w:hAnsi="Verdana" w:cs="Arial"/>
          <w:sz w:val="20"/>
          <w:szCs w:val="20"/>
        </w:rPr>
        <w:t>6</w:t>
      </w:r>
      <w:r w:rsidRPr="00CD3E0E">
        <w:rPr>
          <w:rFonts w:ascii="Verdana" w:hAnsi="Verdana" w:cs="Arial"/>
          <w:sz w:val="20"/>
          <w:szCs w:val="20"/>
        </w:rPr>
        <w:t xml:space="preserve">, conforme consta das informações básicas deste termo de referência. </w:t>
      </w:r>
    </w:p>
    <w:p w14:paraId="2CFDB7A9"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 xml:space="preserve">3. DESCRIÇÃO DA SOLUÇÃO COMO UM TODO CONSIDERADO O CICLO DE VIDA DO OBJETO </w:t>
      </w:r>
    </w:p>
    <w:p w14:paraId="1C7BA550"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3.1 A descrição da solução como um todo encontra- se pormenorizada em tópico específico dos Estudos Técnicos Preliminares, apêndice deste Termo de Referência. </w:t>
      </w:r>
    </w:p>
    <w:p w14:paraId="4E81BC83"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4. REQUISITOS DA CONTRATAÇÃO</w:t>
      </w:r>
    </w:p>
    <w:p w14:paraId="6229CE3F"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Sustentabilidade </w:t>
      </w:r>
    </w:p>
    <w:p w14:paraId="78DA2CDC"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4.1 Além dos critérios de sustentabilidade eventualmente inseridos na descrição do objeto, devem ser atendidos os seguintes requisitos, que se baseiam no Guia Nacional de Contratações Sustentáveis. </w:t>
      </w:r>
    </w:p>
    <w:p w14:paraId="64F7FC4A"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Subcontratação </w:t>
      </w:r>
    </w:p>
    <w:p w14:paraId="18969334"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4.2 É vedada a subcontratação neste processo. </w:t>
      </w:r>
    </w:p>
    <w:p w14:paraId="6399F014"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Garantia da contratação </w:t>
      </w:r>
    </w:p>
    <w:p w14:paraId="239C2654"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4.3 Não haverá exigência da garantia da contratação dos artigos 96 e seguintes da Lei nº 14.133, de 2021, pelas razões constantes do Estudo Técnico Preliminar. </w:t>
      </w:r>
    </w:p>
    <w:p w14:paraId="3877300B" w14:textId="77777777" w:rsidR="002B5BFA" w:rsidRPr="00CD3E0E" w:rsidRDefault="002B5BFA" w:rsidP="00CD3E0E">
      <w:pPr>
        <w:spacing w:line="360" w:lineRule="auto"/>
        <w:rPr>
          <w:rFonts w:ascii="Verdana" w:hAnsi="Verdana" w:cs="Arial"/>
          <w:sz w:val="20"/>
          <w:szCs w:val="20"/>
        </w:rPr>
      </w:pPr>
    </w:p>
    <w:p w14:paraId="4F7AF36E"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 xml:space="preserve">5 MODELO DE EXECUÇÃO DO OBJETO </w:t>
      </w:r>
    </w:p>
    <w:p w14:paraId="3AD9B035"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 xml:space="preserve">Condições de execução </w:t>
      </w:r>
    </w:p>
    <w:p w14:paraId="4C49B4A6"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5.1 A proponente deverá fornecer o produto no município de Correntina/BA, de acordo com a ordem de fornecimento emitida pelo Setor competente;  </w:t>
      </w:r>
    </w:p>
    <w:p w14:paraId="42A42483" w14:textId="4E73DB3B"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5.2  Os fornecimentos deverão ser entregues em conformidade com o quantitativo solicitado pela Secretaria Municipal </w:t>
      </w:r>
      <w:r w:rsidR="006111DB">
        <w:rPr>
          <w:rFonts w:ascii="Verdana" w:hAnsi="Verdana" w:cs="Arial"/>
          <w:sz w:val="20"/>
          <w:szCs w:val="20"/>
        </w:rPr>
        <w:t>de Desenvolvimento Social e Cidadania</w:t>
      </w:r>
      <w:r w:rsidRPr="00CD3E0E">
        <w:rPr>
          <w:rFonts w:ascii="Verdana" w:hAnsi="Verdana" w:cs="Arial"/>
          <w:sz w:val="20"/>
          <w:szCs w:val="20"/>
        </w:rPr>
        <w:t xml:space="preserve"> ou as demais secretarias que venham a obter contratos, (tantos quantos forem necessários), de acordo com a necessidade. </w:t>
      </w:r>
    </w:p>
    <w:p w14:paraId="2E19981F" w14:textId="76FCFFD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5.3 O prazo máximo para </w:t>
      </w:r>
      <w:r w:rsidR="00CC71D7">
        <w:rPr>
          <w:rFonts w:ascii="Verdana" w:hAnsi="Verdana" w:cs="Arial"/>
          <w:sz w:val="20"/>
          <w:szCs w:val="20"/>
        </w:rPr>
        <w:t xml:space="preserve">a execução do serviço será de </w:t>
      </w:r>
      <w:r w:rsidR="006111DB">
        <w:rPr>
          <w:rFonts w:ascii="Verdana" w:hAnsi="Verdana" w:cs="Arial"/>
          <w:sz w:val="20"/>
          <w:szCs w:val="20"/>
        </w:rPr>
        <w:t>24</w:t>
      </w:r>
      <w:r w:rsidR="00CC71D7">
        <w:rPr>
          <w:rFonts w:ascii="Verdana" w:hAnsi="Verdana" w:cs="Arial"/>
          <w:sz w:val="20"/>
          <w:szCs w:val="20"/>
        </w:rPr>
        <w:t xml:space="preserve"> horas</w:t>
      </w:r>
      <w:r w:rsidRPr="00CD3E0E">
        <w:rPr>
          <w:rFonts w:ascii="Verdana" w:hAnsi="Verdana" w:cs="Arial"/>
          <w:sz w:val="20"/>
          <w:szCs w:val="20"/>
        </w:rPr>
        <w:t xml:space="preserve">, a contar do recebimento da ordem da ordem de fornecimento. </w:t>
      </w:r>
    </w:p>
    <w:p w14:paraId="26EDB1A2"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5.4 A contratada deverá manter canais de comunicação eficazes para atendimento de eventuais demandas ou problemas relacionados ao fornecimento. </w:t>
      </w:r>
    </w:p>
    <w:p w14:paraId="07C45B90"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5.5 A execução do objeto seguirá mediante necessidade da secretaria solicitante do objeto.  </w:t>
      </w:r>
    </w:p>
    <w:p w14:paraId="0189404F" w14:textId="440A243D"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5.6 Os fornecimentos serão realizados no estabelecimento da contratada ou em local indicado pela Contratante </w:t>
      </w:r>
    </w:p>
    <w:p w14:paraId="0974D6FE"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b/>
          <w:bCs/>
          <w:sz w:val="20"/>
          <w:szCs w:val="20"/>
        </w:rPr>
        <w:t xml:space="preserve">6. </w:t>
      </w:r>
      <w:r w:rsidRPr="00CD3E0E">
        <w:rPr>
          <w:rFonts w:ascii="Verdana" w:hAnsi="Verdana" w:cs="Arial"/>
          <w:b/>
          <w:bCs/>
          <w:sz w:val="20"/>
          <w:szCs w:val="20"/>
        </w:rPr>
        <w:tab/>
        <w:t xml:space="preserve">GESTÃO DO CONTRATO </w:t>
      </w:r>
      <w:r w:rsidRPr="00CD3E0E">
        <w:rPr>
          <w:rFonts w:ascii="Verdana" w:hAnsi="Verdana" w:cs="Arial"/>
          <w:sz w:val="20"/>
          <w:szCs w:val="20"/>
        </w:rPr>
        <w:t xml:space="preserve"> </w:t>
      </w:r>
    </w:p>
    <w:p w14:paraId="62687BE7"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6.1 O contrato deverá ser executado fielmente pelas partes, de acordo com as cláusulas avençadas e as normas da Lei nº 14.133, de 2021, e cada parte responderá pelas consequências de sua inexecução total ou parcial. </w:t>
      </w:r>
    </w:p>
    <w:p w14:paraId="5D664A02"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lastRenderedPageBreak/>
        <w:t xml:space="preserve">6.2 Em caso de impedimento, ordem de paralisação ou suspensão do contrato, o cronograma de execução será prorrogado automaticamente pelo tempo correspondente, anotadas tais circunstâncias mediante simples apostila. </w:t>
      </w:r>
    </w:p>
    <w:p w14:paraId="38322557"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6.3 As comunicações entre o órgão ou entidade e a contratada devem ser realizadas por escrito sempre que o ato exigir tal formalidade, admitindo-se o uso de mensagem eletrônica para esse fim. </w:t>
      </w:r>
    </w:p>
    <w:p w14:paraId="76CF42AF"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6.4 O órgão ou entidade poderá convocar representante da empresa para adoção de providências que devam ser cumpridas de imediato. </w:t>
      </w:r>
    </w:p>
    <w:p w14:paraId="083E29BD"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53D3FC5E"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6.6 A Contratada designará formalmente o preposto da empresa, antes do início da prestação dos serviços, indicando no instrumento os poderes e deveres em relação à execução do objeto contratado. </w:t>
      </w:r>
    </w:p>
    <w:p w14:paraId="068591A5"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6.7 A Contratante poderá recusar, desde que justificadamente, a indicação ou a manutenção do preposto da empresa, hipótese em que a Contratada designará outro para o exercício da atividade. </w:t>
      </w:r>
    </w:p>
    <w:p w14:paraId="4D312535"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 xml:space="preserve">Fiscalização </w:t>
      </w:r>
    </w:p>
    <w:p w14:paraId="716D39EB"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sz w:val="20"/>
          <w:szCs w:val="20"/>
        </w:rPr>
        <w:t xml:space="preserve">6.8 A execução do contrato deverá ser acompanhada e fiscalizada pelo(s) fiscal(is) do contrato, ou pelos respectivos substitutos (Lei nº 14.133, de 2021, art. 117, caput). </w:t>
      </w:r>
      <w:r w:rsidRPr="00CD3E0E">
        <w:rPr>
          <w:rFonts w:ascii="Verdana" w:hAnsi="Verdana" w:cs="Arial"/>
          <w:b/>
          <w:bCs/>
          <w:sz w:val="20"/>
          <w:szCs w:val="20"/>
        </w:rPr>
        <w:t xml:space="preserve">Fiscalização Técnica </w:t>
      </w:r>
    </w:p>
    <w:p w14:paraId="0653DA25"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6.9 O fiscal técnico do contrato acompanhará a execução do contrato, para que sejam cumpridas todas as condições estabelecidas no contrato, de modo a assegurar os melhores resultados para a Administração. (Decreto nº 11.246, de 2022, art. 22, VI); </w:t>
      </w:r>
    </w:p>
    <w:p w14:paraId="59E474F6"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6.10 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 </w:t>
      </w:r>
    </w:p>
    <w:p w14:paraId="2C67F210"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6.11 Identificada qualquer inexatidão ou irregularidade, o fiscal técnico do contrato emitirá notificações para a correção da execução do contrato, determinando prazo para a correção. (Decreto nº 11.246, de 2022, art. 22, III);  </w:t>
      </w:r>
    </w:p>
    <w:p w14:paraId="2ABE0A7C"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6.12 O fiscal técnico do contrato informará ao gestor do contato, em tempo hábil, a situação que demandar decisão ou adoção de medidas que ultrapassem sua competência, para que adote as medidas necessárias e saneadoras, se for o caso. </w:t>
      </w:r>
      <w:r w:rsidRPr="00CD3E0E">
        <w:rPr>
          <w:rFonts w:ascii="Verdana" w:hAnsi="Verdana" w:cs="Arial"/>
          <w:sz w:val="20"/>
          <w:szCs w:val="20"/>
        </w:rPr>
        <w:lastRenderedPageBreak/>
        <w:t xml:space="preserve">(Decreto nº 11.246, de 2022, art. 22, IV); </w:t>
      </w:r>
    </w:p>
    <w:p w14:paraId="57A4F323"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6.13 No caso de ocorrências que possam inviabilizar a execução do contrato nas datas aprazadas, o fiscal técnico do contrato comunicará o fato imediatamente ao gestor do contrato. (Decreto nº 11.246, de 2022, art. 22, V); </w:t>
      </w:r>
    </w:p>
    <w:p w14:paraId="6E10797A"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6.14 O fiscal técnico do contrato comunicará ao gestor do contrato, em tempo hábil, o término do contrato sob sua responsabilidade, com vistas à tempestiva renovação ou à prorrogação contratual (Decreto nº 11.246, de 2022, art. 22, VII). </w:t>
      </w:r>
    </w:p>
    <w:p w14:paraId="09112F84"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 xml:space="preserve">Fiscalização Administrativa </w:t>
      </w:r>
    </w:p>
    <w:p w14:paraId="73588788"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6.15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 </w:t>
      </w:r>
    </w:p>
    <w:p w14:paraId="26546F88"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6.16 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 </w:t>
      </w:r>
    </w:p>
    <w:p w14:paraId="1047894E"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6.17 </w:t>
      </w:r>
      <w:r w:rsidRPr="00CD3E0E">
        <w:rPr>
          <w:rFonts w:ascii="Verdana" w:hAnsi="Verdana" w:cs="Arial"/>
          <w:sz w:val="20"/>
          <w:szCs w:val="20"/>
        </w:rPr>
        <w:tab/>
        <w:t xml:space="preserve">Além do disposto acima, a fiscalização contratual obedecerá às seguintes rotinas: </w:t>
      </w:r>
    </w:p>
    <w:p w14:paraId="236B2119"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 xml:space="preserve">Modelos Gestor do Contrato </w:t>
      </w:r>
    </w:p>
    <w:p w14:paraId="5FE1728E"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6.18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 </w:t>
      </w:r>
    </w:p>
    <w:p w14:paraId="66F48D72"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6.19 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4EE342C7"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6.20 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7F85A980"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6.21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w:t>
      </w:r>
      <w:r w:rsidRPr="00CD3E0E">
        <w:rPr>
          <w:rFonts w:ascii="Verdana" w:hAnsi="Verdana" w:cs="Arial"/>
          <w:sz w:val="20"/>
          <w:szCs w:val="20"/>
        </w:rPr>
        <w:lastRenderedPageBreak/>
        <w:t xml:space="preserve">devendo constar do cadastro de atesto de cumprimento de obrigações. (Decreto nº 11.246, de 2022, art. 21, VIII).  </w:t>
      </w:r>
    </w:p>
    <w:p w14:paraId="45C49234"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6.22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129B4BA"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6.23 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2014E3F4" w14:textId="35EF9A95"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6.24 O gestor do contrato deverá enviar a documentação pertinente ao setor de contratos para a formalização dos procedimentos de liquidação e pagamento, no valor dimensionado pela fiscalização e gestão nos termos do contrato. </w:t>
      </w:r>
    </w:p>
    <w:p w14:paraId="5C79CD79"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 xml:space="preserve">7 CRITÉRIOS DE MEDIÇÃO E PAGAMENTO </w:t>
      </w:r>
    </w:p>
    <w:p w14:paraId="47CC7FE3"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 xml:space="preserve">Do recebimento </w:t>
      </w:r>
    </w:p>
    <w:p w14:paraId="0B52F4A5"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 Os fornecimentos serão realizados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 </w:t>
      </w:r>
    </w:p>
    <w:p w14:paraId="088014DE"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7.2 O fornecimento poderá ser rejeitado, no todo ou em parte, inclusive antes do recebimento provisório, quando em desacordo com as especificações constantes no Termo de Referência e na proposta, devendo ser substituídos no prazo de 5 (cinco) dias, a contar da notificação da contratada, às suas custas, sem prejuízo da aplicação das penalidades.  </w:t>
      </w:r>
    </w:p>
    <w:p w14:paraId="34AD4198"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7.3 O fornecimento definitivo ocorrerá no prazo de 05 (cinco) dias úteis, a contar do recebimento da nota fiscal ou instrumento de cobrança equivalente pela Administração, após a verificação da qualidade e consequente aceitação mediante termo detalhado.  </w:t>
      </w:r>
    </w:p>
    <w:p w14:paraId="75BA3FDA"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7.4 O prazo para recebimento definitivo poderá ser excepcionalmente prorrogado, de forma justificada, por igual período, quando houver necessidade de diligências para a aferição do atendimento das exigências contratuais. </w:t>
      </w:r>
    </w:p>
    <w:p w14:paraId="05309405"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7.5 O prazo para a solução, pelo contratado, de inconsistências no fornecimento do objeto ou de saneamento da nota fiscal ou de instrumento de cobrança equivalente, verificadas pela Administração durante a análise prévia à liquidação de despesa, não será computado para os fins do recebimento definitivo.  </w:t>
      </w:r>
    </w:p>
    <w:p w14:paraId="33AB4707"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7.6 O Contratado fica obrigado a reparar, corrigir, remover, reconstruir ou substituir, às </w:t>
      </w:r>
      <w:r w:rsidRPr="00CD3E0E">
        <w:rPr>
          <w:rFonts w:ascii="Verdana" w:hAnsi="Verdana" w:cs="Arial"/>
          <w:sz w:val="20"/>
          <w:szCs w:val="20"/>
        </w:rPr>
        <w:lastRenderedPageBreak/>
        <w:t xml:space="preserve">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w:t>
      </w:r>
    </w:p>
    <w:p w14:paraId="4CD0AEC2"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7.7 A fiscalização não efetuará o ateste da última e/ou única medição de serviços até que sejam sanadas todas as eventuais pendências que possam vir a ser apontadas no Recebimento Provisório. (Art. 119 c/c art. 140 da Lei nº 14133, de 2021) </w:t>
      </w:r>
    </w:p>
    <w:p w14:paraId="7CCD32CC"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7.8 Os fornecimentos poderão ser rejeitados, no todo ou em parte, quando em desacordo com as especificações constantes neste Termo de Referência e na proposta, sem prejuízo da aplicação das penalidades. </w:t>
      </w:r>
    </w:p>
    <w:p w14:paraId="6722B2A5"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7.9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 </w:t>
      </w:r>
    </w:p>
    <w:p w14:paraId="392C4B6B"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7.10 </w:t>
      </w:r>
      <w:r w:rsidRPr="00CD3E0E">
        <w:rPr>
          <w:rFonts w:ascii="Verdana" w:hAnsi="Verdana" w:cs="Arial"/>
          <w:sz w:val="20"/>
          <w:szCs w:val="20"/>
        </w:rPr>
        <w:tab/>
        <w:t xml:space="preserve">Comunicar a empresa para que emita a Nota Fiscal ou Fatura, com o valor exato dimensionado pela fiscalização. </w:t>
      </w:r>
    </w:p>
    <w:p w14:paraId="73561BCA"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7.11 Enviar a documentação pertinente ao setor de contratos para a formalização dos procedimentos de liquidação e pagamento, no valor dimensionado pela fiscalização e gestão. </w:t>
      </w:r>
    </w:p>
    <w:p w14:paraId="4974FF01"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7.12 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 </w:t>
      </w:r>
    </w:p>
    <w:p w14:paraId="2867B57D"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7.13 Nenhum prazo de recebimento ocorrerá enquanto pendente a solução, pelo contratado, de inconsistências verificadas na execução do objeto ou no instrumento de cobrança. </w:t>
      </w:r>
    </w:p>
    <w:p w14:paraId="2DAA3402"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7.14 O recebimento provisório ou definitivo não excluirá a responsabilidade civil pela solidez e pela segurança do serviço nem a responsabilidade ético-profissional pela perfeita execução do contrato. </w:t>
      </w:r>
    </w:p>
    <w:p w14:paraId="759A0205"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 xml:space="preserve">Liquidação </w:t>
      </w:r>
    </w:p>
    <w:p w14:paraId="304C7D18"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7.15 Recebida a Nota Fiscal ou documento de cobrança equivalente, correrá o prazo de dez dias úteis para fins de liquidação, na forma desta seção, prorrogáveis por igual período. </w:t>
      </w:r>
    </w:p>
    <w:p w14:paraId="0167BE31"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7.15.1 O prazo de que trata o item anterior será reduzido à metade, mantendo-se a possibilidade de prorrogação, nos casos de contratações decorrentes de despesas cujos valores não ultrapassem o limite de que trata o inciso II do art. 75 da Lei nº 14.133, de </w:t>
      </w:r>
      <w:r w:rsidRPr="00CD3E0E">
        <w:rPr>
          <w:rFonts w:ascii="Verdana" w:hAnsi="Verdana" w:cs="Arial"/>
          <w:sz w:val="20"/>
          <w:szCs w:val="20"/>
        </w:rPr>
        <w:lastRenderedPageBreak/>
        <w:t xml:space="preserve">2021. </w:t>
      </w:r>
    </w:p>
    <w:p w14:paraId="03F80152"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7.16 Para fins de liquidação, o setor competente deve verificar se a Nota Fiscal ou Fatura apresentada expressa os elementos necessários e essenciais do documento, tais como: </w:t>
      </w:r>
    </w:p>
    <w:p w14:paraId="5C575E03"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7.16.1  o prazo de validade; </w:t>
      </w:r>
    </w:p>
    <w:p w14:paraId="1EBE796A"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7.16.2 a data da emissão; </w:t>
      </w:r>
    </w:p>
    <w:p w14:paraId="0C448AFD"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7.16.3  os dados do contrato e do órgão contratante; </w:t>
      </w:r>
    </w:p>
    <w:p w14:paraId="3C94B738"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7.16.4 o período respectivo de execução do contrato; </w:t>
      </w:r>
    </w:p>
    <w:p w14:paraId="3045B8BC"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7.16.5  o valor a pagar; e </w:t>
      </w:r>
    </w:p>
    <w:p w14:paraId="7DCCD285"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7.16.6  eventual destaque do valor de retenções tributárias cabíveis. </w:t>
      </w:r>
    </w:p>
    <w:p w14:paraId="35B52A6F"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 </w:t>
      </w:r>
    </w:p>
    <w:p w14:paraId="0229B061"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7.16.7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 </w:t>
      </w:r>
    </w:p>
    <w:p w14:paraId="14603ABB"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7.16.8 A Nota Fiscal ou Fatura deverá ser obrigatoriamente acompanhada da comprovação da regularidade fiscal, constatada por meio de consulta on-line ou, na impossibilidade de acesso ao referido Sistema, mediante consulta aos sítios eletrônicos oficiais ou à documentação mencionada no art. 68 da Lei nº 14.133/2021. </w:t>
      </w:r>
    </w:p>
    <w:p w14:paraId="4AB9C1F8"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7.16.9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 </w:t>
      </w:r>
    </w:p>
    <w:p w14:paraId="5353341D"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7.16.10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A032164"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7.16.11 Persistindo a irregularidade, o contratante deverá adotar as medidas necessárias à rescisão contratual nos autos do processo administrativo correspondente, assegurada ao contratado a ampla defesa. </w:t>
      </w:r>
    </w:p>
    <w:p w14:paraId="2524BF8A"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7.16.12 Havendo a efetiva execução do objeto, os pagamentos serão realizados normalmente, até que se decida pela rescisão do contrato, caso o contratado não regularize sua situação.  Prazo de pagamento </w:t>
      </w:r>
    </w:p>
    <w:p w14:paraId="0DD4CC2E"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7.17 O pagamento será efetuado no prazo máximo de até trinta dias úteis, contados da finalização da liquidação da despesa. </w:t>
      </w:r>
    </w:p>
    <w:p w14:paraId="37A9B948"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7.18 No caso de atraso pelo Contratante, os valores devidos ao contratado serão atualizados monetariamente entre o termo final do prazo de pagamento até a data de </w:t>
      </w:r>
      <w:r w:rsidRPr="00CD3E0E">
        <w:rPr>
          <w:rFonts w:ascii="Verdana" w:hAnsi="Verdana" w:cs="Arial"/>
          <w:sz w:val="20"/>
          <w:szCs w:val="20"/>
        </w:rPr>
        <w:lastRenderedPageBreak/>
        <w:t xml:space="preserve">sua efetiva realização, mediante aplicação do índice INPC de correção monetária. </w:t>
      </w:r>
    </w:p>
    <w:p w14:paraId="0535DE52"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Forma de pagamento </w:t>
      </w:r>
    </w:p>
    <w:p w14:paraId="7E9E971F"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7.19 O pagamento será realizado através de ordem bancária, para crédito em banco, agência e conta corrente indicados pelo contratado na proposta ajustada. </w:t>
      </w:r>
    </w:p>
    <w:p w14:paraId="25188E54"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7.20 </w:t>
      </w:r>
      <w:r w:rsidRPr="00CD3E0E">
        <w:rPr>
          <w:rFonts w:ascii="Verdana" w:hAnsi="Verdana" w:cs="Arial"/>
          <w:sz w:val="20"/>
          <w:szCs w:val="20"/>
        </w:rPr>
        <w:tab/>
        <w:t xml:space="preserve">Será considerada data do pagamento o dia em que constar como emitida a ordem bancária para pagamento. </w:t>
      </w:r>
    </w:p>
    <w:p w14:paraId="3A18EEFA"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7.21 </w:t>
      </w:r>
      <w:r w:rsidRPr="00CD3E0E">
        <w:rPr>
          <w:rFonts w:ascii="Verdana" w:hAnsi="Verdana" w:cs="Arial"/>
          <w:sz w:val="20"/>
          <w:szCs w:val="20"/>
        </w:rPr>
        <w:tab/>
        <w:t xml:space="preserve">Quando do pagamento, será efetuada a retenção tributária prevista na legislação aplicável. </w:t>
      </w:r>
    </w:p>
    <w:p w14:paraId="6994CB14"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7.22 Independentemente do percentual de tributo inserido na planilha, quando houver, serão retidos na fonte, quando da realização do pagamento, os percentuais estabelecidos na legislação vigente. </w:t>
      </w:r>
    </w:p>
    <w:p w14:paraId="01A0B41E" w14:textId="4996B6CC"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7.23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0D2AA0DE"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 xml:space="preserve">8 FORMA E CRITÉRIOS DE SELEÇÃO DO FORNECEDOR E REGIME DE EXECUÇÃO Forma de seleção e critério de julgamento da proposta </w:t>
      </w:r>
    </w:p>
    <w:p w14:paraId="376A2071"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8.1 O fornecedor será selecionado por meio da realização de procedimento de LICITAÇÃO, na modalidade PREGÃO, sob a forma ELETRÔNICA, com adoção do critério de julgamento pelo MENOR PREÇO. </w:t>
      </w:r>
    </w:p>
    <w:p w14:paraId="7D6B7271"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 xml:space="preserve">8.2 Regime de execução </w:t>
      </w:r>
    </w:p>
    <w:p w14:paraId="1E12440D"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8.3 O regime de execução do contrato será por empreitada por preço unitário. </w:t>
      </w:r>
    </w:p>
    <w:p w14:paraId="3DC968E3"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 xml:space="preserve">Exigências de habilitação </w:t>
      </w:r>
    </w:p>
    <w:p w14:paraId="72C98ED9"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8.4 Para fins de habilitação, deverá o licitante comprovar os seguintes requisitos: </w:t>
      </w:r>
    </w:p>
    <w:p w14:paraId="397A187D"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 xml:space="preserve">Habilitação jurídica </w:t>
      </w:r>
    </w:p>
    <w:p w14:paraId="1C0A3E6A"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8.5 Pessoa física: cédula de identidade (RG) ou documento equivalente que, por força de lei, tenha validade para fins de identificação em todo o território nacional; </w:t>
      </w:r>
    </w:p>
    <w:p w14:paraId="50093B87"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8.6 Empresário individual: inscrição no Registro Público de Empresas Mercantis, a cargo da Junta Comercial da respectiva sede;  </w:t>
      </w:r>
    </w:p>
    <w:p w14:paraId="0D3D8DC7"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8.7 Microempreendedor Individual - MEI: Certificado da Condição de Microempreendedor Individual - CCMEI, cuja aceitação ficará condicionada à verificação da autenticidade no sítio https://www.gov.br/empresas-enegocios/pt-br/empreendedor; </w:t>
      </w:r>
    </w:p>
    <w:p w14:paraId="0D74B5B5"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8.8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w:t>
      </w:r>
      <w:r w:rsidRPr="00CD3E0E">
        <w:rPr>
          <w:rFonts w:ascii="Verdana" w:hAnsi="Verdana" w:cs="Arial"/>
          <w:sz w:val="20"/>
          <w:szCs w:val="20"/>
        </w:rPr>
        <w:lastRenderedPageBreak/>
        <w:t xml:space="preserve">comprobatório de seus administradores; </w:t>
      </w:r>
    </w:p>
    <w:p w14:paraId="516B8CE3"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8.9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2608B9C8"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8.10 </w:t>
      </w:r>
      <w:r w:rsidRPr="00CD3E0E">
        <w:rPr>
          <w:rFonts w:ascii="Verdana" w:hAnsi="Verdana" w:cs="Arial"/>
          <w:sz w:val="20"/>
          <w:szCs w:val="20"/>
        </w:rPr>
        <w:tab/>
        <w:t xml:space="preserve">Sociedade simples: inscrição do ato constitutivo no Registro Civil de Pessoas Jurídicas do local de sua sede, acompanhada de documento comprobatório de seus administradores; </w:t>
      </w:r>
    </w:p>
    <w:p w14:paraId="37CBF4EA"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8.11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267F84E2"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8.12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05199DB5"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8.13 Os documentos apresentados deverão estar acompanhados de todas as alterações ou da consolidação respectiva. </w:t>
      </w:r>
    </w:p>
    <w:p w14:paraId="42C3E6CB"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 xml:space="preserve">Habilitação fiscal, social e trabalhista </w:t>
      </w:r>
    </w:p>
    <w:p w14:paraId="7079E2DE"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8.14 Prova de inscrição no Cadastro Nacional de Pessoas Jurídicas ou no Cadastro de Pessoas Físicas, conforme o caso; </w:t>
      </w:r>
    </w:p>
    <w:p w14:paraId="0F0158C9"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8.15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 </w:t>
      </w:r>
    </w:p>
    <w:p w14:paraId="41B7CD58"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8.16 </w:t>
      </w:r>
      <w:r w:rsidRPr="00CD3E0E">
        <w:rPr>
          <w:rFonts w:ascii="Verdana" w:hAnsi="Verdana" w:cs="Arial"/>
          <w:sz w:val="20"/>
          <w:szCs w:val="20"/>
        </w:rPr>
        <w:tab/>
        <w:t xml:space="preserve">Prova de regularidade com o Fundo de Garantia do Tempo de Serviço (FGTS); </w:t>
      </w:r>
    </w:p>
    <w:p w14:paraId="434D76E5"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8.17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0DD70570"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8.18 </w:t>
      </w:r>
      <w:r w:rsidRPr="00CD3E0E">
        <w:rPr>
          <w:rFonts w:ascii="Verdana" w:hAnsi="Verdana" w:cs="Arial"/>
          <w:sz w:val="20"/>
          <w:szCs w:val="20"/>
        </w:rPr>
        <w:tab/>
        <w:t xml:space="preserve">Prova de inscrição no cadastro de contribuintes Estadual ou Municipal relativo ao domicílio ou sede do fornecedor, pertinente ao seu ramo de atividade e compatível com o objeto contratual;  </w:t>
      </w:r>
    </w:p>
    <w:p w14:paraId="0CF84FCA"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lastRenderedPageBreak/>
        <w:t xml:space="preserve">8.19 Prova de regularidade com a Fazenda Estadual e Municipal do domicílio ou sede do fornecedor, relativa à atividade em cujo exercício contrata ou concorre; </w:t>
      </w:r>
    </w:p>
    <w:p w14:paraId="2D19B168"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8.20 Caso o fornecedor seja considerado isento dos tributos Estadual ou Municipal relacionados ao objeto contratual, deverá comprovar tal condição mediante a apresentação de declaração da Fazenda respectiva do seu domicílio ou sede, ou outra equivalente, na forma da lei. </w:t>
      </w:r>
    </w:p>
    <w:p w14:paraId="4DB79F06"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8.21 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185C8485"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 xml:space="preserve">Qualificação Econômico-Financeira </w:t>
      </w:r>
    </w:p>
    <w:p w14:paraId="3A6D629D" w14:textId="1F02ECC2"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8.2</w:t>
      </w:r>
      <w:r w:rsidR="00F815D1">
        <w:rPr>
          <w:rFonts w:ascii="Verdana" w:hAnsi="Verdana" w:cs="Arial"/>
          <w:sz w:val="20"/>
          <w:szCs w:val="20"/>
        </w:rPr>
        <w:t>2</w:t>
      </w:r>
      <w:r w:rsidRPr="00CD3E0E">
        <w:rPr>
          <w:rFonts w:ascii="Verdana" w:hAnsi="Verdana" w:cs="Arial"/>
          <w:sz w:val="20"/>
          <w:szCs w:val="20"/>
        </w:rPr>
        <w:t xml:space="preserve"> certidão negativa de falência expedida pelo distribuidor da sede do fornecedor - Lei nº 14.133, de 2021, art. 69, caput, inciso II); </w:t>
      </w:r>
    </w:p>
    <w:p w14:paraId="116CF6C2" w14:textId="6072F00B" w:rsidR="002B5BFA" w:rsidRPr="00CD3E0E" w:rsidRDefault="00F815D1" w:rsidP="00CD3E0E">
      <w:pPr>
        <w:spacing w:line="360" w:lineRule="auto"/>
        <w:rPr>
          <w:rFonts w:ascii="Verdana" w:hAnsi="Verdana" w:cs="Arial"/>
          <w:sz w:val="20"/>
          <w:szCs w:val="20"/>
        </w:rPr>
      </w:pPr>
      <w:r>
        <w:rPr>
          <w:rFonts w:ascii="Verdana" w:hAnsi="Verdana" w:cs="Arial"/>
          <w:sz w:val="20"/>
          <w:szCs w:val="20"/>
        </w:rPr>
        <w:t>8.23</w:t>
      </w:r>
      <w:r w:rsidR="002B5BFA" w:rsidRPr="00CD3E0E">
        <w:rPr>
          <w:rFonts w:ascii="Verdana" w:hAnsi="Verdana" w:cs="Arial"/>
          <w:sz w:val="20"/>
          <w:szCs w:val="20"/>
        </w:rPr>
        <w:t xml:space="preserve"> Balanço patrimonial, demonstração de resultado de exercício </w:t>
      </w:r>
      <w:r w:rsidR="00F413C7">
        <w:rPr>
          <w:rFonts w:ascii="Verdana" w:hAnsi="Verdana" w:cs="Arial"/>
          <w:sz w:val="20"/>
          <w:szCs w:val="20"/>
        </w:rPr>
        <w:t>e</w:t>
      </w:r>
      <w:r w:rsidR="002B5BFA" w:rsidRPr="00CD3E0E">
        <w:rPr>
          <w:rFonts w:ascii="Verdana" w:hAnsi="Verdana" w:cs="Arial"/>
          <w:sz w:val="20"/>
          <w:szCs w:val="20"/>
        </w:rPr>
        <w:t xml:space="preserve"> demonstr</w:t>
      </w:r>
      <w:r w:rsidR="00F413C7">
        <w:rPr>
          <w:rFonts w:ascii="Verdana" w:hAnsi="Verdana" w:cs="Arial"/>
          <w:sz w:val="20"/>
          <w:szCs w:val="20"/>
        </w:rPr>
        <w:t>ação do ultimo ano último</w:t>
      </w:r>
      <w:r w:rsidR="002B5BFA" w:rsidRPr="00CD3E0E">
        <w:rPr>
          <w:rFonts w:ascii="Verdana" w:hAnsi="Verdana" w:cs="Arial"/>
          <w:sz w:val="20"/>
          <w:szCs w:val="20"/>
        </w:rPr>
        <w:t xml:space="preserve"> exercício socia</w:t>
      </w:r>
      <w:r w:rsidR="00F413C7">
        <w:rPr>
          <w:rFonts w:ascii="Verdana" w:hAnsi="Verdana" w:cs="Arial"/>
          <w:sz w:val="20"/>
          <w:szCs w:val="20"/>
        </w:rPr>
        <w:t>l</w:t>
      </w:r>
      <w:r w:rsidR="002B5BFA" w:rsidRPr="00CD3E0E">
        <w:rPr>
          <w:rFonts w:ascii="Verdana" w:hAnsi="Verdana" w:cs="Arial"/>
          <w:sz w:val="20"/>
          <w:szCs w:val="20"/>
        </w:rPr>
        <w:t xml:space="preserve">, comprovando:  </w:t>
      </w:r>
    </w:p>
    <w:p w14:paraId="1C431C2A" w14:textId="79DE35C0" w:rsidR="002B5BFA" w:rsidRPr="00CD3E0E" w:rsidRDefault="00F815D1" w:rsidP="00CD3E0E">
      <w:pPr>
        <w:spacing w:line="360" w:lineRule="auto"/>
        <w:rPr>
          <w:rFonts w:ascii="Verdana" w:hAnsi="Verdana" w:cs="Arial"/>
          <w:sz w:val="20"/>
          <w:szCs w:val="20"/>
        </w:rPr>
      </w:pPr>
      <w:r>
        <w:rPr>
          <w:rFonts w:ascii="Verdana" w:hAnsi="Verdana" w:cs="Arial"/>
          <w:sz w:val="20"/>
          <w:szCs w:val="20"/>
        </w:rPr>
        <w:t>8.23</w:t>
      </w:r>
      <w:r w:rsidR="002B5BFA" w:rsidRPr="00CD3E0E">
        <w:rPr>
          <w:rFonts w:ascii="Verdana" w:hAnsi="Verdana" w:cs="Arial"/>
          <w:sz w:val="20"/>
          <w:szCs w:val="20"/>
        </w:rPr>
        <w:t xml:space="preserve">.1 </w:t>
      </w:r>
      <w:r w:rsidR="002B5BFA" w:rsidRPr="00CD3E0E">
        <w:rPr>
          <w:rFonts w:ascii="Verdana" w:hAnsi="Verdana" w:cs="Arial"/>
          <w:sz w:val="20"/>
          <w:szCs w:val="20"/>
        </w:rPr>
        <w:tab/>
        <w:t xml:space="preserve">índices de Liquidez Geral (LG), Liquidez Corrente (LC), e Solvência Geral (SG) superiores a 1 (um);  </w:t>
      </w:r>
    </w:p>
    <w:p w14:paraId="559C26C3" w14:textId="6CCD7C5B" w:rsidR="002B5BFA" w:rsidRPr="00CD3E0E" w:rsidRDefault="00F815D1" w:rsidP="00CD3E0E">
      <w:pPr>
        <w:spacing w:line="360" w:lineRule="auto"/>
        <w:rPr>
          <w:rFonts w:ascii="Verdana" w:hAnsi="Verdana" w:cs="Arial"/>
          <w:sz w:val="20"/>
          <w:szCs w:val="20"/>
        </w:rPr>
      </w:pPr>
      <w:r>
        <w:rPr>
          <w:rFonts w:ascii="Verdana" w:hAnsi="Verdana" w:cs="Arial"/>
          <w:sz w:val="20"/>
          <w:szCs w:val="20"/>
        </w:rPr>
        <w:t>8.23</w:t>
      </w:r>
      <w:r w:rsidR="002B5BFA" w:rsidRPr="00CD3E0E">
        <w:rPr>
          <w:rFonts w:ascii="Verdana" w:hAnsi="Verdana" w:cs="Arial"/>
          <w:sz w:val="20"/>
          <w:szCs w:val="20"/>
        </w:rPr>
        <w:t xml:space="preserve">.2 As empresas criadas no exercício financeiro da licitação deverão atender a todas as exigências da habilitação e poderão substituir os demonstrativos contábeis pelo balanço de abertura; e </w:t>
      </w:r>
    </w:p>
    <w:p w14:paraId="6287E6D2" w14:textId="148C34F7" w:rsidR="002B5BFA" w:rsidRPr="00CD3E0E" w:rsidRDefault="00F815D1" w:rsidP="00CD3E0E">
      <w:pPr>
        <w:spacing w:line="360" w:lineRule="auto"/>
        <w:rPr>
          <w:rFonts w:ascii="Verdana" w:hAnsi="Verdana" w:cs="Arial"/>
          <w:sz w:val="20"/>
          <w:szCs w:val="20"/>
        </w:rPr>
      </w:pPr>
      <w:r>
        <w:rPr>
          <w:rFonts w:ascii="Verdana" w:hAnsi="Verdana" w:cs="Arial"/>
          <w:sz w:val="20"/>
          <w:szCs w:val="20"/>
        </w:rPr>
        <w:t>8.23</w:t>
      </w:r>
      <w:r w:rsidR="002B5BFA" w:rsidRPr="00CD3E0E">
        <w:rPr>
          <w:rFonts w:ascii="Verdana" w:hAnsi="Verdana" w:cs="Arial"/>
          <w:sz w:val="20"/>
          <w:szCs w:val="20"/>
        </w:rPr>
        <w:t xml:space="preserve">.3 Os documentos referidos acima limitar-se-ão ao último exercício no caso de a pessoa jurídica ter sido constituída há menos de 2 (dois) anos.  </w:t>
      </w:r>
    </w:p>
    <w:p w14:paraId="12AEFA48" w14:textId="3D7C5996" w:rsidR="002B5BFA" w:rsidRPr="00CD3E0E" w:rsidRDefault="00F815D1" w:rsidP="00CD3E0E">
      <w:pPr>
        <w:spacing w:line="360" w:lineRule="auto"/>
        <w:rPr>
          <w:rFonts w:ascii="Verdana" w:hAnsi="Verdana" w:cs="Arial"/>
          <w:sz w:val="20"/>
          <w:szCs w:val="20"/>
        </w:rPr>
      </w:pPr>
      <w:r>
        <w:rPr>
          <w:rFonts w:ascii="Verdana" w:hAnsi="Verdana" w:cs="Arial"/>
          <w:sz w:val="20"/>
          <w:szCs w:val="20"/>
        </w:rPr>
        <w:t>8.23</w:t>
      </w:r>
      <w:r w:rsidR="002B5BFA" w:rsidRPr="00CD3E0E">
        <w:rPr>
          <w:rFonts w:ascii="Verdana" w:hAnsi="Verdana" w:cs="Arial"/>
          <w:sz w:val="20"/>
          <w:szCs w:val="20"/>
        </w:rPr>
        <w:t xml:space="preserve">.4 Os documentos referidos acima deverão ser exigidos com base no limite definido pela Receita Federal do Brasil para transmissão da Escrituração Contábil Digital - ECD ao Sped.    </w:t>
      </w:r>
    </w:p>
    <w:p w14:paraId="5DC45686" w14:textId="57076808" w:rsidR="002B5BFA" w:rsidRPr="00CD3E0E" w:rsidRDefault="00F815D1" w:rsidP="00CD3E0E">
      <w:pPr>
        <w:spacing w:line="360" w:lineRule="auto"/>
        <w:rPr>
          <w:rFonts w:ascii="Verdana" w:hAnsi="Verdana" w:cs="Arial"/>
          <w:sz w:val="20"/>
          <w:szCs w:val="20"/>
        </w:rPr>
      </w:pPr>
      <w:r>
        <w:rPr>
          <w:rFonts w:ascii="Verdana" w:hAnsi="Verdana" w:cs="Arial"/>
          <w:sz w:val="20"/>
          <w:szCs w:val="20"/>
        </w:rPr>
        <w:t>8.23</w:t>
      </w:r>
      <w:r w:rsidR="002B5BFA" w:rsidRPr="00CD3E0E">
        <w:rPr>
          <w:rFonts w:ascii="Verdana" w:hAnsi="Verdana" w:cs="Arial"/>
          <w:sz w:val="20"/>
          <w:szCs w:val="20"/>
        </w:rPr>
        <w:t xml:space="preserve">.4.1 As empresas que apresentarem resultado inferior ou igual a 1 (um) em qualquer dos índices de 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pertinente.   </w:t>
      </w:r>
    </w:p>
    <w:p w14:paraId="50383FA0" w14:textId="557804E6" w:rsidR="002B5BFA" w:rsidRPr="00CD3E0E" w:rsidRDefault="00F815D1" w:rsidP="00CD3E0E">
      <w:pPr>
        <w:spacing w:line="360" w:lineRule="auto"/>
        <w:rPr>
          <w:rFonts w:ascii="Verdana" w:hAnsi="Verdana" w:cs="Arial"/>
          <w:sz w:val="20"/>
          <w:szCs w:val="20"/>
        </w:rPr>
      </w:pPr>
      <w:r>
        <w:rPr>
          <w:rFonts w:ascii="Verdana" w:hAnsi="Verdana" w:cs="Arial"/>
          <w:sz w:val="20"/>
          <w:szCs w:val="20"/>
        </w:rPr>
        <w:t>8.24</w:t>
      </w:r>
      <w:r w:rsidR="002B5BFA" w:rsidRPr="00CD3E0E">
        <w:rPr>
          <w:rFonts w:ascii="Verdana" w:hAnsi="Verdana" w:cs="Arial"/>
          <w:sz w:val="20"/>
          <w:szCs w:val="20"/>
        </w:rPr>
        <w:t xml:space="preserve"> As empresas criadas no exercício financeiro da licitação deverão atender a todas as exigências da habilitação e poderão substituir os demonstrativos contábeis pelo balanço de abertura. (Lei nº 14.133, de 2021, art. 65, §1º). </w:t>
      </w:r>
    </w:p>
    <w:p w14:paraId="18EDBB03" w14:textId="0495DC87" w:rsidR="002B5BFA" w:rsidRPr="00CD3E0E" w:rsidRDefault="00F815D1" w:rsidP="00CD3E0E">
      <w:pPr>
        <w:spacing w:line="360" w:lineRule="auto"/>
        <w:rPr>
          <w:rFonts w:ascii="Verdana" w:hAnsi="Verdana" w:cs="Arial"/>
          <w:sz w:val="20"/>
          <w:szCs w:val="20"/>
        </w:rPr>
      </w:pPr>
      <w:r>
        <w:rPr>
          <w:rFonts w:ascii="Verdana" w:hAnsi="Verdana" w:cs="Arial"/>
          <w:sz w:val="20"/>
          <w:szCs w:val="20"/>
        </w:rPr>
        <w:t>8.25</w:t>
      </w:r>
      <w:r w:rsidR="002B5BFA" w:rsidRPr="00CD3E0E">
        <w:rPr>
          <w:rFonts w:ascii="Verdana" w:hAnsi="Verdana" w:cs="Arial"/>
          <w:sz w:val="20"/>
          <w:szCs w:val="20"/>
        </w:rPr>
        <w:t xml:space="preserve"> O atendimento dos índices econômicos previstos neste item deverá ser atestado mediante declaração assinada por profissional habilitado da área contábil, apresentada pelo fornecedor. </w:t>
      </w:r>
    </w:p>
    <w:p w14:paraId="732C2C6A"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 xml:space="preserve">Qualificação Técnica </w:t>
      </w:r>
    </w:p>
    <w:p w14:paraId="00B0E5E8" w14:textId="1189E669" w:rsidR="002B5BFA" w:rsidRPr="00CD3E0E" w:rsidRDefault="00F815D1" w:rsidP="00CD3E0E">
      <w:pPr>
        <w:spacing w:line="360" w:lineRule="auto"/>
        <w:rPr>
          <w:rFonts w:ascii="Verdana" w:hAnsi="Verdana" w:cs="Arial"/>
          <w:sz w:val="20"/>
          <w:szCs w:val="20"/>
        </w:rPr>
      </w:pPr>
      <w:r>
        <w:rPr>
          <w:rFonts w:ascii="Verdana" w:hAnsi="Verdana" w:cs="Arial"/>
          <w:sz w:val="20"/>
          <w:szCs w:val="20"/>
        </w:rPr>
        <w:lastRenderedPageBreak/>
        <w:t>8.26</w:t>
      </w:r>
      <w:r w:rsidR="002B5BFA" w:rsidRPr="00CD3E0E">
        <w:rPr>
          <w:rFonts w:ascii="Verdana" w:hAnsi="Verdana" w:cs="Arial"/>
          <w:sz w:val="20"/>
          <w:szCs w:val="20"/>
        </w:rPr>
        <w:t xml:space="preserve"> Sociedades empresárias estrangeiras atenderão à exigência por meio da apresentação, no momento da assinatura do contrato, da solicitação de registro perante a entidade profissional competente no Brasil. </w:t>
      </w:r>
    </w:p>
    <w:p w14:paraId="1D70B173" w14:textId="4664AB60" w:rsidR="002B5BFA" w:rsidRPr="00CD3E0E" w:rsidRDefault="00F815D1" w:rsidP="00CD3E0E">
      <w:pPr>
        <w:spacing w:line="360" w:lineRule="auto"/>
        <w:rPr>
          <w:rFonts w:ascii="Verdana" w:hAnsi="Verdana" w:cs="Arial"/>
          <w:sz w:val="20"/>
          <w:szCs w:val="20"/>
        </w:rPr>
      </w:pPr>
      <w:r>
        <w:rPr>
          <w:rFonts w:ascii="Verdana" w:hAnsi="Verdana" w:cs="Arial"/>
          <w:sz w:val="20"/>
          <w:szCs w:val="20"/>
        </w:rPr>
        <w:t>8.27</w:t>
      </w:r>
      <w:r w:rsidR="002B5BFA" w:rsidRPr="00CD3E0E">
        <w:rPr>
          <w:rFonts w:ascii="Verdana" w:hAnsi="Verdana" w:cs="Arial"/>
          <w:sz w:val="20"/>
          <w:szCs w:val="20"/>
        </w:rPr>
        <w:t xml:space="preserve"> 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 </w:t>
      </w:r>
    </w:p>
    <w:p w14:paraId="07545D27" w14:textId="684624AD" w:rsidR="002B5BFA" w:rsidRPr="00CD3E0E" w:rsidRDefault="00F815D1" w:rsidP="00CD3E0E">
      <w:pPr>
        <w:spacing w:line="360" w:lineRule="auto"/>
        <w:rPr>
          <w:rFonts w:ascii="Verdana" w:hAnsi="Verdana" w:cs="Arial"/>
          <w:sz w:val="20"/>
          <w:szCs w:val="20"/>
        </w:rPr>
      </w:pPr>
      <w:r>
        <w:rPr>
          <w:rFonts w:ascii="Verdana" w:hAnsi="Verdana" w:cs="Arial"/>
          <w:sz w:val="20"/>
          <w:szCs w:val="20"/>
        </w:rPr>
        <w:t>8.28</w:t>
      </w:r>
      <w:r w:rsidR="002B5BFA" w:rsidRPr="00CD3E0E">
        <w:rPr>
          <w:rFonts w:ascii="Verdana" w:hAnsi="Verdana" w:cs="Arial"/>
          <w:sz w:val="20"/>
          <w:szCs w:val="20"/>
        </w:rPr>
        <w:t xml:space="preserve">.1 Os atestados de capacidade técnica deverão ser apresentados em nome da matriz ou da filial da empresa licitante. </w:t>
      </w:r>
    </w:p>
    <w:p w14:paraId="1D6BAB10" w14:textId="273F7C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8.28.2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 </w:t>
      </w:r>
    </w:p>
    <w:p w14:paraId="468E3823"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 xml:space="preserve">9 ESTIMATIVAS DO VALOR DA CONTRATAÇÃO </w:t>
      </w:r>
    </w:p>
    <w:p w14:paraId="590C80D0" w14:textId="61B48296" w:rsidR="002B5BFA" w:rsidRPr="00CD3E0E" w:rsidRDefault="002B5BFA" w:rsidP="00CD3E0E">
      <w:pPr>
        <w:spacing w:line="360" w:lineRule="auto"/>
        <w:rPr>
          <w:rFonts w:ascii="Verdana" w:hAnsi="Verdana" w:cs="Arial"/>
          <w:b/>
          <w:bCs/>
          <w:color w:val="000000"/>
          <w:sz w:val="20"/>
          <w:szCs w:val="20"/>
        </w:rPr>
      </w:pPr>
      <w:r w:rsidRPr="00CD3E0E">
        <w:rPr>
          <w:rFonts w:ascii="Verdana" w:hAnsi="Verdana" w:cs="Arial"/>
          <w:sz w:val="20"/>
          <w:szCs w:val="20"/>
        </w:rPr>
        <w:t xml:space="preserve">O custo estimado total da contratação é de R$ </w:t>
      </w:r>
      <w:r w:rsidRPr="00CD3E0E">
        <w:rPr>
          <w:rFonts w:ascii="Verdana" w:hAnsi="Verdana" w:cs="Arial"/>
          <w:b/>
          <w:bCs/>
          <w:color w:val="000000"/>
          <w:sz w:val="20"/>
          <w:szCs w:val="20"/>
        </w:rPr>
        <w:t xml:space="preserve">R$ </w:t>
      </w:r>
      <w:r w:rsidR="00263885">
        <w:rPr>
          <w:rFonts w:ascii="Verdana" w:hAnsi="Verdana" w:cs="Arial"/>
          <w:b/>
          <w:bCs/>
          <w:color w:val="000000"/>
          <w:sz w:val="20"/>
          <w:szCs w:val="20"/>
        </w:rPr>
        <w:t>1.897.000,00</w:t>
      </w:r>
      <w:r w:rsidRPr="00CD3E0E">
        <w:rPr>
          <w:rFonts w:ascii="Verdana" w:hAnsi="Verdana" w:cs="Arial"/>
          <w:b/>
          <w:bCs/>
          <w:color w:val="000000"/>
          <w:sz w:val="20"/>
          <w:szCs w:val="20"/>
        </w:rPr>
        <w:t xml:space="preserve"> </w:t>
      </w:r>
      <w:r w:rsidRPr="00CD3E0E">
        <w:rPr>
          <w:rFonts w:ascii="Verdana" w:hAnsi="Verdana" w:cs="Arial"/>
          <w:sz w:val="20"/>
          <w:szCs w:val="20"/>
        </w:rPr>
        <w:t>(</w:t>
      </w:r>
      <w:r w:rsidR="00263885">
        <w:rPr>
          <w:rFonts w:ascii="Verdana" w:hAnsi="Verdana" w:cs="Arial"/>
          <w:sz w:val="20"/>
          <w:szCs w:val="20"/>
        </w:rPr>
        <w:t>um milhão oitocentos e noventa e sete mil reais</w:t>
      </w:r>
      <w:r w:rsidRPr="00CD3E0E">
        <w:rPr>
          <w:rFonts w:ascii="Verdana" w:hAnsi="Verdana" w:cs="Arial"/>
          <w:sz w:val="20"/>
          <w:szCs w:val="20"/>
        </w:rPr>
        <w:t xml:space="preserve">), conforme custos unitários apostos na tabela acima. </w:t>
      </w:r>
    </w:p>
    <w:p w14:paraId="4FB68D32"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9.1 A estimativa de custo levou em consideração o risco envolvido na contratação e sua alocação entre contratante e contratado, conforme especificado na matriz de risco constante do Contrato. </w:t>
      </w:r>
    </w:p>
    <w:p w14:paraId="295384A4" w14:textId="77777777" w:rsidR="002B5BFA" w:rsidRPr="00CD3E0E" w:rsidRDefault="002B5BFA" w:rsidP="00CD3E0E">
      <w:pPr>
        <w:spacing w:line="360" w:lineRule="auto"/>
        <w:rPr>
          <w:rFonts w:ascii="Verdana" w:eastAsia="Times New Roman" w:hAnsi="Verdana" w:cs="Arial"/>
          <w:sz w:val="20"/>
          <w:szCs w:val="20"/>
          <w:lang w:val="pt-BR" w:eastAsia="pt-BR"/>
        </w:rPr>
      </w:pPr>
      <w:r w:rsidRPr="00CD3E0E">
        <w:rPr>
          <w:rFonts w:ascii="Verdana" w:hAnsi="Verdana" w:cs="Arial"/>
          <w:sz w:val="20"/>
          <w:szCs w:val="20"/>
        </w:rPr>
        <w:t xml:space="preserve">9.2 Em caso de licitação para Registro de Preços, os preços registrados poderão ser alterados ou atualizados em decorrência de eventual redução dos preços praticados no mercado ou de fato que eleve o custo dos bens, das obras ou dos serviços registrados, nas seguintes situações: </w:t>
      </w:r>
    </w:p>
    <w:p w14:paraId="04145A61"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9.2.1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1BDBE3B4"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9.2.2 em caso de criação, alteração ou extinção de quaisquer tributos ou encargos legais ou superveniência de disposições legais, com comprovada repercussão sobre os preços registrados; </w:t>
      </w:r>
    </w:p>
    <w:p w14:paraId="5DBB2729"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9.2.3 serão reajustados os preços registrados, respeitada a contagem da anualidade e o índice previsto para a contratação; ou </w:t>
      </w:r>
    </w:p>
    <w:p w14:paraId="23FACF5F" w14:textId="55FEB3AB"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9.2.4 </w:t>
      </w:r>
      <w:r w:rsidRPr="00CD3E0E">
        <w:rPr>
          <w:rFonts w:ascii="Verdana" w:hAnsi="Verdana" w:cs="Arial"/>
          <w:sz w:val="20"/>
          <w:szCs w:val="20"/>
        </w:rPr>
        <w:tab/>
        <w:t xml:space="preserve">poderão ser repactuados, a pedido do interessado, conforme critérios definidos para a contratação.  </w:t>
      </w:r>
    </w:p>
    <w:p w14:paraId="67F227EE"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 xml:space="preserve">10 ADEQUAÇÃO ORÇAMENTÁRIA </w:t>
      </w:r>
    </w:p>
    <w:p w14:paraId="4FF2CD0C"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10.1 As despesas decorrentes da presente contratação correrão à conta de recursos </w:t>
      </w:r>
      <w:r w:rsidRPr="00CD3E0E">
        <w:rPr>
          <w:rFonts w:ascii="Verdana" w:hAnsi="Verdana" w:cs="Arial"/>
          <w:sz w:val="20"/>
          <w:szCs w:val="20"/>
        </w:rPr>
        <w:lastRenderedPageBreak/>
        <w:t xml:space="preserve">específicos consignados no Orçamento do Município </w:t>
      </w:r>
    </w:p>
    <w:p w14:paraId="30B11B4E"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10.2 A indicação de Dotação Orçamentária, somente será exigida para formalização do Contrato ou outro instrumento hábil. </w:t>
      </w:r>
    </w:p>
    <w:p w14:paraId="15713FED"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10.3 A dotação relativa aos exercícios financeiros subsequentes será indicada após aprovação da Lei Orçamentária respectiva e liberação dos créditos correspondentes, mediante apostilamento.</w:t>
      </w:r>
    </w:p>
    <w:p w14:paraId="2574A40E" w14:textId="77777777" w:rsidR="004A1682" w:rsidRPr="004A1682" w:rsidRDefault="004A1682" w:rsidP="004A1682">
      <w:pPr>
        <w:rPr>
          <w:rFonts w:ascii="Verdana" w:eastAsia="Times New Roman" w:hAnsi="Verdana" w:cs="Arial"/>
          <w:sz w:val="20"/>
          <w:szCs w:val="20"/>
        </w:rPr>
      </w:pPr>
      <w:r w:rsidRPr="004A1682">
        <w:rPr>
          <w:rFonts w:ascii="Verdana" w:eastAsia="Times New Roman" w:hAnsi="Verdana" w:cs="Arial"/>
          <w:sz w:val="20"/>
          <w:szCs w:val="20"/>
        </w:rPr>
        <w:t>Órgão: 5 FUNDO MUNICIPAL DE ASSISTÊNCIA SOCIAL CORRENTINA</w:t>
      </w:r>
    </w:p>
    <w:p w14:paraId="06C6618A" w14:textId="77777777" w:rsidR="004A1682" w:rsidRPr="004A1682" w:rsidRDefault="004A1682" w:rsidP="004A1682">
      <w:pPr>
        <w:rPr>
          <w:rFonts w:ascii="Verdana" w:eastAsia="Times New Roman" w:hAnsi="Verdana" w:cs="Arial"/>
          <w:sz w:val="20"/>
          <w:szCs w:val="20"/>
        </w:rPr>
      </w:pPr>
      <w:r w:rsidRPr="004A1682">
        <w:rPr>
          <w:rFonts w:ascii="Verdana" w:eastAsia="Times New Roman" w:hAnsi="Verdana" w:cs="Arial"/>
          <w:sz w:val="20"/>
          <w:szCs w:val="20"/>
        </w:rPr>
        <w:t>Unidade: 0501 SECRETARIA MUN. DE ASSISTÊNCIA SOCIAL E CIDADANIA</w:t>
      </w:r>
    </w:p>
    <w:p w14:paraId="0398A44F" w14:textId="77777777" w:rsidR="004A1682" w:rsidRPr="004A1682" w:rsidRDefault="004A1682" w:rsidP="004A1682">
      <w:pPr>
        <w:rPr>
          <w:rFonts w:ascii="Verdana" w:eastAsia="Times New Roman" w:hAnsi="Verdana" w:cs="Arial"/>
          <w:sz w:val="20"/>
          <w:szCs w:val="20"/>
        </w:rPr>
      </w:pPr>
      <w:r w:rsidRPr="004A1682">
        <w:rPr>
          <w:rFonts w:ascii="Verdana" w:eastAsia="Times New Roman" w:hAnsi="Verdana" w:cs="Arial"/>
          <w:sz w:val="20"/>
          <w:szCs w:val="20"/>
        </w:rPr>
        <w:t>Projeto Atividade:2.064 Manutenção dos Benefícios Eventuais</w:t>
      </w:r>
    </w:p>
    <w:p w14:paraId="11E40E85" w14:textId="77777777" w:rsidR="004A1682" w:rsidRPr="004A1682" w:rsidRDefault="004A1682" w:rsidP="004A1682">
      <w:pPr>
        <w:rPr>
          <w:rFonts w:ascii="Verdana" w:eastAsia="Times New Roman" w:hAnsi="Verdana" w:cs="Arial"/>
          <w:sz w:val="20"/>
          <w:szCs w:val="20"/>
        </w:rPr>
      </w:pPr>
      <w:r w:rsidRPr="004A1682">
        <w:rPr>
          <w:rFonts w:ascii="Verdana" w:eastAsia="Times New Roman" w:hAnsi="Verdana" w:cs="Arial"/>
          <w:sz w:val="20"/>
          <w:szCs w:val="20"/>
        </w:rPr>
        <w:t>Elemento de Despesa: 3.3.90.32</w:t>
      </w:r>
    </w:p>
    <w:p w14:paraId="19F9DEC6" w14:textId="215D4F07" w:rsidR="002B5BFA" w:rsidRPr="002378EF" w:rsidRDefault="004A1682" w:rsidP="002378EF">
      <w:pPr>
        <w:rPr>
          <w:rFonts w:ascii="Verdana" w:eastAsia="Times New Roman" w:hAnsi="Verdana" w:cs="Arial"/>
          <w:sz w:val="20"/>
          <w:szCs w:val="20"/>
        </w:rPr>
      </w:pPr>
      <w:r w:rsidRPr="004A1682">
        <w:rPr>
          <w:rFonts w:ascii="Verdana" w:eastAsia="Times New Roman" w:hAnsi="Verdana" w:cs="Arial"/>
          <w:sz w:val="20"/>
          <w:szCs w:val="20"/>
        </w:rPr>
        <w:t>Fonte: 1500, 166</w:t>
      </w:r>
      <w:bookmarkStart w:id="19" w:name="_GoBack"/>
      <w:bookmarkEnd w:id="19"/>
    </w:p>
    <w:p w14:paraId="489765BB" w14:textId="77777777" w:rsidR="00580887" w:rsidRDefault="00580887" w:rsidP="002B5BFA">
      <w:pPr>
        <w:jc w:val="right"/>
        <w:rPr>
          <w:rFonts w:ascii="Verdana" w:hAnsi="Verdana" w:cs="Arial"/>
          <w:sz w:val="20"/>
          <w:szCs w:val="20"/>
        </w:rPr>
      </w:pPr>
    </w:p>
    <w:p w14:paraId="21E40435" w14:textId="64B41D01" w:rsidR="002B5BFA" w:rsidRPr="00CD3E0E" w:rsidRDefault="002B5BFA" w:rsidP="00580887">
      <w:pPr>
        <w:jc w:val="center"/>
        <w:rPr>
          <w:rFonts w:ascii="Verdana" w:hAnsi="Verdana" w:cs="Arial"/>
          <w:sz w:val="20"/>
          <w:szCs w:val="20"/>
          <w:lang w:val="pt-BR" w:eastAsia="pt-BR"/>
        </w:rPr>
      </w:pPr>
      <w:r w:rsidRPr="00CD3E0E">
        <w:rPr>
          <w:rFonts w:ascii="Verdana" w:hAnsi="Verdana" w:cs="Arial"/>
          <w:sz w:val="20"/>
          <w:szCs w:val="20"/>
        </w:rPr>
        <w:t xml:space="preserve">Correntina, </w:t>
      </w:r>
      <w:r w:rsidR="00DC2301">
        <w:rPr>
          <w:rFonts w:ascii="Verdana" w:hAnsi="Verdana" w:cs="Arial"/>
          <w:sz w:val="20"/>
          <w:szCs w:val="20"/>
        </w:rPr>
        <w:t>27</w:t>
      </w:r>
      <w:r w:rsidRPr="00CD3E0E">
        <w:rPr>
          <w:rFonts w:ascii="Verdana" w:hAnsi="Verdana" w:cs="Arial"/>
          <w:sz w:val="20"/>
          <w:szCs w:val="20"/>
        </w:rPr>
        <w:t xml:space="preserve"> de </w:t>
      </w:r>
      <w:r w:rsidR="00DC2301">
        <w:rPr>
          <w:rFonts w:ascii="Verdana" w:hAnsi="Verdana" w:cs="Arial"/>
          <w:sz w:val="20"/>
          <w:szCs w:val="20"/>
        </w:rPr>
        <w:t>fevereiro</w:t>
      </w:r>
      <w:r w:rsidRPr="00CD3E0E">
        <w:rPr>
          <w:rFonts w:ascii="Verdana" w:hAnsi="Verdana" w:cs="Arial"/>
          <w:sz w:val="20"/>
          <w:szCs w:val="20"/>
        </w:rPr>
        <w:t xml:space="preserve"> de 202</w:t>
      </w:r>
      <w:r w:rsidR="00DC2301">
        <w:rPr>
          <w:rFonts w:ascii="Verdana" w:hAnsi="Verdana" w:cs="Arial"/>
          <w:sz w:val="20"/>
          <w:szCs w:val="20"/>
        </w:rPr>
        <w:t>6</w:t>
      </w:r>
      <w:r w:rsidRPr="00CD3E0E">
        <w:rPr>
          <w:rFonts w:ascii="Verdana" w:hAnsi="Verdana" w:cs="Arial"/>
          <w:sz w:val="20"/>
          <w:szCs w:val="20"/>
        </w:rPr>
        <w:t>.</w:t>
      </w:r>
    </w:p>
    <w:p w14:paraId="43823A86" w14:textId="732681EF" w:rsidR="002B5BFA" w:rsidRDefault="002B5BFA" w:rsidP="002B5BFA">
      <w:pPr>
        <w:jc w:val="right"/>
        <w:rPr>
          <w:rFonts w:ascii="Verdana" w:hAnsi="Verdana" w:cs="Arial"/>
          <w:sz w:val="20"/>
          <w:szCs w:val="20"/>
        </w:rPr>
      </w:pPr>
    </w:p>
    <w:p w14:paraId="2753A736" w14:textId="4F427FFC" w:rsidR="00580887" w:rsidRDefault="00580887" w:rsidP="002B5BFA">
      <w:pPr>
        <w:jc w:val="right"/>
        <w:rPr>
          <w:rFonts w:ascii="Verdana" w:hAnsi="Verdana" w:cs="Arial"/>
          <w:sz w:val="20"/>
          <w:szCs w:val="20"/>
        </w:rPr>
      </w:pPr>
    </w:p>
    <w:p w14:paraId="4534B752" w14:textId="77777777" w:rsidR="00580887" w:rsidRPr="00CD3E0E" w:rsidRDefault="00580887" w:rsidP="002B5BFA">
      <w:pPr>
        <w:jc w:val="right"/>
        <w:rPr>
          <w:rFonts w:ascii="Verdana" w:hAnsi="Verdana" w:cs="Arial"/>
          <w:sz w:val="20"/>
          <w:szCs w:val="20"/>
        </w:rPr>
      </w:pPr>
    </w:p>
    <w:p w14:paraId="760BF547" w14:textId="28B13ACF" w:rsidR="002B5BFA" w:rsidRPr="00CD3E0E" w:rsidRDefault="00985EBE" w:rsidP="002B5BFA">
      <w:pPr>
        <w:jc w:val="center"/>
        <w:rPr>
          <w:rFonts w:ascii="Verdana" w:hAnsi="Verdana" w:cs="Arial"/>
          <w:b/>
          <w:bCs/>
          <w:sz w:val="20"/>
          <w:szCs w:val="20"/>
        </w:rPr>
      </w:pPr>
      <w:r>
        <w:rPr>
          <w:rFonts w:ascii="Verdana" w:hAnsi="Verdana" w:cs="Arial"/>
          <w:b/>
          <w:bCs/>
          <w:sz w:val="20"/>
          <w:szCs w:val="20"/>
        </w:rPr>
        <w:t>Madson Souza Monta</w:t>
      </w:r>
      <w:r w:rsidR="00893F7F">
        <w:rPr>
          <w:rFonts w:ascii="Verdana" w:hAnsi="Verdana" w:cs="Arial"/>
          <w:b/>
          <w:bCs/>
          <w:sz w:val="20"/>
          <w:szCs w:val="20"/>
        </w:rPr>
        <w:t>l</w:t>
      </w:r>
      <w:r>
        <w:rPr>
          <w:rFonts w:ascii="Verdana" w:hAnsi="Verdana" w:cs="Arial"/>
          <w:b/>
          <w:bCs/>
          <w:sz w:val="20"/>
          <w:szCs w:val="20"/>
        </w:rPr>
        <w:t>vão</w:t>
      </w:r>
    </w:p>
    <w:p w14:paraId="43CD9363" w14:textId="6326FB98" w:rsidR="002B5BFA" w:rsidRPr="00CD3E0E" w:rsidRDefault="002B5BFA" w:rsidP="002B5BFA">
      <w:pPr>
        <w:jc w:val="center"/>
        <w:rPr>
          <w:rFonts w:ascii="Verdana" w:hAnsi="Verdana" w:cs="Arial"/>
          <w:sz w:val="20"/>
          <w:szCs w:val="20"/>
        </w:rPr>
      </w:pPr>
      <w:r w:rsidRPr="00CD3E0E">
        <w:rPr>
          <w:rFonts w:ascii="Verdana" w:hAnsi="Verdana" w:cs="Arial"/>
          <w:b/>
          <w:bCs/>
          <w:sz w:val="20"/>
          <w:szCs w:val="20"/>
        </w:rPr>
        <w:t>Secretári</w:t>
      </w:r>
      <w:r w:rsidR="00580887">
        <w:rPr>
          <w:rFonts w:ascii="Verdana" w:hAnsi="Verdana" w:cs="Arial"/>
          <w:b/>
          <w:bCs/>
          <w:sz w:val="20"/>
          <w:szCs w:val="20"/>
        </w:rPr>
        <w:t>a de Desenvolvimento Social e Cidadania</w:t>
      </w:r>
    </w:p>
    <w:p w14:paraId="409C1AB3" w14:textId="77777777" w:rsidR="002B5BFA" w:rsidRPr="00CD3E0E" w:rsidRDefault="002B5BFA" w:rsidP="002B5BFA">
      <w:pPr>
        <w:ind w:right="283"/>
        <w:rPr>
          <w:rFonts w:ascii="Verdana" w:hAnsi="Verdana" w:cs="Calibri"/>
          <w:b/>
          <w:sz w:val="20"/>
          <w:szCs w:val="20"/>
        </w:rPr>
      </w:pPr>
    </w:p>
    <w:p w14:paraId="3FB927C8" w14:textId="698EF033" w:rsidR="002B5BFA" w:rsidRDefault="002B5BFA" w:rsidP="002B5BFA">
      <w:pPr>
        <w:ind w:right="283"/>
        <w:rPr>
          <w:rFonts w:ascii="Verdana" w:hAnsi="Verdana" w:cs="Calibri"/>
          <w:b/>
          <w:sz w:val="20"/>
          <w:szCs w:val="20"/>
        </w:rPr>
      </w:pPr>
    </w:p>
    <w:p w14:paraId="2BA1C9A4" w14:textId="78C16EBE" w:rsidR="00580887" w:rsidRDefault="00580887" w:rsidP="002B5BFA">
      <w:pPr>
        <w:ind w:right="283"/>
        <w:rPr>
          <w:rFonts w:ascii="Verdana" w:hAnsi="Verdana" w:cs="Calibri"/>
          <w:b/>
          <w:sz w:val="20"/>
          <w:szCs w:val="20"/>
        </w:rPr>
      </w:pPr>
    </w:p>
    <w:p w14:paraId="2FC26AE2" w14:textId="508B1D51" w:rsidR="00580887" w:rsidRDefault="00580887" w:rsidP="002B5BFA">
      <w:pPr>
        <w:ind w:right="283"/>
        <w:rPr>
          <w:rFonts w:ascii="Verdana" w:hAnsi="Verdana" w:cs="Calibri"/>
          <w:b/>
          <w:sz w:val="20"/>
          <w:szCs w:val="20"/>
        </w:rPr>
      </w:pPr>
    </w:p>
    <w:p w14:paraId="03F095A1" w14:textId="3FA8F5DD" w:rsidR="00580887" w:rsidRDefault="00580887" w:rsidP="002B5BFA">
      <w:pPr>
        <w:ind w:right="283"/>
        <w:rPr>
          <w:rFonts w:ascii="Verdana" w:hAnsi="Verdana" w:cs="Calibri"/>
          <w:b/>
          <w:sz w:val="20"/>
          <w:szCs w:val="20"/>
        </w:rPr>
      </w:pPr>
    </w:p>
    <w:p w14:paraId="4FECF7DA" w14:textId="50ED347F" w:rsidR="00580887" w:rsidRDefault="00580887" w:rsidP="002B5BFA">
      <w:pPr>
        <w:ind w:right="283"/>
        <w:rPr>
          <w:rFonts w:ascii="Verdana" w:hAnsi="Verdana" w:cs="Calibri"/>
          <w:b/>
          <w:sz w:val="20"/>
          <w:szCs w:val="20"/>
        </w:rPr>
      </w:pPr>
    </w:p>
    <w:p w14:paraId="3703BEDC" w14:textId="25BDC5C8" w:rsidR="00580887" w:rsidRDefault="00580887" w:rsidP="002B5BFA">
      <w:pPr>
        <w:ind w:right="283"/>
        <w:rPr>
          <w:rFonts w:ascii="Verdana" w:hAnsi="Verdana" w:cs="Calibri"/>
          <w:b/>
          <w:sz w:val="20"/>
          <w:szCs w:val="20"/>
        </w:rPr>
      </w:pPr>
    </w:p>
    <w:p w14:paraId="7C59448C" w14:textId="07A7A639" w:rsidR="00580887" w:rsidRDefault="00580887" w:rsidP="002B5BFA">
      <w:pPr>
        <w:ind w:right="283"/>
        <w:rPr>
          <w:rFonts w:ascii="Verdana" w:hAnsi="Verdana" w:cs="Calibri"/>
          <w:b/>
          <w:sz w:val="20"/>
          <w:szCs w:val="20"/>
        </w:rPr>
      </w:pPr>
    </w:p>
    <w:p w14:paraId="45A099D2" w14:textId="3D39E136" w:rsidR="00580887" w:rsidRDefault="00580887" w:rsidP="002B5BFA">
      <w:pPr>
        <w:ind w:right="283"/>
        <w:rPr>
          <w:rFonts w:ascii="Verdana" w:hAnsi="Verdana" w:cs="Calibri"/>
          <w:b/>
          <w:sz w:val="20"/>
          <w:szCs w:val="20"/>
        </w:rPr>
      </w:pPr>
    </w:p>
    <w:p w14:paraId="708198E0" w14:textId="36D2B56C" w:rsidR="00580887" w:rsidRDefault="00580887" w:rsidP="002B5BFA">
      <w:pPr>
        <w:ind w:right="283"/>
        <w:rPr>
          <w:rFonts w:ascii="Verdana" w:hAnsi="Verdana" w:cs="Calibri"/>
          <w:b/>
          <w:sz w:val="20"/>
          <w:szCs w:val="20"/>
        </w:rPr>
      </w:pPr>
    </w:p>
    <w:p w14:paraId="4C86C760" w14:textId="699B913A" w:rsidR="00580887" w:rsidRDefault="00580887" w:rsidP="002B5BFA">
      <w:pPr>
        <w:ind w:right="283"/>
        <w:rPr>
          <w:rFonts w:ascii="Verdana" w:hAnsi="Verdana" w:cs="Calibri"/>
          <w:b/>
          <w:sz w:val="20"/>
          <w:szCs w:val="20"/>
        </w:rPr>
      </w:pPr>
    </w:p>
    <w:p w14:paraId="101F58BB" w14:textId="1D9BBEAD" w:rsidR="00580887" w:rsidRDefault="00580887" w:rsidP="002B5BFA">
      <w:pPr>
        <w:ind w:right="283"/>
        <w:rPr>
          <w:rFonts w:ascii="Verdana" w:hAnsi="Verdana" w:cs="Calibri"/>
          <w:b/>
          <w:sz w:val="20"/>
          <w:szCs w:val="20"/>
        </w:rPr>
      </w:pPr>
    </w:p>
    <w:p w14:paraId="7AEEA3EC" w14:textId="07BA826B" w:rsidR="00580887" w:rsidRDefault="00580887" w:rsidP="002B5BFA">
      <w:pPr>
        <w:ind w:right="283"/>
        <w:rPr>
          <w:rFonts w:ascii="Verdana" w:hAnsi="Verdana" w:cs="Calibri"/>
          <w:b/>
          <w:sz w:val="20"/>
          <w:szCs w:val="20"/>
        </w:rPr>
      </w:pPr>
    </w:p>
    <w:p w14:paraId="1929FB12" w14:textId="7A919DDA" w:rsidR="004827D2" w:rsidRDefault="004827D2" w:rsidP="002B5BFA">
      <w:pPr>
        <w:ind w:right="283"/>
        <w:rPr>
          <w:rFonts w:ascii="Verdana" w:hAnsi="Verdana" w:cs="Calibri"/>
          <w:b/>
          <w:sz w:val="20"/>
          <w:szCs w:val="20"/>
        </w:rPr>
      </w:pPr>
    </w:p>
    <w:p w14:paraId="3F61BCDD" w14:textId="2397501D" w:rsidR="004827D2" w:rsidRDefault="004827D2" w:rsidP="002B5BFA">
      <w:pPr>
        <w:ind w:right="283"/>
        <w:rPr>
          <w:rFonts w:ascii="Verdana" w:hAnsi="Verdana" w:cs="Calibri"/>
          <w:b/>
          <w:sz w:val="20"/>
          <w:szCs w:val="20"/>
        </w:rPr>
      </w:pPr>
    </w:p>
    <w:p w14:paraId="7EE93C9A" w14:textId="54C6D881" w:rsidR="004827D2" w:rsidRDefault="004827D2" w:rsidP="002B5BFA">
      <w:pPr>
        <w:ind w:right="283"/>
        <w:rPr>
          <w:rFonts w:ascii="Verdana" w:hAnsi="Verdana" w:cs="Calibri"/>
          <w:b/>
          <w:sz w:val="20"/>
          <w:szCs w:val="20"/>
        </w:rPr>
      </w:pPr>
    </w:p>
    <w:p w14:paraId="6B6CB0BE" w14:textId="43C547BC" w:rsidR="004827D2" w:rsidRDefault="004827D2" w:rsidP="002B5BFA">
      <w:pPr>
        <w:ind w:right="283"/>
        <w:rPr>
          <w:rFonts w:ascii="Verdana" w:hAnsi="Verdana" w:cs="Calibri"/>
          <w:b/>
          <w:sz w:val="20"/>
          <w:szCs w:val="20"/>
        </w:rPr>
      </w:pPr>
    </w:p>
    <w:p w14:paraId="025DC18E" w14:textId="61D71849" w:rsidR="004827D2" w:rsidRDefault="004827D2" w:rsidP="002B5BFA">
      <w:pPr>
        <w:ind w:right="283"/>
        <w:rPr>
          <w:rFonts w:ascii="Verdana" w:hAnsi="Verdana" w:cs="Calibri"/>
          <w:b/>
          <w:sz w:val="20"/>
          <w:szCs w:val="20"/>
        </w:rPr>
      </w:pPr>
    </w:p>
    <w:p w14:paraId="13CB8F1A" w14:textId="033D961E" w:rsidR="004827D2" w:rsidRDefault="004827D2" w:rsidP="002B5BFA">
      <w:pPr>
        <w:ind w:right="283"/>
        <w:rPr>
          <w:rFonts w:ascii="Verdana" w:hAnsi="Verdana" w:cs="Calibri"/>
          <w:b/>
          <w:sz w:val="20"/>
          <w:szCs w:val="20"/>
        </w:rPr>
      </w:pPr>
    </w:p>
    <w:p w14:paraId="6CB49CD1" w14:textId="129D6BD0" w:rsidR="004827D2" w:rsidRDefault="004827D2" w:rsidP="002B5BFA">
      <w:pPr>
        <w:ind w:right="283"/>
        <w:rPr>
          <w:rFonts w:ascii="Verdana" w:hAnsi="Verdana" w:cs="Calibri"/>
          <w:b/>
          <w:sz w:val="20"/>
          <w:szCs w:val="20"/>
        </w:rPr>
      </w:pPr>
    </w:p>
    <w:p w14:paraId="3C3DC0F6" w14:textId="28207243" w:rsidR="002C4295" w:rsidRDefault="002C4295" w:rsidP="002B5BFA">
      <w:pPr>
        <w:ind w:right="283"/>
        <w:rPr>
          <w:rFonts w:ascii="Verdana" w:hAnsi="Verdana" w:cs="Calibri"/>
          <w:b/>
          <w:sz w:val="20"/>
          <w:szCs w:val="20"/>
        </w:rPr>
      </w:pPr>
    </w:p>
    <w:p w14:paraId="7FCC4675" w14:textId="5AB7F9B4" w:rsidR="002C4295" w:rsidRDefault="002C4295" w:rsidP="002B5BFA">
      <w:pPr>
        <w:ind w:right="283"/>
        <w:rPr>
          <w:rFonts w:ascii="Verdana" w:hAnsi="Verdana" w:cs="Calibri"/>
          <w:b/>
          <w:sz w:val="20"/>
          <w:szCs w:val="20"/>
        </w:rPr>
      </w:pPr>
    </w:p>
    <w:p w14:paraId="5EF34A53" w14:textId="36774D7C" w:rsidR="002C4295" w:rsidRDefault="002C4295" w:rsidP="002B5BFA">
      <w:pPr>
        <w:ind w:right="283"/>
        <w:rPr>
          <w:rFonts w:ascii="Verdana" w:hAnsi="Verdana" w:cs="Calibri"/>
          <w:b/>
          <w:sz w:val="20"/>
          <w:szCs w:val="20"/>
        </w:rPr>
      </w:pPr>
    </w:p>
    <w:p w14:paraId="19E46724" w14:textId="6A55826D" w:rsidR="002C4295" w:rsidRDefault="002C4295" w:rsidP="002B5BFA">
      <w:pPr>
        <w:ind w:right="283"/>
        <w:rPr>
          <w:rFonts w:ascii="Verdana" w:hAnsi="Verdana" w:cs="Calibri"/>
          <w:b/>
          <w:sz w:val="20"/>
          <w:szCs w:val="20"/>
        </w:rPr>
      </w:pPr>
    </w:p>
    <w:p w14:paraId="6D799232" w14:textId="77777777" w:rsidR="002C4295" w:rsidRDefault="002C4295" w:rsidP="002B5BFA">
      <w:pPr>
        <w:ind w:right="283"/>
        <w:rPr>
          <w:rFonts w:ascii="Verdana" w:hAnsi="Verdana" w:cs="Calibri"/>
          <w:b/>
          <w:sz w:val="20"/>
          <w:szCs w:val="20"/>
        </w:rPr>
      </w:pPr>
    </w:p>
    <w:p w14:paraId="1FC009CB" w14:textId="254460DA" w:rsidR="004827D2" w:rsidRDefault="004827D2" w:rsidP="002B5BFA">
      <w:pPr>
        <w:ind w:right="283"/>
        <w:rPr>
          <w:rFonts w:ascii="Verdana" w:hAnsi="Verdana" w:cs="Calibri"/>
          <w:b/>
          <w:sz w:val="20"/>
          <w:szCs w:val="20"/>
        </w:rPr>
      </w:pPr>
    </w:p>
    <w:p w14:paraId="4B445633" w14:textId="17ABB58D" w:rsidR="004827D2" w:rsidRDefault="004827D2" w:rsidP="002B5BFA">
      <w:pPr>
        <w:ind w:right="283"/>
        <w:rPr>
          <w:rFonts w:ascii="Verdana" w:hAnsi="Verdana" w:cs="Calibri"/>
          <w:b/>
          <w:sz w:val="20"/>
          <w:szCs w:val="20"/>
        </w:rPr>
      </w:pPr>
    </w:p>
    <w:p w14:paraId="31609F97" w14:textId="62D734A0" w:rsidR="004827D2" w:rsidRDefault="004827D2" w:rsidP="002B5BFA">
      <w:pPr>
        <w:ind w:right="283"/>
        <w:rPr>
          <w:rFonts w:ascii="Verdana" w:hAnsi="Verdana" w:cs="Calibri"/>
          <w:b/>
          <w:sz w:val="20"/>
          <w:szCs w:val="20"/>
        </w:rPr>
      </w:pPr>
    </w:p>
    <w:p w14:paraId="750AD6FB" w14:textId="3BE65ADD" w:rsidR="004827D2" w:rsidRDefault="004827D2" w:rsidP="002B5BFA">
      <w:pPr>
        <w:ind w:right="283"/>
        <w:rPr>
          <w:rFonts w:ascii="Verdana" w:hAnsi="Verdana" w:cs="Calibri"/>
          <w:b/>
          <w:sz w:val="20"/>
          <w:szCs w:val="20"/>
        </w:rPr>
      </w:pPr>
    </w:p>
    <w:p w14:paraId="0F38978C" w14:textId="091A7F60" w:rsidR="004827D2" w:rsidRDefault="004827D2" w:rsidP="002B5BFA">
      <w:pPr>
        <w:ind w:right="283"/>
        <w:rPr>
          <w:rFonts w:ascii="Verdana" w:hAnsi="Verdana" w:cs="Calibri"/>
          <w:b/>
          <w:sz w:val="20"/>
          <w:szCs w:val="20"/>
        </w:rPr>
      </w:pPr>
    </w:p>
    <w:p w14:paraId="58952B1D" w14:textId="6DA3DBF0" w:rsidR="004827D2" w:rsidRDefault="004827D2" w:rsidP="002B5BFA">
      <w:pPr>
        <w:ind w:right="283"/>
        <w:rPr>
          <w:rFonts w:ascii="Verdana" w:hAnsi="Verdana" w:cs="Calibri"/>
          <w:b/>
          <w:sz w:val="20"/>
          <w:szCs w:val="20"/>
        </w:rPr>
      </w:pPr>
    </w:p>
    <w:p w14:paraId="42396F50" w14:textId="77777777" w:rsidR="004827D2" w:rsidRDefault="004827D2" w:rsidP="002B5BFA">
      <w:pPr>
        <w:ind w:right="283"/>
        <w:rPr>
          <w:rFonts w:ascii="Verdana" w:hAnsi="Verdana" w:cs="Calibri"/>
          <w:b/>
          <w:sz w:val="20"/>
          <w:szCs w:val="20"/>
        </w:rPr>
      </w:pPr>
    </w:p>
    <w:p w14:paraId="20FE0A2A" w14:textId="4CD8A3F4" w:rsidR="00580887" w:rsidRDefault="00580887" w:rsidP="002B5BFA">
      <w:pPr>
        <w:ind w:right="283"/>
        <w:rPr>
          <w:rFonts w:ascii="Verdana" w:hAnsi="Verdana" w:cs="Calibri"/>
          <w:b/>
          <w:sz w:val="20"/>
          <w:szCs w:val="20"/>
        </w:rPr>
      </w:pPr>
    </w:p>
    <w:p w14:paraId="2E16B869" w14:textId="38AD55C8" w:rsidR="00580887" w:rsidRDefault="00580887" w:rsidP="002B5BFA">
      <w:pPr>
        <w:ind w:right="283"/>
        <w:rPr>
          <w:rFonts w:ascii="Verdana" w:hAnsi="Verdana" w:cs="Calibri"/>
          <w:b/>
          <w:sz w:val="20"/>
          <w:szCs w:val="20"/>
        </w:rPr>
      </w:pPr>
    </w:p>
    <w:p w14:paraId="352A1882" w14:textId="77777777" w:rsidR="002B5BFA" w:rsidRPr="00CD3E0E" w:rsidRDefault="002B5BFA" w:rsidP="00CD3E0E">
      <w:pPr>
        <w:spacing w:line="360" w:lineRule="auto"/>
        <w:jc w:val="center"/>
        <w:rPr>
          <w:rFonts w:ascii="Verdana" w:hAnsi="Verdana" w:cs="Arial"/>
          <w:b/>
          <w:bCs/>
          <w:sz w:val="20"/>
          <w:szCs w:val="20"/>
        </w:rPr>
      </w:pPr>
      <w:r w:rsidRPr="00CD3E0E">
        <w:rPr>
          <w:rFonts w:ascii="Verdana" w:hAnsi="Verdana" w:cs="Arial"/>
          <w:b/>
          <w:bCs/>
          <w:sz w:val="20"/>
          <w:szCs w:val="20"/>
        </w:rPr>
        <w:lastRenderedPageBreak/>
        <w:t>ANEXO II – Minuta de Termo de Contrato</w:t>
      </w:r>
    </w:p>
    <w:p w14:paraId="2AFB1409" w14:textId="77777777" w:rsidR="002B5BFA" w:rsidRPr="00CD3E0E" w:rsidRDefault="002B5BFA" w:rsidP="00CD3E0E">
      <w:pPr>
        <w:spacing w:line="360" w:lineRule="auto"/>
        <w:jc w:val="center"/>
        <w:rPr>
          <w:rFonts w:ascii="Verdana" w:hAnsi="Verdana" w:cstheme="minorHAnsi"/>
          <w:b/>
          <w:sz w:val="20"/>
          <w:szCs w:val="20"/>
        </w:rPr>
      </w:pPr>
      <w:r w:rsidRPr="00CD3E0E">
        <w:rPr>
          <w:rFonts w:ascii="Verdana" w:hAnsi="Verdana" w:cstheme="minorHAnsi"/>
          <w:b/>
          <w:sz w:val="20"/>
          <w:szCs w:val="20"/>
        </w:rPr>
        <w:t xml:space="preserve">CONTRATO ADMINISTRATIVO Nº </w:t>
      </w:r>
      <w:r w:rsidRPr="00CD3E0E">
        <w:rPr>
          <w:rFonts w:ascii="Verdana" w:hAnsi="Verdana" w:cstheme="minorHAnsi"/>
          <w:b/>
          <w:i/>
          <w:iCs/>
          <w:sz w:val="20"/>
          <w:szCs w:val="20"/>
        </w:rPr>
        <w:t>XXX/XXX</w:t>
      </w:r>
    </w:p>
    <w:p w14:paraId="7D3C7652" w14:textId="77777777" w:rsidR="002B5BFA" w:rsidRPr="00CD3E0E" w:rsidRDefault="002B5BFA" w:rsidP="00CD3E0E">
      <w:pPr>
        <w:spacing w:line="360" w:lineRule="auto"/>
        <w:ind w:left="4678"/>
        <w:rPr>
          <w:rFonts w:ascii="Verdana" w:hAnsi="Verdana" w:cstheme="minorHAnsi"/>
          <w:b/>
          <w:sz w:val="20"/>
          <w:szCs w:val="20"/>
        </w:rPr>
      </w:pPr>
      <w:r w:rsidRPr="00CD3E0E">
        <w:rPr>
          <w:rFonts w:ascii="Verdana" w:hAnsi="Verdana" w:cstheme="minorHAnsi"/>
          <w:b/>
          <w:sz w:val="20"/>
          <w:szCs w:val="20"/>
        </w:rPr>
        <w:t xml:space="preserve">CONTRATO ADMINISTRATIVO Nº </w:t>
      </w:r>
      <w:r w:rsidRPr="00CD3E0E">
        <w:rPr>
          <w:rFonts w:ascii="Verdana" w:hAnsi="Verdana" w:cstheme="minorHAnsi"/>
          <w:b/>
          <w:i/>
          <w:iCs/>
          <w:sz w:val="20"/>
          <w:szCs w:val="20"/>
        </w:rPr>
        <w:t>XXX/XXX</w:t>
      </w:r>
      <w:r w:rsidRPr="00CD3E0E">
        <w:rPr>
          <w:rFonts w:ascii="Verdana" w:hAnsi="Verdana" w:cstheme="minorHAnsi"/>
          <w:b/>
          <w:sz w:val="20"/>
          <w:szCs w:val="20"/>
        </w:rPr>
        <w:t xml:space="preserve">, QUE FAZEM ENTRE SI A PREFEITURA MUNICIPAL DE CORRENTINA- BA E A </w:t>
      </w:r>
      <w:r w:rsidRPr="00CD3E0E">
        <w:rPr>
          <w:rFonts w:ascii="Verdana" w:hAnsi="Verdana" w:cstheme="minorHAnsi"/>
          <w:b/>
          <w:i/>
          <w:iCs/>
          <w:sz w:val="20"/>
          <w:szCs w:val="20"/>
        </w:rPr>
        <w:t>XXX (NOME DO CONTRATADO)</w:t>
      </w:r>
    </w:p>
    <w:p w14:paraId="13941034" w14:textId="77777777" w:rsidR="002B5BFA" w:rsidRPr="00CD3E0E" w:rsidRDefault="002B5BFA" w:rsidP="00CD3E0E">
      <w:pPr>
        <w:spacing w:line="360" w:lineRule="auto"/>
        <w:rPr>
          <w:rFonts w:ascii="Verdana" w:hAnsi="Verdana" w:cstheme="minorHAnsi"/>
          <w:bCs/>
          <w:sz w:val="20"/>
          <w:szCs w:val="20"/>
        </w:rPr>
      </w:pPr>
    </w:p>
    <w:p w14:paraId="323E660B" w14:textId="51A9BA65"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O PREFEITURA MUNICIPAL DE CORRENTINA, com sede no(a) Rua da Chácara, 445, Lot. Antônio de França, 253, Centro, na cidade de Correntina, no Estado Bahia, inscrito(a) no CNPJ sob o nº 14.221.741/0001-07, neste ato representado(a) pelo(a) Prefeito Municipal Walter Mariano Messias de Souza,  doravante denominado CONTRATANTE, e o(a) </w:t>
      </w:r>
      <w:r w:rsidRPr="00CD3E0E">
        <w:rPr>
          <w:rFonts w:ascii="Verdana" w:hAnsi="Verdana" w:cstheme="minorHAnsi"/>
          <w:b/>
          <w:i/>
          <w:iCs/>
          <w:sz w:val="20"/>
          <w:szCs w:val="20"/>
        </w:rPr>
        <w:t>XXX</w:t>
      </w:r>
      <w:r w:rsidRPr="00CD3E0E">
        <w:rPr>
          <w:rFonts w:ascii="Verdana" w:hAnsi="Verdana" w:cstheme="minorHAnsi"/>
          <w:bCs/>
          <w:sz w:val="20"/>
          <w:szCs w:val="20"/>
        </w:rPr>
        <w:t xml:space="preserve"> </w:t>
      </w:r>
      <w:r w:rsidRPr="00CD3E0E">
        <w:rPr>
          <w:rFonts w:ascii="Verdana" w:hAnsi="Verdana" w:cstheme="minorHAnsi"/>
          <w:b/>
          <w:i/>
          <w:iCs/>
          <w:sz w:val="20"/>
          <w:szCs w:val="20"/>
        </w:rPr>
        <w:t>(nome do contratado)</w:t>
      </w:r>
      <w:r w:rsidRPr="00CD3E0E">
        <w:rPr>
          <w:rFonts w:ascii="Verdana" w:hAnsi="Verdana" w:cstheme="minorHAnsi"/>
          <w:bCs/>
          <w:sz w:val="20"/>
          <w:szCs w:val="20"/>
        </w:rPr>
        <w:t xml:space="preserve"> inscrito(a) no </w:t>
      </w:r>
      <w:r w:rsidRPr="00CD3E0E">
        <w:rPr>
          <w:rFonts w:ascii="Verdana" w:hAnsi="Verdana" w:cstheme="minorHAnsi"/>
          <w:b/>
          <w:i/>
          <w:iCs/>
          <w:sz w:val="20"/>
          <w:szCs w:val="20"/>
        </w:rPr>
        <w:t>CNPJ</w:t>
      </w:r>
      <w:r w:rsidRPr="00CD3E0E">
        <w:rPr>
          <w:rFonts w:ascii="Verdana" w:hAnsi="Verdana" w:cstheme="minorHAnsi"/>
          <w:bCs/>
          <w:sz w:val="20"/>
          <w:szCs w:val="20"/>
        </w:rPr>
        <w:t xml:space="preserve"> </w:t>
      </w:r>
      <w:r w:rsidRPr="00CD3E0E">
        <w:rPr>
          <w:rFonts w:ascii="Verdana" w:hAnsi="Verdana" w:cstheme="minorHAnsi"/>
          <w:b/>
          <w:i/>
          <w:iCs/>
          <w:sz w:val="20"/>
          <w:szCs w:val="20"/>
          <w:u w:val="single"/>
        </w:rPr>
        <w:t>OU</w:t>
      </w:r>
      <w:r w:rsidRPr="00CD3E0E">
        <w:rPr>
          <w:rFonts w:ascii="Verdana" w:hAnsi="Verdana" w:cstheme="minorHAnsi"/>
          <w:bCs/>
          <w:sz w:val="20"/>
          <w:szCs w:val="20"/>
        </w:rPr>
        <w:t xml:space="preserve"> </w:t>
      </w:r>
      <w:r w:rsidRPr="00CD3E0E">
        <w:rPr>
          <w:rFonts w:ascii="Verdana" w:hAnsi="Verdana" w:cstheme="minorHAnsi"/>
          <w:b/>
          <w:i/>
          <w:iCs/>
          <w:sz w:val="20"/>
          <w:szCs w:val="20"/>
        </w:rPr>
        <w:t>CPF</w:t>
      </w:r>
      <w:r w:rsidRPr="00CD3E0E">
        <w:rPr>
          <w:rFonts w:ascii="Verdana" w:hAnsi="Verdana" w:cstheme="minorHAnsi"/>
          <w:bCs/>
          <w:sz w:val="20"/>
          <w:szCs w:val="20"/>
        </w:rPr>
        <w:t xml:space="preserve"> sob o nº </w:t>
      </w:r>
      <w:r w:rsidRPr="00CD3E0E">
        <w:rPr>
          <w:rFonts w:ascii="Verdana" w:hAnsi="Verdana" w:cstheme="minorHAnsi"/>
          <w:b/>
          <w:i/>
          <w:iCs/>
          <w:sz w:val="20"/>
          <w:szCs w:val="20"/>
        </w:rPr>
        <w:t>XXX</w:t>
      </w:r>
      <w:r w:rsidRPr="00CD3E0E">
        <w:rPr>
          <w:rFonts w:ascii="Verdana" w:hAnsi="Verdana" w:cstheme="minorHAnsi"/>
          <w:bCs/>
          <w:sz w:val="20"/>
          <w:szCs w:val="20"/>
        </w:rPr>
        <w:t xml:space="preserve">, sediado(a) na </w:t>
      </w:r>
      <w:r w:rsidRPr="00CD3E0E">
        <w:rPr>
          <w:rFonts w:ascii="Verdana" w:hAnsi="Verdana" w:cstheme="minorHAnsi"/>
          <w:b/>
          <w:i/>
          <w:iCs/>
          <w:sz w:val="20"/>
          <w:szCs w:val="20"/>
        </w:rPr>
        <w:t>XXX</w:t>
      </w:r>
      <w:r w:rsidRPr="00CD3E0E">
        <w:rPr>
          <w:rFonts w:ascii="Verdana" w:hAnsi="Verdana" w:cstheme="minorHAnsi"/>
          <w:bCs/>
          <w:sz w:val="20"/>
          <w:szCs w:val="20"/>
        </w:rPr>
        <w:t xml:space="preserve">, em </w:t>
      </w:r>
      <w:r w:rsidRPr="00CD3E0E">
        <w:rPr>
          <w:rFonts w:ascii="Verdana" w:hAnsi="Verdana" w:cstheme="minorHAnsi"/>
          <w:b/>
          <w:i/>
          <w:iCs/>
          <w:sz w:val="20"/>
          <w:szCs w:val="20"/>
        </w:rPr>
        <w:t>XXX</w:t>
      </w:r>
      <w:r w:rsidRPr="00CD3E0E">
        <w:rPr>
          <w:rFonts w:ascii="Verdana" w:hAnsi="Verdana" w:cstheme="minorHAnsi"/>
          <w:bCs/>
          <w:sz w:val="20"/>
          <w:szCs w:val="20"/>
        </w:rPr>
        <w:t xml:space="preserve">, doravante designado CONTRATADO, neste ato representado por </w:t>
      </w:r>
      <w:r w:rsidRPr="00CD3E0E">
        <w:rPr>
          <w:rFonts w:ascii="Verdana" w:hAnsi="Verdana" w:cstheme="minorHAnsi"/>
          <w:b/>
          <w:i/>
          <w:iCs/>
          <w:sz w:val="20"/>
          <w:szCs w:val="20"/>
        </w:rPr>
        <w:t>XXX</w:t>
      </w:r>
      <w:r w:rsidRPr="00CD3E0E">
        <w:rPr>
          <w:rFonts w:ascii="Verdana" w:hAnsi="Verdana" w:cstheme="minorHAnsi"/>
          <w:bCs/>
          <w:sz w:val="20"/>
          <w:szCs w:val="20"/>
        </w:rPr>
        <w:t xml:space="preserve"> </w:t>
      </w:r>
      <w:r w:rsidRPr="00CD3E0E">
        <w:rPr>
          <w:rFonts w:ascii="Verdana" w:hAnsi="Verdana" w:cstheme="minorHAnsi"/>
          <w:b/>
          <w:i/>
          <w:iCs/>
          <w:sz w:val="20"/>
          <w:szCs w:val="20"/>
        </w:rPr>
        <w:t>(nome e função do contratado)</w:t>
      </w:r>
      <w:r w:rsidRPr="00CD3E0E">
        <w:rPr>
          <w:rFonts w:ascii="Verdana" w:hAnsi="Verdana" w:cstheme="minorHAnsi"/>
          <w:bCs/>
          <w:sz w:val="20"/>
          <w:szCs w:val="20"/>
        </w:rPr>
        <w:t xml:space="preserve"> </w:t>
      </w:r>
      <w:r w:rsidRPr="00CD3E0E">
        <w:rPr>
          <w:rFonts w:ascii="Verdana" w:hAnsi="Verdana" w:cstheme="minorHAnsi"/>
          <w:b/>
          <w:sz w:val="20"/>
          <w:szCs w:val="20"/>
        </w:rPr>
        <w:t xml:space="preserve">conforme atos constitutivos da empresa </w:t>
      </w:r>
      <w:r w:rsidRPr="00CD3E0E">
        <w:rPr>
          <w:rFonts w:ascii="Verdana" w:hAnsi="Verdana" w:cstheme="minorHAnsi"/>
          <w:b/>
          <w:i/>
          <w:iCs/>
          <w:sz w:val="20"/>
          <w:szCs w:val="20"/>
          <w:u w:val="single"/>
        </w:rPr>
        <w:t>OU</w:t>
      </w:r>
      <w:r w:rsidRPr="00CD3E0E">
        <w:rPr>
          <w:rFonts w:ascii="Verdana" w:hAnsi="Verdana" w:cstheme="minorHAnsi"/>
          <w:b/>
          <w:sz w:val="20"/>
          <w:szCs w:val="20"/>
        </w:rPr>
        <w:t xml:space="preserve"> procuração apresentada nos autos</w:t>
      </w:r>
      <w:r w:rsidRPr="00CD3E0E">
        <w:rPr>
          <w:rFonts w:ascii="Verdana" w:hAnsi="Verdana" w:cstheme="minorHAnsi"/>
          <w:bCs/>
          <w:sz w:val="20"/>
          <w:szCs w:val="20"/>
        </w:rPr>
        <w:t xml:space="preserve">, tendo em vista o que consta no Processo nº </w:t>
      </w:r>
      <w:r w:rsidRPr="00CD3E0E">
        <w:rPr>
          <w:rFonts w:ascii="Verdana" w:hAnsi="Verdana" w:cstheme="minorHAnsi"/>
          <w:b/>
          <w:i/>
          <w:iCs/>
          <w:sz w:val="20"/>
          <w:szCs w:val="20"/>
        </w:rPr>
        <w:t>XXX</w:t>
      </w:r>
      <w:r w:rsidRPr="00CD3E0E">
        <w:rPr>
          <w:rFonts w:ascii="Verdana" w:hAnsi="Verdana" w:cstheme="minorHAnsi"/>
          <w:bCs/>
          <w:sz w:val="20"/>
          <w:szCs w:val="20"/>
        </w:rPr>
        <w:t xml:space="preserve"> e em observância às disposições da Lei nº 14.133, de 2021 e, resolvem celebrar o presente Termo de Contrato, decorrente </w:t>
      </w:r>
      <w:r w:rsidRPr="00CD3E0E">
        <w:rPr>
          <w:rFonts w:ascii="Verdana" w:hAnsi="Verdana" w:cstheme="minorHAnsi"/>
          <w:b/>
          <w:i/>
          <w:iCs/>
          <w:sz w:val="20"/>
          <w:szCs w:val="20"/>
        </w:rPr>
        <w:t xml:space="preserve">do Pregão Eletrônico nº </w:t>
      </w:r>
      <w:r w:rsidR="00EA0BDF">
        <w:rPr>
          <w:rFonts w:ascii="Verdana" w:hAnsi="Verdana" w:cstheme="minorHAnsi"/>
          <w:b/>
          <w:i/>
          <w:iCs/>
          <w:sz w:val="20"/>
          <w:szCs w:val="20"/>
        </w:rPr>
        <w:t>0</w:t>
      </w:r>
      <w:r w:rsidR="00C277A1">
        <w:rPr>
          <w:rFonts w:ascii="Verdana" w:hAnsi="Verdana" w:cstheme="minorHAnsi"/>
          <w:b/>
          <w:i/>
          <w:iCs/>
          <w:sz w:val="20"/>
          <w:szCs w:val="20"/>
        </w:rPr>
        <w:t>06</w:t>
      </w:r>
      <w:r w:rsidR="00EA0BDF">
        <w:rPr>
          <w:rFonts w:ascii="Verdana" w:hAnsi="Verdana" w:cstheme="minorHAnsi"/>
          <w:b/>
          <w:i/>
          <w:iCs/>
          <w:sz w:val="20"/>
          <w:szCs w:val="20"/>
        </w:rPr>
        <w:t>/202</w:t>
      </w:r>
      <w:r w:rsidR="00C277A1">
        <w:rPr>
          <w:rFonts w:ascii="Verdana" w:hAnsi="Verdana" w:cstheme="minorHAnsi"/>
          <w:b/>
          <w:i/>
          <w:iCs/>
          <w:sz w:val="20"/>
          <w:szCs w:val="20"/>
        </w:rPr>
        <w:t>6</w:t>
      </w:r>
      <w:r w:rsidRPr="00CD3E0E">
        <w:rPr>
          <w:rFonts w:ascii="Verdana" w:hAnsi="Verdana" w:cstheme="minorHAnsi"/>
          <w:bCs/>
          <w:sz w:val="20"/>
          <w:szCs w:val="20"/>
        </w:rPr>
        <w:t>, mediante as cláusulas e condições a seguir enunciadas.</w:t>
      </w:r>
    </w:p>
    <w:p w14:paraId="1EDD94F5" w14:textId="77777777" w:rsidR="002B5BFA" w:rsidRPr="00CD3E0E" w:rsidRDefault="002B5BFA" w:rsidP="00CD3E0E">
      <w:pPr>
        <w:spacing w:line="360" w:lineRule="auto"/>
        <w:rPr>
          <w:rStyle w:val="Forte"/>
          <w:rFonts w:ascii="Verdana" w:eastAsiaTheme="majorEastAsia" w:hAnsi="Verdana" w:cs="Tahoma"/>
          <w:sz w:val="20"/>
          <w:szCs w:val="20"/>
        </w:rPr>
      </w:pPr>
      <w:bookmarkStart w:id="20" w:name="_Toc138359487"/>
      <w:r w:rsidRPr="00CD3E0E">
        <w:rPr>
          <w:rStyle w:val="Ttulo1Char"/>
          <w:rFonts w:ascii="Verdana" w:hAnsi="Verdana"/>
          <w:sz w:val="20"/>
          <w:szCs w:val="20"/>
        </w:rPr>
        <w:t>CLÁUSULA PRIMEIRA – DO OBJETO</w:t>
      </w:r>
      <w:bookmarkEnd w:id="20"/>
      <w:r w:rsidRPr="00CD3E0E">
        <w:rPr>
          <w:rStyle w:val="Forte"/>
          <w:rFonts w:ascii="Verdana" w:eastAsiaTheme="majorEastAsia" w:hAnsi="Verdana"/>
          <w:sz w:val="20"/>
          <w:szCs w:val="20"/>
        </w:rPr>
        <w:t xml:space="preserve"> (ART. 92, I E II DA LEI Nº 14.133, DE 2021)</w:t>
      </w:r>
    </w:p>
    <w:p w14:paraId="35A83021" w14:textId="2DA26643"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 xml:space="preserve">1.1. O objeto do presente instrumento é a contratação de </w:t>
      </w:r>
      <w:r w:rsidR="004A4F5C" w:rsidRPr="00C65DF7">
        <w:rPr>
          <w:rFonts w:ascii="Verdana" w:hAnsi="Verdana" w:cs="Arial"/>
          <w:b/>
          <w:sz w:val="20"/>
          <w:szCs w:val="20"/>
        </w:rPr>
        <w:t xml:space="preserve">REGISTRO DE PREÇOS </w:t>
      </w:r>
      <w:r w:rsidR="004A4F5C">
        <w:rPr>
          <w:rFonts w:ascii="Verdana" w:hAnsi="Verdana" w:cs="Arial"/>
          <w:b/>
          <w:sz w:val="20"/>
          <w:szCs w:val="20"/>
        </w:rPr>
        <w:t>PARA AQUISIÇÃO DE CESTA BASICA PARA ATENDER A NESCESSIDA DA SECRETARIA DE DESENVOLVIMENTO SOCIAL E CIDADANIA E DEMAIS SECRETARIA DO MUNICIPIO DE CORRENTINA</w:t>
      </w:r>
      <w:r w:rsidR="004A4F5C" w:rsidRPr="00C65DF7">
        <w:rPr>
          <w:rFonts w:ascii="Verdana" w:hAnsi="Verdana" w:cs="Calibri"/>
          <w:b/>
          <w:sz w:val="20"/>
          <w:szCs w:val="20"/>
        </w:rPr>
        <w:t xml:space="preserve"> - BA</w:t>
      </w:r>
      <w:r w:rsidRPr="00CD3E0E">
        <w:rPr>
          <w:rFonts w:ascii="Verdana" w:hAnsi="Verdana" w:cstheme="minorHAnsi"/>
          <w:bCs/>
          <w:sz w:val="20"/>
          <w:szCs w:val="20"/>
        </w:rPr>
        <w:t>, conforme especificações técnicas e nas condições estabelecidas no Termo de Referência.</w:t>
      </w:r>
    </w:p>
    <w:p w14:paraId="104B338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1.2. Objeto da contratação:</w:t>
      </w:r>
    </w:p>
    <w:tbl>
      <w:tblPr>
        <w:tblStyle w:val="Tabelacomgrade"/>
        <w:tblW w:w="0" w:type="auto"/>
        <w:tblLook w:val="04A0" w:firstRow="1" w:lastRow="0" w:firstColumn="1" w:lastColumn="0" w:noHBand="0" w:noVBand="1"/>
      </w:tblPr>
      <w:tblGrid>
        <w:gridCol w:w="1858"/>
        <w:gridCol w:w="1857"/>
        <w:gridCol w:w="1857"/>
        <w:gridCol w:w="1857"/>
        <w:gridCol w:w="1858"/>
      </w:tblGrid>
      <w:tr w:rsidR="002B5BFA" w:rsidRPr="00CD3E0E" w14:paraId="0AECCECF" w14:textId="77777777" w:rsidTr="002B5BFA">
        <w:tc>
          <w:tcPr>
            <w:tcW w:w="1947" w:type="dxa"/>
            <w:tcBorders>
              <w:top w:val="single" w:sz="4" w:space="0" w:color="auto"/>
              <w:left w:val="single" w:sz="4" w:space="0" w:color="auto"/>
              <w:bottom w:val="single" w:sz="4" w:space="0" w:color="auto"/>
              <w:right w:val="single" w:sz="4" w:space="0" w:color="auto"/>
            </w:tcBorders>
          </w:tcPr>
          <w:p w14:paraId="3003F40B"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Borders>
              <w:top w:val="single" w:sz="4" w:space="0" w:color="auto"/>
              <w:left w:val="single" w:sz="4" w:space="0" w:color="auto"/>
              <w:bottom w:val="single" w:sz="4" w:space="0" w:color="auto"/>
              <w:right w:val="single" w:sz="4" w:space="0" w:color="auto"/>
            </w:tcBorders>
          </w:tcPr>
          <w:p w14:paraId="22B62077"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Borders>
              <w:top w:val="single" w:sz="4" w:space="0" w:color="auto"/>
              <w:left w:val="single" w:sz="4" w:space="0" w:color="auto"/>
              <w:bottom w:val="single" w:sz="4" w:space="0" w:color="auto"/>
              <w:right w:val="single" w:sz="4" w:space="0" w:color="auto"/>
            </w:tcBorders>
          </w:tcPr>
          <w:p w14:paraId="4008403C"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Borders>
              <w:top w:val="single" w:sz="4" w:space="0" w:color="auto"/>
              <w:left w:val="single" w:sz="4" w:space="0" w:color="auto"/>
              <w:bottom w:val="single" w:sz="4" w:space="0" w:color="auto"/>
              <w:right w:val="single" w:sz="4" w:space="0" w:color="auto"/>
            </w:tcBorders>
          </w:tcPr>
          <w:p w14:paraId="179510D2"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8" w:type="dxa"/>
            <w:tcBorders>
              <w:top w:val="single" w:sz="4" w:space="0" w:color="auto"/>
              <w:left w:val="single" w:sz="4" w:space="0" w:color="auto"/>
              <w:bottom w:val="single" w:sz="4" w:space="0" w:color="auto"/>
              <w:right w:val="single" w:sz="4" w:space="0" w:color="auto"/>
            </w:tcBorders>
          </w:tcPr>
          <w:p w14:paraId="4CB305A8" w14:textId="77777777" w:rsidR="002B5BFA" w:rsidRPr="00CD3E0E" w:rsidRDefault="002B5BFA" w:rsidP="00CD3E0E">
            <w:pPr>
              <w:spacing w:line="360" w:lineRule="auto"/>
              <w:jc w:val="both"/>
              <w:rPr>
                <w:rFonts w:ascii="Verdana" w:eastAsia="Times New Roman" w:hAnsi="Verdana" w:cstheme="minorHAnsi"/>
                <w:bCs/>
                <w:sz w:val="20"/>
                <w:szCs w:val="20"/>
              </w:rPr>
            </w:pPr>
          </w:p>
        </w:tc>
      </w:tr>
      <w:tr w:rsidR="002B5BFA" w:rsidRPr="00CD3E0E" w14:paraId="5A657A55" w14:textId="77777777" w:rsidTr="002B5BFA">
        <w:tc>
          <w:tcPr>
            <w:tcW w:w="1947" w:type="dxa"/>
            <w:tcBorders>
              <w:top w:val="single" w:sz="4" w:space="0" w:color="auto"/>
              <w:left w:val="single" w:sz="4" w:space="0" w:color="auto"/>
              <w:bottom w:val="single" w:sz="4" w:space="0" w:color="auto"/>
              <w:right w:val="single" w:sz="4" w:space="0" w:color="auto"/>
            </w:tcBorders>
          </w:tcPr>
          <w:p w14:paraId="39C68755"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Borders>
              <w:top w:val="single" w:sz="4" w:space="0" w:color="auto"/>
              <w:left w:val="single" w:sz="4" w:space="0" w:color="auto"/>
              <w:bottom w:val="single" w:sz="4" w:space="0" w:color="auto"/>
              <w:right w:val="single" w:sz="4" w:space="0" w:color="auto"/>
            </w:tcBorders>
          </w:tcPr>
          <w:p w14:paraId="1042A132"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Borders>
              <w:top w:val="single" w:sz="4" w:space="0" w:color="auto"/>
              <w:left w:val="single" w:sz="4" w:space="0" w:color="auto"/>
              <w:bottom w:val="single" w:sz="4" w:space="0" w:color="auto"/>
              <w:right w:val="single" w:sz="4" w:space="0" w:color="auto"/>
            </w:tcBorders>
          </w:tcPr>
          <w:p w14:paraId="672EC26B"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Borders>
              <w:top w:val="single" w:sz="4" w:space="0" w:color="auto"/>
              <w:left w:val="single" w:sz="4" w:space="0" w:color="auto"/>
              <w:bottom w:val="single" w:sz="4" w:space="0" w:color="auto"/>
              <w:right w:val="single" w:sz="4" w:space="0" w:color="auto"/>
            </w:tcBorders>
          </w:tcPr>
          <w:p w14:paraId="07E5791D"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8" w:type="dxa"/>
            <w:tcBorders>
              <w:top w:val="single" w:sz="4" w:space="0" w:color="auto"/>
              <w:left w:val="single" w:sz="4" w:space="0" w:color="auto"/>
              <w:bottom w:val="single" w:sz="4" w:space="0" w:color="auto"/>
              <w:right w:val="single" w:sz="4" w:space="0" w:color="auto"/>
            </w:tcBorders>
          </w:tcPr>
          <w:p w14:paraId="0963F2C7" w14:textId="77777777" w:rsidR="002B5BFA" w:rsidRPr="00CD3E0E" w:rsidRDefault="002B5BFA" w:rsidP="00CD3E0E">
            <w:pPr>
              <w:spacing w:line="360" w:lineRule="auto"/>
              <w:jc w:val="both"/>
              <w:rPr>
                <w:rFonts w:ascii="Verdana" w:eastAsia="Times New Roman" w:hAnsi="Verdana" w:cstheme="minorHAnsi"/>
                <w:bCs/>
                <w:sz w:val="20"/>
                <w:szCs w:val="20"/>
              </w:rPr>
            </w:pPr>
          </w:p>
        </w:tc>
      </w:tr>
    </w:tbl>
    <w:p w14:paraId="0212F802" w14:textId="77777777" w:rsidR="002B5BFA" w:rsidRPr="00CD3E0E" w:rsidRDefault="002B5BFA" w:rsidP="00CD3E0E">
      <w:pPr>
        <w:spacing w:line="360" w:lineRule="auto"/>
        <w:rPr>
          <w:rFonts w:ascii="Verdana" w:eastAsia="Times New Roman" w:hAnsi="Verdana" w:cstheme="minorHAnsi"/>
          <w:bCs/>
          <w:sz w:val="20"/>
          <w:szCs w:val="20"/>
        </w:rPr>
      </w:pPr>
    </w:p>
    <w:p w14:paraId="2CC11222"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 São anexos a este instrumento e vinculam esta contratação, independentemente de transcrição:</w:t>
      </w:r>
    </w:p>
    <w:p w14:paraId="05E17F0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1.3.1. O Termo de Referência;</w:t>
      </w:r>
    </w:p>
    <w:p w14:paraId="36D38790"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1.3.2. O Edital da Licitação;</w:t>
      </w:r>
    </w:p>
    <w:p w14:paraId="6C046C7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1.3.3. A proposta do CONTRATADO; e</w:t>
      </w:r>
    </w:p>
    <w:p w14:paraId="00C2D4B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1.3.4. Eventuais anexos dos documentos supracitados.</w:t>
      </w:r>
    </w:p>
    <w:p w14:paraId="72B0FEF7" w14:textId="77777777" w:rsidR="002B5BFA" w:rsidRPr="00CD3E0E" w:rsidRDefault="002B5BFA" w:rsidP="00CD3E0E">
      <w:pPr>
        <w:pStyle w:val="Textodecomentrio"/>
        <w:rPr>
          <w:rStyle w:val="Forte"/>
          <w:rFonts w:ascii="Verdana" w:eastAsiaTheme="majorEastAsia" w:hAnsi="Verdana"/>
        </w:rPr>
      </w:pPr>
      <w:bookmarkStart w:id="21" w:name="_Toc138359488"/>
      <w:r w:rsidRPr="00CD3E0E">
        <w:rPr>
          <w:rStyle w:val="Ttulo1Char"/>
          <w:rFonts w:ascii="Verdana" w:hAnsi="Verdana"/>
          <w:sz w:val="20"/>
          <w:szCs w:val="20"/>
        </w:rPr>
        <w:t>CLÁUSULA SEGUNDA – DA VIGÊNCIA E DA PRORROGAÇÃO</w:t>
      </w:r>
      <w:bookmarkEnd w:id="21"/>
      <w:r w:rsidRPr="00CD3E0E">
        <w:rPr>
          <w:rStyle w:val="Forte"/>
          <w:rFonts w:ascii="Verdana" w:eastAsiaTheme="majorEastAsia" w:hAnsi="Verdana"/>
        </w:rPr>
        <w:t xml:space="preserve"> (ARTS 105 A 107 DA LEI Nº 14.133, DE 2021)</w:t>
      </w:r>
    </w:p>
    <w:p w14:paraId="0B323089" w14:textId="2AB96FA5" w:rsidR="002B5BFA" w:rsidRPr="00CD3E0E" w:rsidRDefault="002B5BFA" w:rsidP="00CD3E0E">
      <w:pPr>
        <w:spacing w:line="360" w:lineRule="auto"/>
        <w:rPr>
          <w:rFonts w:ascii="Verdana" w:eastAsia="Times New Roman" w:hAnsi="Verdana" w:cs="Arial"/>
          <w:sz w:val="20"/>
          <w:szCs w:val="20"/>
        </w:rPr>
      </w:pPr>
      <w:r w:rsidRPr="00CD3E0E">
        <w:rPr>
          <w:rFonts w:ascii="Verdana" w:hAnsi="Verdana" w:cs="Arial"/>
          <w:bCs/>
          <w:sz w:val="20"/>
          <w:szCs w:val="20"/>
        </w:rPr>
        <w:lastRenderedPageBreak/>
        <w:t>2.1. O prazo de vigência da contratação é de 1</w:t>
      </w:r>
      <w:r w:rsidR="004A4F5C">
        <w:rPr>
          <w:rFonts w:ascii="Verdana" w:hAnsi="Verdana" w:cs="Arial"/>
          <w:bCs/>
          <w:sz w:val="20"/>
          <w:szCs w:val="20"/>
        </w:rPr>
        <w:t>2</w:t>
      </w:r>
      <w:r w:rsidRPr="00CD3E0E">
        <w:rPr>
          <w:rFonts w:ascii="Verdana" w:hAnsi="Verdana" w:cs="Arial"/>
          <w:b/>
          <w:i/>
          <w:iCs/>
          <w:sz w:val="20"/>
          <w:szCs w:val="20"/>
        </w:rPr>
        <w:t>(meses)</w:t>
      </w:r>
      <w:r w:rsidRPr="00CD3E0E">
        <w:rPr>
          <w:rFonts w:ascii="Verdana" w:hAnsi="Verdana" w:cs="Arial"/>
          <w:bCs/>
          <w:sz w:val="20"/>
          <w:szCs w:val="20"/>
        </w:rPr>
        <w:t xml:space="preserve">, contados do(a) </w:t>
      </w:r>
      <w:r w:rsidRPr="00CD3E0E">
        <w:rPr>
          <w:rFonts w:ascii="Verdana" w:hAnsi="Verdana" w:cs="Arial"/>
          <w:b/>
          <w:i/>
          <w:iCs/>
          <w:sz w:val="20"/>
          <w:szCs w:val="20"/>
        </w:rPr>
        <w:t>XXX</w:t>
      </w:r>
      <w:r w:rsidRPr="00CD3E0E">
        <w:rPr>
          <w:rFonts w:ascii="Verdana" w:hAnsi="Verdana" w:cs="Arial"/>
          <w:bCs/>
          <w:sz w:val="20"/>
          <w:szCs w:val="20"/>
        </w:rPr>
        <w:t>, na forma do art. 105 da Lei n° 14.133, de 2021.</w:t>
      </w:r>
    </w:p>
    <w:p w14:paraId="1F7CB35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1DDA3088" w14:textId="77777777" w:rsidR="002B5BFA" w:rsidRPr="00CD3E0E" w:rsidRDefault="002B5BFA" w:rsidP="00CD3E0E">
      <w:pPr>
        <w:spacing w:line="360" w:lineRule="auto"/>
        <w:rPr>
          <w:rStyle w:val="Forte"/>
          <w:rFonts w:ascii="Verdana" w:hAnsi="Verdana"/>
          <w:sz w:val="20"/>
          <w:szCs w:val="20"/>
        </w:rPr>
      </w:pPr>
      <w:bookmarkStart w:id="22" w:name="_Toc138359489"/>
      <w:r w:rsidRPr="00CD3E0E">
        <w:rPr>
          <w:rStyle w:val="Ttulo1Char"/>
          <w:rFonts w:ascii="Verdana" w:hAnsi="Verdana" w:cs="Arial"/>
          <w:sz w:val="20"/>
          <w:szCs w:val="20"/>
        </w:rPr>
        <w:t>CLÁUSULA TERCEIRA – DO MODELOS DE EXECUÇÃO E GESTÃO</w:t>
      </w:r>
      <w:bookmarkEnd w:id="22"/>
      <w:r w:rsidRPr="00CD3E0E">
        <w:rPr>
          <w:rStyle w:val="Forte"/>
          <w:rFonts w:ascii="Verdana" w:eastAsiaTheme="majorEastAsia" w:hAnsi="Verdana" w:cs="Arial"/>
          <w:sz w:val="20"/>
          <w:szCs w:val="20"/>
        </w:rPr>
        <w:t xml:space="preserve"> (ART. 92, IV E VII DA LEI Nº 14.133, DE 2021)</w:t>
      </w:r>
    </w:p>
    <w:p w14:paraId="5684A1BA"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 xml:space="preserve">3.1. </w:t>
      </w:r>
      <w:r w:rsidRPr="00CD3E0E">
        <w:rPr>
          <w:rFonts w:ascii="Verdana" w:hAnsi="Verdana" w:cs="Arial"/>
          <w:color w:val="000000"/>
          <w:sz w:val="20"/>
          <w:szCs w:val="20"/>
        </w:rPr>
        <w:t>O regime de execução contratual, os modelos de gestão e de execução, assim como os prazos e condições de conclusão, entrega, observação e recebimento do objeto constam no Termo de Referência, anexo a este Contrato.</w:t>
      </w:r>
    </w:p>
    <w:p w14:paraId="007EFC3B" w14:textId="77777777" w:rsidR="002B5BFA" w:rsidRPr="00CD3E0E" w:rsidRDefault="002B5BFA" w:rsidP="00CD3E0E">
      <w:pPr>
        <w:pStyle w:val="Textodecomentrio"/>
        <w:rPr>
          <w:rStyle w:val="Forte"/>
          <w:rFonts w:ascii="Verdana" w:eastAsiaTheme="majorEastAsia" w:hAnsi="Verdana"/>
        </w:rPr>
      </w:pPr>
      <w:bookmarkStart w:id="23" w:name="_Toc138359490"/>
      <w:r w:rsidRPr="00CD3E0E">
        <w:rPr>
          <w:rStyle w:val="Ttulo1Char"/>
          <w:rFonts w:ascii="Verdana" w:hAnsi="Verdana" w:cs="Arial"/>
          <w:sz w:val="20"/>
          <w:szCs w:val="20"/>
        </w:rPr>
        <w:t>CLÁUSULA QUARTA – DA SUBCONTRATAÇÃO</w:t>
      </w:r>
      <w:bookmarkEnd w:id="23"/>
      <w:r w:rsidRPr="00CD3E0E">
        <w:rPr>
          <w:rStyle w:val="Forte"/>
          <w:rFonts w:ascii="Verdana" w:eastAsiaTheme="majorEastAsia" w:hAnsi="Verdana" w:cs="Arial"/>
        </w:rPr>
        <w:t xml:space="preserve"> (ART. 122 DA LEI Nº 14.133, DE 2021)</w:t>
      </w:r>
    </w:p>
    <w:p w14:paraId="229F0215"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4.1. Não será admitida a subcontratação</w:t>
      </w:r>
      <w:r w:rsidRPr="00CD3E0E">
        <w:rPr>
          <w:rStyle w:val="Refdenotaderodap"/>
          <w:rFonts w:ascii="Verdana" w:eastAsiaTheme="majorEastAsia" w:hAnsi="Verdana" w:cs="Arial"/>
          <w:b/>
          <w:sz w:val="20"/>
          <w:szCs w:val="20"/>
        </w:rPr>
        <w:t xml:space="preserve"> </w:t>
      </w:r>
      <w:r w:rsidRPr="00CD3E0E">
        <w:rPr>
          <w:rFonts w:ascii="Verdana" w:hAnsi="Verdana" w:cs="Arial"/>
          <w:b/>
          <w:sz w:val="20"/>
          <w:szCs w:val="20"/>
        </w:rPr>
        <w:t xml:space="preserve"> </w:t>
      </w:r>
      <w:r w:rsidRPr="00CD3E0E">
        <w:rPr>
          <w:rFonts w:ascii="Verdana" w:hAnsi="Verdana" w:cs="Arial"/>
          <w:sz w:val="20"/>
          <w:szCs w:val="20"/>
        </w:rPr>
        <w:t>sem autorização da contratante</w:t>
      </w:r>
      <w:r w:rsidRPr="00CD3E0E">
        <w:rPr>
          <w:rFonts w:ascii="Verdana" w:hAnsi="Verdana" w:cs="Arial"/>
          <w:bCs/>
          <w:sz w:val="20"/>
          <w:szCs w:val="20"/>
        </w:rPr>
        <w:t>.</w:t>
      </w:r>
    </w:p>
    <w:p w14:paraId="5D079CB6" w14:textId="77777777" w:rsidR="002B5BFA" w:rsidRPr="00CD3E0E" w:rsidRDefault="002B5BFA" w:rsidP="00CD3E0E">
      <w:pPr>
        <w:spacing w:line="360" w:lineRule="auto"/>
        <w:rPr>
          <w:rStyle w:val="Forte"/>
          <w:rFonts w:ascii="Verdana" w:eastAsiaTheme="majorEastAsia" w:hAnsi="Verdana"/>
          <w:color w:val="0F4761" w:themeColor="accent1" w:themeShade="BF"/>
          <w:sz w:val="20"/>
          <w:szCs w:val="20"/>
        </w:rPr>
      </w:pPr>
      <w:bookmarkStart w:id="24" w:name="_Toc138359491"/>
      <w:r w:rsidRPr="00CD3E0E">
        <w:rPr>
          <w:rStyle w:val="Ttulo1Char"/>
          <w:rFonts w:ascii="Verdana" w:hAnsi="Verdana" w:cs="Arial"/>
          <w:sz w:val="20"/>
          <w:szCs w:val="20"/>
        </w:rPr>
        <w:t>CLÁUSULA QUINTA – DO VALOR</w:t>
      </w:r>
      <w:bookmarkEnd w:id="24"/>
      <w:r w:rsidRPr="00CD3E0E">
        <w:rPr>
          <w:rStyle w:val="Forte"/>
          <w:rFonts w:ascii="Verdana" w:eastAsiaTheme="majorEastAsia" w:hAnsi="Verdana" w:cs="Arial"/>
          <w:color w:val="0F4761" w:themeColor="accent1" w:themeShade="BF"/>
          <w:sz w:val="20"/>
          <w:szCs w:val="20"/>
        </w:rPr>
        <w:t xml:space="preserve"> (ART. 92, V DA LEI Nº 14.133, DE 2021)</w:t>
      </w:r>
    </w:p>
    <w:p w14:paraId="0813D9F9"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 xml:space="preserve">5.1. O valor total da contratação é de </w:t>
      </w:r>
      <w:r w:rsidRPr="00CD3E0E">
        <w:rPr>
          <w:rFonts w:ascii="Verdana" w:hAnsi="Verdana" w:cs="Arial"/>
          <w:b/>
          <w:i/>
          <w:iCs/>
          <w:sz w:val="20"/>
          <w:szCs w:val="20"/>
        </w:rPr>
        <w:t xml:space="preserve">R$ XXX </w:t>
      </w:r>
      <w:r w:rsidRPr="00CD3E0E">
        <w:rPr>
          <w:rFonts w:ascii="Verdana" w:hAnsi="Verdana" w:cs="Arial"/>
          <w:bCs/>
          <w:i/>
          <w:iCs/>
          <w:sz w:val="20"/>
          <w:szCs w:val="20"/>
        </w:rPr>
        <w:t>(por extenso)</w:t>
      </w:r>
      <w:r w:rsidRPr="00CD3E0E">
        <w:rPr>
          <w:rFonts w:ascii="Verdana" w:hAnsi="Verdana" w:cs="Arial"/>
          <w:bCs/>
          <w:sz w:val="20"/>
          <w:szCs w:val="20"/>
        </w:rPr>
        <w:t>.</w:t>
      </w:r>
    </w:p>
    <w:p w14:paraId="7C9DCF7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D2DEACA"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5.3. O valor acima é meramente estimativo, de forma que os pagamentos devidos ao CONTRATADO dependerão dos quantitativos efetivamente fornecidos.</w:t>
      </w:r>
    </w:p>
    <w:p w14:paraId="782AB6B7" w14:textId="77777777" w:rsidR="002B5BFA" w:rsidRPr="00CD3E0E" w:rsidRDefault="002B5BFA" w:rsidP="00CD3E0E">
      <w:pPr>
        <w:pStyle w:val="Textodecomentrio"/>
        <w:rPr>
          <w:rStyle w:val="Forte"/>
          <w:rFonts w:ascii="Verdana" w:eastAsiaTheme="majorEastAsia" w:hAnsi="Verdana"/>
        </w:rPr>
      </w:pPr>
      <w:bookmarkStart w:id="25" w:name="_Toc138359492"/>
      <w:r w:rsidRPr="00CD3E0E">
        <w:rPr>
          <w:rStyle w:val="Ttulo1Char"/>
          <w:rFonts w:ascii="Verdana" w:hAnsi="Verdana"/>
          <w:sz w:val="20"/>
          <w:szCs w:val="20"/>
        </w:rPr>
        <w:t>CLÁUSULA SEXTA - PAGAMENTO</w:t>
      </w:r>
      <w:bookmarkEnd w:id="25"/>
      <w:r w:rsidRPr="00CD3E0E">
        <w:rPr>
          <w:rStyle w:val="Forte"/>
          <w:rFonts w:ascii="Verdana" w:eastAsiaTheme="majorEastAsia" w:hAnsi="Verdana"/>
        </w:rPr>
        <w:t xml:space="preserve"> (ART. 92, V e VI DA LEI Nº 14.133, DE 2021)</w:t>
      </w:r>
    </w:p>
    <w:p w14:paraId="19B09254" w14:textId="77777777"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6.1. O prazo para pagamento ao contratado e demais condições a ele referentes encontram-se definidos no Termo de Referência, anexo a este Contrato.</w:t>
      </w:r>
    </w:p>
    <w:p w14:paraId="2B76B3FF" w14:textId="77777777" w:rsidR="002B5BFA" w:rsidRPr="00CD3E0E" w:rsidRDefault="002B5BFA" w:rsidP="00CD3E0E">
      <w:pPr>
        <w:spacing w:line="360" w:lineRule="auto"/>
        <w:rPr>
          <w:rStyle w:val="Forte"/>
          <w:rFonts w:ascii="Verdana" w:eastAsiaTheme="majorEastAsia" w:hAnsi="Verdana" w:cs="Tahoma"/>
          <w:sz w:val="20"/>
          <w:szCs w:val="20"/>
        </w:rPr>
      </w:pPr>
      <w:bookmarkStart w:id="26" w:name="_Toc138359493"/>
      <w:r w:rsidRPr="00CD3E0E">
        <w:rPr>
          <w:rStyle w:val="Ttulo1Char"/>
          <w:rFonts w:ascii="Verdana" w:hAnsi="Verdana"/>
          <w:sz w:val="20"/>
          <w:szCs w:val="20"/>
        </w:rPr>
        <w:t>CLÁUSULA SÉTIMA – DO REAJUSTE</w:t>
      </w:r>
      <w:bookmarkEnd w:id="26"/>
      <w:r w:rsidRPr="00CD3E0E">
        <w:rPr>
          <w:rStyle w:val="Forte"/>
          <w:rFonts w:ascii="Verdana" w:eastAsiaTheme="majorEastAsia" w:hAnsi="Verdana"/>
          <w:sz w:val="20"/>
          <w:szCs w:val="20"/>
        </w:rPr>
        <w:t xml:space="preserve"> (ART. 92, V DA LEI Nº 14.133, DE 2021)</w:t>
      </w:r>
    </w:p>
    <w:p w14:paraId="03E40798" w14:textId="77777777"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7.1. Os preços inicialmente contratados são fixos e irreajustáveis no prazo de um ano contado da data do presente contrato.</w:t>
      </w:r>
    </w:p>
    <w:p w14:paraId="5E041068"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7.2. Após o interregno de 1 (um) ano, e independentemente de pedido do CONTRATADO, os preços iniciais serão reajustados, mediante a aplicação, pelo CONTRATANTE, o índice </w:t>
      </w:r>
      <w:hyperlink r:id="rId13" w:tgtFrame="_blank" w:history="1">
        <w:r w:rsidRPr="00CD3E0E">
          <w:rPr>
            <w:rStyle w:val="Hyperlink"/>
            <w:rFonts w:ascii="Verdana" w:hAnsi="Verdana" w:cs="Arial"/>
            <w:b/>
            <w:bCs/>
            <w:sz w:val="20"/>
            <w:szCs w:val="20"/>
            <w:shd w:val="clear" w:color="auto" w:fill="FFFFFF"/>
          </w:rPr>
          <w:t>IPCA</w:t>
        </w:r>
      </w:hyperlink>
      <w:r w:rsidRPr="00CD3E0E">
        <w:rPr>
          <w:rFonts w:ascii="Verdana" w:hAnsi="Verdana" w:cs="Arial"/>
          <w:color w:val="202020"/>
          <w:sz w:val="20"/>
          <w:szCs w:val="20"/>
          <w:shd w:val="clear" w:color="auto" w:fill="FFFFFF"/>
        </w:rPr>
        <w:t> (Índice Nacional de Preços ao Consumidor Amplo)</w:t>
      </w:r>
      <w:r w:rsidRPr="00CD3E0E">
        <w:rPr>
          <w:rFonts w:ascii="Verdana" w:hAnsi="Verdana" w:cstheme="minorHAnsi"/>
          <w:bCs/>
          <w:sz w:val="20"/>
          <w:szCs w:val="20"/>
        </w:rPr>
        <w:t>, exclusivamente para as obrigações iniciadas e concluídas após a ocorrência da anualidade.</w:t>
      </w:r>
    </w:p>
    <w:p w14:paraId="5CF65CD7"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7.3. Nos reajustes subsequentes ao primeiro, o interregno mínimo de 1 (um) ano será contado a partir dos efeitos financeiros do último reajuste.</w:t>
      </w:r>
    </w:p>
    <w:p w14:paraId="725495F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7.4. No caso de atraso ou não divulgação do(s) índice (s) de reajustamento, o CONTRATANTE pagará ao CONTRATADO a importância calculada pela última variação conhecida, liquidando a diferença correspondente tão logo seja(m) divulgado(s) o(s) índice(s) definitivo(s).</w:t>
      </w:r>
    </w:p>
    <w:p w14:paraId="320B351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7.5. Nas aferições finais, o(s) índice(s) utilizado(s) para reajuste será(ão), </w:t>
      </w:r>
      <w:r w:rsidRPr="00CD3E0E">
        <w:rPr>
          <w:rFonts w:ascii="Verdana" w:hAnsi="Verdana" w:cstheme="minorHAnsi"/>
          <w:bCs/>
          <w:sz w:val="20"/>
          <w:szCs w:val="20"/>
        </w:rPr>
        <w:lastRenderedPageBreak/>
        <w:t>obrigatoriamente, o(s) definitivo(s).</w:t>
      </w:r>
    </w:p>
    <w:p w14:paraId="72FFE0D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7.6. Caso o(s) índice(s) estabelecido(s) para reajustamento venha(m) a ser extinto(s) ou de qualquer forma não possa(m) mais ser utilizado(s), será(ão) adotado(s), em substituição, o(s) que vier(em) a ser determinado(s) pela legislação então em vigor.</w:t>
      </w:r>
    </w:p>
    <w:p w14:paraId="5D623249"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7.7. Na ausência de previsão legal quanto ao índice substituto, as partes elegerão novo índice oficial, para reajustamento do preço do valor remanescente, por meio de termo aditivo.</w:t>
      </w:r>
    </w:p>
    <w:p w14:paraId="1B2FF69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7.8. O reajuste será realizado por apostilamento.</w:t>
      </w:r>
    </w:p>
    <w:p w14:paraId="1EC7BDD5" w14:textId="77777777" w:rsidR="002B5BFA" w:rsidRPr="00CD3E0E" w:rsidRDefault="002B5BFA" w:rsidP="00CD3E0E">
      <w:pPr>
        <w:spacing w:line="360" w:lineRule="auto"/>
        <w:rPr>
          <w:rStyle w:val="Forte"/>
          <w:rFonts w:ascii="Verdana" w:eastAsiaTheme="majorEastAsia" w:hAnsi="Verdana" w:cs="Tahoma"/>
          <w:sz w:val="20"/>
          <w:szCs w:val="20"/>
        </w:rPr>
      </w:pPr>
      <w:bookmarkStart w:id="27" w:name="_Toc138359494"/>
      <w:r w:rsidRPr="00CD3E0E">
        <w:rPr>
          <w:rStyle w:val="Ttulo1Char"/>
          <w:rFonts w:ascii="Verdana" w:hAnsi="Verdana"/>
          <w:sz w:val="20"/>
          <w:szCs w:val="20"/>
        </w:rPr>
        <w:t>CLÁUSULA OITAVA – DAS OBRIGAÇÕES DO CONTRATANTE</w:t>
      </w:r>
      <w:bookmarkEnd w:id="27"/>
      <w:r w:rsidRPr="00CD3E0E">
        <w:rPr>
          <w:rStyle w:val="Forte"/>
          <w:rFonts w:ascii="Verdana" w:eastAsiaTheme="majorEastAsia" w:hAnsi="Verdana"/>
          <w:sz w:val="20"/>
          <w:szCs w:val="20"/>
        </w:rPr>
        <w:t xml:space="preserve"> (ART. 92, X, XI E XIV DA LEI Nº 14.133, DE 2021)</w:t>
      </w:r>
    </w:p>
    <w:p w14:paraId="6FCA477A" w14:textId="77777777"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8.1. São obrigações do CONTRATANTE:</w:t>
      </w:r>
    </w:p>
    <w:p w14:paraId="3E250EE1"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8.1.1. Exigir o cumprimento de todas as obrigações assumidas pelo CONTRATADO, de acordo com o contrato e seus anexos;</w:t>
      </w:r>
    </w:p>
    <w:p w14:paraId="2EB89572"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8.1.2. Receber o objeto no prazo e condições estabelecidas no Termo de Referência;</w:t>
      </w:r>
    </w:p>
    <w:p w14:paraId="7A4A09B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8.1.3. Notificar o CONTRATADO, por escrito, sobre vícios, defeitos ou incorreções verificadas no objeto fornecido, para que seja por ele substituído, reparado ou corrigido, no total ou em parte, às suas expensas;</w:t>
      </w:r>
    </w:p>
    <w:p w14:paraId="05644A8A"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8.1.4. Acompanhar e fiscalizar a execução do contrato e o cumprimento das obrigações pelo CONTRATADO;</w:t>
      </w:r>
    </w:p>
    <w:p w14:paraId="738C507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8.1.5. Efetuar o pagamento ao CONTRATADO do valor correspondente ao fornecimento do objeto, no prazo, forma e condições estabelecidos no presente Contrato e no Termo de Referência;</w:t>
      </w:r>
    </w:p>
    <w:p w14:paraId="68F8F319"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8.1.6. Aplicar ao CONTRATADO as sanções previstas na lei e neste Contrato;</w:t>
      </w:r>
    </w:p>
    <w:p w14:paraId="3192F38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8.1.7. Cientificar o órgão de representação judicial da Advocacia-Geral da União para adoção das medidas cabíveis quando do descumprimento de obrigações pelo CONTRATADO;</w:t>
      </w:r>
    </w:p>
    <w:p w14:paraId="6D965085"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8.1.7.1. Explicitamente emitir decisão sobre todas as solicitações e reclamações relacionadas à execução do presente Termo de Contrato, ressalvados os requerimentos manifestamente impertinentes, meramente protelatórios ou de nenhum interesse para a boa execução do ajuste.</w:t>
      </w:r>
    </w:p>
    <w:p w14:paraId="3A9BF886"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8.1.7.2. A Administração terá o prazo de </w:t>
      </w:r>
      <w:r w:rsidRPr="00CD3E0E">
        <w:rPr>
          <w:rFonts w:ascii="Verdana" w:hAnsi="Verdana" w:cstheme="minorHAnsi"/>
          <w:b/>
          <w:i/>
          <w:iCs/>
          <w:sz w:val="20"/>
          <w:szCs w:val="20"/>
        </w:rPr>
        <w:t>30 (trinta) dias</w:t>
      </w:r>
      <w:r w:rsidRPr="00CD3E0E">
        <w:rPr>
          <w:rFonts w:ascii="Verdana" w:hAnsi="Verdana" w:cstheme="minorHAnsi"/>
          <w:bCs/>
          <w:sz w:val="20"/>
          <w:szCs w:val="20"/>
        </w:rPr>
        <w:t xml:space="preserve">, </w:t>
      </w:r>
      <w:r w:rsidRPr="00CD3E0E">
        <w:rPr>
          <w:rFonts w:ascii="Verdana" w:hAnsi="Verdana"/>
          <w:sz w:val="20"/>
          <w:szCs w:val="20"/>
        </w:rPr>
        <w:t xml:space="preserve">a contar da data do protocolo do requerimento </w:t>
      </w:r>
      <w:r w:rsidRPr="00CD3E0E">
        <w:rPr>
          <w:rFonts w:ascii="Verdana" w:hAnsi="Verdana" w:cstheme="minorHAnsi"/>
          <w:bCs/>
          <w:sz w:val="20"/>
          <w:szCs w:val="20"/>
        </w:rPr>
        <w:t>para decidir, admitida a prorrogação motivada por igual período.</w:t>
      </w:r>
    </w:p>
    <w:p w14:paraId="0C9A106A"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8.1.8. Responder eventuais pedidos de reestabelecimento do equilíbrio econômico-financeiro feitos pelo CONTRATADO no prazo máximo de </w:t>
      </w:r>
      <w:r w:rsidRPr="00CD3E0E">
        <w:rPr>
          <w:rFonts w:ascii="Verdana" w:hAnsi="Verdana" w:cstheme="minorHAnsi"/>
          <w:b/>
          <w:i/>
          <w:iCs/>
          <w:sz w:val="20"/>
          <w:szCs w:val="20"/>
        </w:rPr>
        <w:t>30 (trinta) dias</w:t>
      </w:r>
      <w:r w:rsidRPr="00CD3E0E">
        <w:rPr>
          <w:rFonts w:ascii="Verdana" w:hAnsi="Verdana" w:cstheme="minorHAnsi"/>
          <w:bCs/>
          <w:sz w:val="20"/>
          <w:szCs w:val="20"/>
        </w:rPr>
        <w:t xml:space="preserve">. </w:t>
      </w:r>
    </w:p>
    <w:p w14:paraId="0D745CEC" w14:textId="77777777" w:rsidR="002B5BFA" w:rsidRPr="00CD3E0E" w:rsidRDefault="002B5BFA" w:rsidP="00CD3E0E">
      <w:pPr>
        <w:spacing w:line="360" w:lineRule="auto"/>
        <w:rPr>
          <w:rFonts w:ascii="Verdana" w:hAnsi="Verdana" w:cstheme="minorHAnsi"/>
          <w:sz w:val="20"/>
          <w:szCs w:val="20"/>
        </w:rPr>
      </w:pPr>
      <w:r w:rsidRPr="00CD3E0E">
        <w:rPr>
          <w:rFonts w:ascii="Verdana" w:hAnsi="Verdana" w:cstheme="minorHAnsi"/>
          <w:bCs/>
          <w:sz w:val="20"/>
          <w:szCs w:val="20"/>
        </w:rPr>
        <w:t>8.1.9. Notificar os emitentes das garantias quanto ao início de processo administrativo para apuração de descumprimento de cláusulas contratuais.</w:t>
      </w:r>
    </w:p>
    <w:p w14:paraId="441D75D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8.2. A Administração não responderá por quaisquer compromissos assumidos pelo </w:t>
      </w:r>
      <w:r w:rsidRPr="00CD3E0E">
        <w:rPr>
          <w:rFonts w:ascii="Verdana" w:hAnsi="Verdana" w:cstheme="minorHAnsi"/>
          <w:bCs/>
          <w:sz w:val="20"/>
          <w:szCs w:val="20"/>
        </w:rPr>
        <w:lastRenderedPageBreak/>
        <w:t>CONTRATADO com terceiros, ainda que vinculados à execução do contrato, bem como por qualquer dano causado a terceiros em decorrência de ato do CONTRATADO, de seus empregados, prepostos ou subordinados.</w:t>
      </w:r>
    </w:p>
    <w:p w14:paraId="58C230FC" w14:textId="77777777" w:rsidR="002B5BFA" w:rsidRPr="00CD3E0E" w:rsidRDefault="002B5BFA" w:rsidP="00CD3E0E">
      <w:pPr>
        <w:spacing w:line="360" w:lineRule="auto"/>
        <w:rPr>
          <w:rStyle w:val="Forte"/>
          <w:rFonts w:ascii="Verdana" w:eastAsiaTheme="majorEastAsia" w:hAnsi="Verdana" w:cs="Arial"/>
          <w:sz w:val="20"/>
          <w:szCs w:val="20"/>
        </w:rPr>
      </w:pPr>
      <w:bookmarkStart w:id="28" w:name="_Toc138359495"/>
      <w:r w:rsidRPr="00CD3E0E">
        <w:rPr>
          <w:rStyle w:val="Ttulo1Char"/>
          <w:rFonts w:ascii="Verdana" w:hAnsi="Verdana" w:cs="Arial"/>
          <w:sz w:val="20"/>
          <w:szCs w:val="20"/>
        </w:rPr>
        <w:t>CLÁUSULA NONA – DAS OBRIGAÇÕES DO CONTRATADO</w:t>
      </w:r>
      <w:bookmarkEnd w:id="28"/>
      <w:r w:rsidRPr="00CD3E0E">
        <w:rPr>
          <w:rStyle w:val="Forte"/>
          <w:rFonts w:ascii="Verdana" w:eastAsiaTheme="majorEastAsia" w:hAnsi="Verdana" w:cs="Arial"/>
          <w:sz w:val="20"/>
          <w:szCs w:val="20"/>
        </w:rPr>
        <w:t xml:space="preserve"> (ART. 92, XIV, XVI E XVII DA LEI Nº 14.133, DE 2021)</w:t>
      </w:r>
    </w:p>
    <w:p w14:paraId="2CDE29C9"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61F5CF9F"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 Responsabilizar-se pelos vícios e danos decorrentes do objeto, de acordo com o Código de Defesa do Consumidor</w:t>
      </w:r>
      <w:r w:rsidRPr="00CD3E0E">
        <w:rPr>
          <w:rFonts w:ascii="Verdana" w:hAnsi="Verdana" w:cs="Arial"/>
          <w:b/>
          <w:sz w:val="20"/>
          <w:szCs w:val="20"/>
        </w:rPr>
        <w:t>;</w:t>
      </w:r>
    </w:p>
    <w:p w14:paraId="2E2AEB2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9.1.2. Comunicar ao CONTRATANTE, no prazo máximo de 24 (vinte e quatro) horas que antecede a data da entrega, os motivos que impossibilitem o cumprimento do prazo previsto, com a devida comprovação;</w:t>
      </w:r>
    </w:p>
    <w:p w14:paraId="3F8C9362"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9.1.3. Atender às determinações regulares emitidas pelo fiscal do contrato ou autoridade superior e prestar todo esclarecimento ou informação por eles solicitados (inciso II do art. 137 da Lei nº 14.133, de 2021);</w:t>
      </w:r>
    </w:p>
    <w:p w14:paraId="0EFEEA6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9.1.4. Reparar, corrigir, remover, reconstruir ou substituir, às suas expensas, no total ou em parte, no prazo fixado pelo fiscal do contrato, os bens nos quais se verificarem vícios, defeitos ou incorreções resultantes da execução ou dos materiais empregados;</w:t>
      </w:r>
    </w:p>
    <w:p w14:paraId="64721B32"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88A4175"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 O CONTRATADO deverá entregar ao setor responsável pela fiscalização do contrato, junto com a Nota Fiscal para fins de pagamento, os seguintes documentos:</w:t>
      </w:r>
    </w:p>
    <w:p w14:paraId="3AFDD562"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9.1.6.1. Prova de regularidade relativa à Seguridade Social;</w:t>
      </w:r>
    </w:p>
    <w:p w14:paraId="36EFED1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9.1.6.2. Certidão conjunta relativa aos tributos federais e à Dívida Ativa da União;</w:t>
      </w:r>
    </w:p>
    <w:p w14:paraId="2D665E33"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9.1.6.3. Certidões que comprovem a regularidade perante a Fazenda Estadual ou Distrital do domicílio ou sede do CONTRATADO;</w:t>
      </w:r>
    </w:p>
    <w:p w14:paraId="4B3886C5"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9.1.6.4. Certidão de Regularidade do FGTS (CRF); e</w:t>
      </w:r>
    </w:p>
    <w:p w14:paraId="52970EE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9.1.6.5. Certidão Negativa de Débitos Trabalhistas (CNDT);</w:t>
      </w:r>
    </w:p>
    <w:p w14:paraId="08239DDF"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96C2158"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lastRenderedPageBreak/>
        <w:t>9.1.8. Comunicar ao Fiscal do contrato, no prazo de 24 (vinte e quatro) horas, qualquer ocorrência anormal ou acidente que se verifique no local da execução do objeto contratual.</w:t>
      </w:r>
    </w:p>
    <w:p w14:paraId="244802B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9.1.9. Paralisar, por determinação do CONTRATANTE, qualquer atividade que não esteja sendo executada de acordo com a boa técnica ou que ponha em risco a segurança de pessoas ou bens de terceiros.</w:t>
      </w:r>
    </w:p>
    <w:p w14:paraId="799BEBF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9.1.10. Manter durante toda a vigência do contrato, em compatibilidade com as obrigações assumidas, todas as condições exigidas para habilitação na licitação, ou para qualificação, na licitação;</w:t>
      </w:r>
    </w:p>
    <w:p w14:paraId="6DB8F86A"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9.1.11.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6C1EDA7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9.1.12. Comprovar a reserva de cargos a que se refere a cláusula acima, no prazo fixado pelo fiscal do contrato, com a indicação dos empregados que preencheram as referidas vagas (parágrafo único do art. 116 da Lei nº 14.133, de 2021);</w:t>
      </w:r>
    </w:p>
    <w:p w14:paraId="76B0E17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9.1.13. Guardar sigilo sobre todas as informações obtidas em decorrência do cumprimento do contrato;</w:t>
      </w:r>
    </w:p>
    <w:p w14:paraId="7AC6C6B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9.1.14. </w:t>
      </w:r>
      <w:r w:rsidRPr="00CD3E0E">
        <w:rPr>
          <w:rFonts w:ascii="Verdana" w:hAnsi="Verdana" w:cs="Arial"/>
          <w:color w:val="000000"/>
          <w:sz w:val="20"/>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na alínea d, do inciso II, do art. 124 da Lei nº 14.133, de 2021.</w:t>
      </w:r>
    </w:p>
    <w:p w14:paraId="36C2E3C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w:t>
      </w:r>
      <w:r w:rsidRPr="00CD3E0E">
        <w:rPr>
          <w:rFonts w:ascii="Verdana" w:hAnsi="Verdana" w:cs="Arial"/>
          <w:sz w:val="20"/>
          <w:szCs w:val="20"/>
        </w:rPr>
        <w:t>15</w:t>
      </w:r>
      <w:r w:rsidRPr="00CD3E0E">
        <w:rPr>
          <w:rFonts w:ascii="Verdana" w:hAnsi="Verdana" w:cs="Arial"/>
          <w:bCs/>
          <w:sz w:val="20"/>
          <w:szCs w:val="20"/>
        </w:rPr>
        <w:t>. Cumprir, além dos postulados legais vigentes de âmbito federal, estadual ou municipal, as normas de segurança do CONTRATANTE;</w:t>
      </w:r>
    </w:p>
    <w:p w14:paraId="6DAA10A7"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9.1.16. Apresentar ficha técnica do produto, ou laudo técnico, ou certificação ou outro documento que venha a ser solicitado pelo CONTRATANTE para comprovação do atendimento às especificações técnicas contidas no Termo de Referência.</w:t>
      </w:r>
    </w:p>
    <w:p w14:paraId="304DC71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sz w:val="20"/>
          <w:szCs w:val="20"/>
        </w:rPr>
        <w:t>9.1.17. Submeter previamente, por escrito, ao CONTRATANTE, para análise e aprovação, quaisquer mudanças nos métodos executivos que fujam às especificações do Termo de Referência e demais documentos da contratação.</w:t>
      </w:r>
    </w:p>
    <w:p w14:paraId="32DA75F9" w14:textId="77777777" w:rsidR="002B5BFA" w:rsidRPr="00CD3E0E" w:rsidRDefault="002B5BFA" w:rsidP="00CD3E0E">
      <w:pPr>
        <w:spacing w:line="360" w:lineRule="auto"/>
        <w:rPr>
          <w:rStyle w:val="Forte"/>
          <w:rFonts w:ascii="Verdana" w:eastAsiaTheme="majorEastAsia" w:hAnsi="Verdana" w:cs="Tahoma"/>
          <w:color w:val="156082" w:themeColor="accent1"/>
          <w:sz w:val="20"/>
          <w:szCs w:val="20"/>
        </w:rPr>
      </w:pPr>
      <w:bookmarkStart w:id="29" w:name="_Toc138359496"/>
      <w:r w:rsidRPr="00CD3E0E">
        <w:rPr>
          <w:rStyle w:val="Ttulo1Char"/>
          <w:rFonts w:ascii="Verdana" w:hAnsi="Verdana"/>
          <w:color w:val="156082" w:themeColor="accent1"/>
          <w:sz w:val="20"/>
          <w:szCs w:val="20"/>
        </w:rPr>
        <w:t>CLÁUSULA DÉCIMA – DA GARANTIA DE EXECUÇÃO</w:t>
      </w:r>
      <w:bookmarkEnd w:id="29"/>
      <w:r w:rsidRPr="00CD3E0E">
        <w:rPr>
          <w:rStyle w:val="Forte"/>
          <w:rFonts w:ascii="Verdana" w:eastAsiaTheme="majorEastAsia" w:hAnsi="Verdana"/>
          <w:color w:val="156082" w:themeColor="accent1"/>
          <w:sz w:val="20"/>
          <w:szCs w:val="20"/>
        </w:rPr>
        <w:t xml:space="preserve"> (ART. 92, XII E XIII DA LEI Nº 14.133, DE 2021)</w:t>
      </w:r>
    </w:p>
    <w:p w14:paraId="01EC9E0A" w14:textId="77777777"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 xml:space="preserve">10.1. A contratação conta com garantia de execução, nos termos do art. 96 da Lei nº 14.133, de 2021, em valor correspondente a </w:t>
      </w:r>
      <w:r w:rsidRPr="00CD3E0E">
        <w:rPr>
          <w:rFonts w:ascii="Verdana" w:eastAsia="Arial Unicode MS" w:hAnsi="Verdana" w:cstheme="minorHAnsi"/>
          <w:b/>
          <w:i/>
          <w:sz w:val="20"/>
          <w:szCs w:val="20"/>
        </w:rPr>
        <w:t>5% (cinco por cento)</w:t>
      </w:r>
      <w:r w:rsidRPr="00CD3E0E">
        <w:rPr>
          <w:rFonts w:ascii="Verdana" w:hAnsi="Verdana" w:cstheme="minorHAnsi"/>
          <w:bCs/>
          <w:sz w:val="20"/>
          <w:szCs w:val="20"/>
        </w:rPr>
        <w:t xml:space="preserve"> do valor total do contrato.</w:t>
      </w:r>
    </w:p>
    <w:p w14:paraId="6D778B2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lastRenderedPageBreak/>
        <w:t xml:space="preserve">10.2. Caso seja utilizada a modalidade de seguro-garantia, a apólice deverá ter validade durante a execução do contrato e por </w:t>
      </w:r>
      <w:r w:rsidRPr="00CD3E0E">
        <w:rPr>
          <w:rFonts w:ascii="Verdana" w:eastAsia="Arial Unicode MS" w:hAnsi="Verdana" w:cs="Arial"/>
          <w:b/>
          <w:i/>
          <w:sz w:val="20"/>
          <w:szCs w:val="20"/>
        </w:rPr>
        <w:t>30</w:t>
      </w:r>
      <w:r w:rsidRPr="00CD3E0E">
        <w:rPr>
          <w:rFonts w:ascii="Verdana" w:hAnsi="Verdana" w:cs="Arial"/>
          <w:bCs/>
          <w:sz w:val="20"/>
          <w:szCs w:val="20"/>
        </w:rPr>
        <w:t xml:space="preserve"> dias após o término da vigência contratual, e permanecerá em vigor mesmo que o CONTRATADO não pague o prêmio nas datas convencionadas.</w:t>
      </w:r>
    </w:p>
    <w:p w14:paraId="1E22F0E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10.3. A apólice do seguro garantia deverá acompanhar as modificações referentes à vigência do contrato principal mediante a emissão do respectivo endosso pela seguradora.</w:t>
      </w:r>
    </w:p>
    <w:p w14:paraId="3D80972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10.4. Será permitida a substituição da apólice de seguro-garantia na data de renovação ou de aniversário, desde que mantidas as condições e coberturas da apólice vigente e nenhum período fique descoberto</w:t>
      </w:r>
      <w:r w:rsidRPr="00CD3E0E">
        <w:rPr>
          <w:rFonts w:ascii="Verdana" w:hAnsi="Verdana" w:cs="Arial"/>
          <w:sz w:val="20"/>
          <w:szCs w:val="20"/>
        </w:rPr>
        <w:t xml:space="preserve"> </w:t>
      </w:r>
      <w:r w:rsidRPr="00CD3E0E">
        <w:rPr>
          <w:rFonts w:ascii="Verdana" w:hAnsi="Verdana" w:cs="Arial"/>
          <w:bCs/>
          <w:sz w:val="20"/>
          <w:szCs w:val="20"/>
        </w:rPr>
        <w:t>ressalvado o disposto no item 10.6 deste contrato.</w:t>
      </w:r>
    </w:p>
    <w:p w14:paraId="09326BD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10.5. Na hipótese de suspensão do contrato por ordem ou inadimplemento da Administração, o CONTRATADO ficará desobrigada de renovar a garantia ou de endossar a apólice de seguro até a ordem de reinício da execução ou o adimplemento pela Administração.</w:t>
      </w:r>
    </w:p>
    <w:p w14:paraId="6E60AA7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10.6. A garantia assegurará, qualquer que seja a modalidade escolhida, o pagamento de:</w:t>
      </w:r>
    </w:p>
    <w:p w14:paraId="0D788561"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10.6.1. Prejuízos advindos do não cumprimento do objeto do contrato e do não adimplemento das demais obrigações nele previstas;</w:t>
      </w:r>
    </w:p>
    <w:p w14:paraId="63A18E2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10.6.2. Multas moratórias e punitivas aplicadas pela Administração ao CONTRATADO; e</w:t>
      </w:r>
    </w:p>
    <w:p w14:paraId="47D7B66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10.6.3. Obrigações trabalhistas e previdenciárias de qualquer natureza e para com o FGTS, não adimplidas pelo CONTRATADO, quando couber.</w:t>
      </w:r>
    </w:p>
    <w:p w14:paraId="397C67E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10.7. A modalidade seguro-garantia somente será aceita se contemplar todos os eventos indicados no item 10.6, observada a legislação que rege a matéria.</w:t>
      </w:r>
    </w:p>
    <w:p w14:paraId="74AAD963"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10.8. A garantia em dinheiro deverá ser efetuada em favor do CONTRATANTE, em conta específica na Caixa Econômica Federal, com correção monetária (inciso IV do art. 1º do Decreto-Lei nº 1.737, de 1979).</w:t>
      </w:r>
    </w:p>
    <w:p w14:paraId="5962AE5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10.9.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Fazenda.</w:t>
      </w:r>
    </w:p>
    <w:p w14:paraId="39C61CF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10.10. 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0050EFE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10.11. No caso de alteração do valor do contrato, ou prorrogação de sua vigência, a garantia deverá ser ajustada à nova situação ou renovada, seguindo os mesmos parâmetros utilizados quando da contratação.</w:t>
      </w:r>
    </w:p>
    <w:p w14:paraId="3C10BDD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10.12. Se o valor da garantia for utilizado total ou parcialmente em pagamento de </w:t>
      </w:r>
      <w:r w:rsidRPr="00CD3E0E">
        <w:rPr>
          <w:rFonts w:ascii="Verdana" w:hAnsi="Verdana" w:cs="Arial"/>
          <w:bCs/>
          <w:sz w:val="20"/>
          <w:szCs w:val="20"/>
        </w:rPr>
        <w:lastRenderedPageBreak/>
        <w:t xml:space="preserve">qualquer obrigação, o CONTRATADO obriga-se a fazer a respectiva reposição no prazo máximo de </w:t>
      </w:r>
      <w:r w:rsidRPr="00CD3E0E">
        <w:rPr>
          <w:rFonts w:ascii="Verdana" w:hAnsi="Verdana" w:cs="Arial"/>
          <w:b/>
          <w:i/>
          <w:iCs/>
          <w:sz w:val="20"/>
          <w:szCs w:val="20"/>
        </w:rPr>
        <w:t xml:space="preserve">05 </w:t>
      </w:r>
      <w:r w:rsidRPr="00CD3E0E">
        <w:rPr>
          <w:rFonts w:ascii="Verdana" w:hAnsi="Verdana" w:cs="Arial"/>
          <w:bCs/>
          <w:i/>
          <w:iCs/>
          <w:sz w:val="20"/>
          <w:szCs w:val="20"/>
        </w:rPr>
        <w:t>(cinco)</w:t>
      </w:r>
      <w:r w:rsidRPr="00CD3E0E">
        <w:rPr>
          <w:rFonts w:ascii="Verdana" w:hAnsi="Verdana" w:cs="Arial"/>
          <w:bCs/>
          <w:sz w:val="20"/>
          <w:szCs w:val="20"/>
        </w:rPr>
        <w:t xml:space="preserve"> dias úteis, contados da data em que for notificada.</w:t>
      </w:r>
    </w:p>
    <w:p w14:paraId="694FFF81"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10.13. O CONTRATANTE executará a garantia na forma prevista na legislação que rege a matéria.</w:t>
      </w:r>
    </w:p>
    <w:p w14:paraId="3D09DFA4"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10.13.1. O emitente da garantia ofertada pelo contratado deverá ser notificado pelo contratante quanto ao início de processo administrativo para apuração de descumprimento de cláusulas contratuais (§4º do art. 137 da Lei nº 14.133, de 2021).</w:t>
      </w:r>
    </w:p>
    <w:p w14:paraId="3ED56002"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10.13.2.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1AD106DE"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10.14. Extinguir-se-á a garantia com a restituição da apólice, carta fiança ou autorização para liberação de importâncias depositadas em dinheiro a título de garantia, acompanhada de declaração do CONTRATANTE, mediante termo circunstanciado, de que o CONTRATADO cumpriu todas as cláusulas do contrato;</w:t>
      </w:r>
    </w:p>
    <w:p w14:paraId="600139D4"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10.15. O garantidor não é parte para figurar em processo administrativo instaurado pelo CONTRATANTE com o objetivo de apurar prejuízos e/ou aplicar sanções ao CONTRATADO.</w:t>
      </w:r>
    </w:p>
    <w:p w14:paraId="2A14694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10.16. O CONTRATADO autoriza o CONTRATANTE a reter, a qualquer tempo, a garantia, na forma prevista no Edital e neste Contrato.</w:t>
      </w:r>
    </w:p>
    <w:p w14:paraId="6C17E53E" w14:textId="77777777" w:rsidR="002B5BFA" w:rsidRPr="00CD3E0E" w:rsidRDefault="002B5BFA" w:rsidP="00CD3E0E">
      <w:pPr>
        <w:pStyle w:val="Nvel3-R"/>
        <w:numPr>
          <w:ilvl w:val="0"/>
          <w:numId w:val="0"/>
        </w:numPr>
        <w:spacing w:before="0" w:after="0" w:line="360" w:lineRule="auto"/>
        <w:rPr>
          <w:rFonts w:ascii="Verdana" w:hAnsi="Verdana"/>
          <w:i w:val="0"/>
          <w:iCs w:val="0"/>
          <w:color w:val="auto"/>
        </w:rPr>
      </w:pPr>
      <w:r w:rsidRPr="00CD3E0E">
        <w:rPr>
          <w:rFonts w:ascii="Verdana" w:hAnsi="Verdana"/>
          <w:i w:val="0"/>
          <w:iCs w:val="0"/>
          <w:color w:val="auto"/>
        </w:rPr>
        <w:t>10.17. Além da garantia de que tratam os arts. 96 e seguintes da Lei nº 14.133, de 2021, a presente contratação possui previsão de garantia contratual do bem a ser fornecido, incluindo manutenção e assistência técnica, conforme condições estabelecidas no Termo de Referência.</w:t>
      </w:r>
    </w:p>
    <w:p w14:paraId="6BC25F8D" w14:textId="77777777" w:rsidR="002B5BFA" w:rsidRPr="00CD3E0E" w:rsidRDefault="002B5BFA" w:rsidP="00CD3E0E">
      <w:pPr>
        <w:pStyle w:val="Nvel3-R"/>
        <w:numPr>
          <w:ilvl w:val="0"/>
          <w:numId w:val="0"/>
        </w:numPr>
        <w:spacing w:before="0" w:after="0" w:line="360" w:lineRule="auto"/>
        <w:rPr>
          <w:rFonts w:ascii="Verdana" w:hAnsi="Verdana"/>
          <w:i w:val="0"/>
          <w:iCs w:val="0"/>
          <w:color w:val="auto"/>
        </w:rPr>
      </w:pPr>
      <w:r w:rsidRPr="00CD3E0E">
        <w:rPr>
          <w:rFonts w:ascii="Verdana" w:hAnsi="Verdana"/>
          <w:i w:val="0"/>
          <w:iCs w:val="0"/>
          <w:color w:val="auto"/>
        </w:rPr>
        <w:t>10.18. A garantia de execução é independente de eventual garantia do produto prevista especificamente no Termo de Referência.</w:t>
      </w:r>
    </w:p>
    <w:p w14:paraId="1AD890F2" w14:textId="77777777" w:rsidR="002B5BFA" w:rsidRPr="00CD3E0E" w:rsidRDefault="002B5BFA" w:rsidP="00CD3E0E">
      <w:pPr>
        <w:spacing w:line="360" w:lineRule="auto"/>
        <w:rPr>
          <w:rStyle w:val="Forte"/>
          <w:rFonts w:ascii="Verdana" w:eastAsiaTheme="majorEastAsia" w:hAnsi="Verdana"/>
          <w:sz w:val="20"/>
          <w:szCs w:val="20"/>
        </w:rPr>
      </w:pPr>
      <w:bookmarkStart w:id="30" w:name="_Toc138359497"/>
      <w:r w:rsidRPr="00CD3E0E">
        <w:rPr>
          <w:rStyle w:val="Ttulo1Char"/>
          <w:rFonts w:ascii="Verdana" w:hAnsi="Verdana"/>
          <w:sz w:val="20"/>
          <w:szCs w:val="20"/>
        </w:rPr>
        <w:t>CLÁUSULA DÉCIMA PRIMEIRA – DAS INFRAÇÕES E DAS SANÇÕES ADMINISTRATIVAS</w:t>
      </w:r>
      <w:bookmarkEnd w:id="30"/>
      <w:r w:rsidRPr="00CD3E0E">
        <w:rPr>
          <w:rStyle w:val="Forte"/>
          <w:rFonts w:ascii="Verdana" w:eastAsiaTheme="majorEastAsia" w:hAnsi="Verdana"/>
          <w:sz w:val="20"/>
          <w:szCs w:val="20"/>
        </w:rPr>
        <w:t xml:space="preserve"> (ART. 92, XIV DA LEI Nº 14.133, DE 2021)</w:t>
      </w:r>
    </w:p>
    <w:p w14:paraId="013D5CF9" w14:textId="77777777"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11.1. Comete infração administrativa o licitante que praticar quaisquer das hipóteses previstas no art. 155 da Lei nº 14.133, de 2021, quais sejam:</w:t>
      </w:r>
    </w:p>
    <w:p w14:paraId="2A2473C1"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11.1.1. Der causa à inexecução parcial do contrato;</w:t>
      </w:r>
    </w:p>
    <w:p w14:paraId="53798EE7"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11.1.2. Der causa à inexecução parcial do contrato que cause grave dano à Administração ou ao funcionamento dos serviços públicos ou ao interesse coletivo;</w:t>
      </w:r>
    </w:p>
    <w:p w14:paraId="796C067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11.1.3. Der causa à inexecução total do contrato;</w:t>
      </w:r>
    </w:p>
    <w:p w14:paraId="404059C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11.1.4. Ensejar o retardamento da execução ou da entrega do objeto da contratação sem motivo justificado;</w:t>
      </w:r>
    </w:p>
    <w:p w14:paraId="7FC1AFD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lastRenderedPageBreak/>
        <w:t>11.1.5. Apresentar declaração ou documentação falsa exigida para o certame ou prestar declaração falsa durante a licitação ou execução do contrato;</w:t>
      </w:r>
    </w:p>
    <w:p w14:paraId="4484996F"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11.1.6. Praticar ato fraudulento na execução do contrato;</w:t>
      </w:r>
    </w:p>
    <w:p w14:paraId="2DFF2399"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11.1.7. Comportar-se de modo inidôneo ou cometer fraude de qualquer natureza;</w:t>
      </w:r>
    </w:p>
    <w:p w14:paraId="30056A1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11.1.8. Praticar ato lesivo previsto no art. 5º da Lei nº 12.846, de 1º de agosto de 2013.</w:t>
      </w:r>
    </w:p>
    <w:p w14:paraId="5AC4C9F4"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11.2. Serão aplicadas ao responsável pelas infrações administrativas acima descritas as seguintes sanções:</w:t>
      </w:r>
    </w:p>
    <w:p w14:paraId="4A84734D"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11.2.1. </w:t>
      </w:r>
      <w:r w:rsidRPr="00CD3E0E">
        <w:rPr>
          <w:rFonts w:ascii="Verdana" w:hAnsi="Verdana" w:cstheme="minorHAnsi"/>
          <w:b/>
          <w:sz w:val="20"/>
          <w:szCs w:val="20"/>
        </w:rPr>
        <w:t>Advertência</w:t>
      </w:r>
      <w:r w:rsidRPr="00CD3E0E">
        <w:rPr>
          <w:rFonts w:ascii="Verdana" w:hAnsi="Verdana" w:cstheme="minorHAnsi"/>
          <w:bCs/>
          <w:sz w:val="20"/>
          <w:szCs w:val="20"/>
        </w:rPr>
        <w:t>, quando o CONTRATADO der causa à inexecução parcial do contrato, sempre que não se justificar a imposição de penalidade mais grave (§2º do art. 156 da Lei nº 14.133, de 2021);</w:t>
      </w:r>
    </w:p>
    <w:p w14:paraId="56482CC2"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11.2.2. </w:t>
      </w:r>
      <w:r w:rsidRPr="00CD3E0E">
        <w:rPr>
          <w:rFonts w:ascii="Verdana" w:hAnsi="Verdana" w:cstheme="minorHAnsi"/>
          <w:b/>
          <w:sz w:val="20"/>
          <w:szCs w:val="20"/>
        </w:rPr>
        <w:t>Impedimento de licitar e contratar</w:t>
      </w:r>
      <w:r w:rsidRPr="00CD3E0E">
        <w:rPr>
          <w:rFonts w:ascii="Verdana" w:hAnsi="Verdana" w:cstheme="minorHAnsi"/>
          <w:bCs/>
          <w:sz w:val="20"/>
          <w:szCs w:val="20"/>
        </w:rPr>
        <w:t xml:space="preserve">, quando praticadas as condutas descritas </w:t>
      </w:r>
      <w:r w:rsidRPr="00CD3E0E">
        <w:rPr>
          <w:rFonts w:ascii="Verdana" w:hAnsi="Verdana"/>
          <w:sz w:val="20"/>
          <w:szCs w:val="20"/>
        </w:rPr>
        <w:t xml:space="preserve">nos subitens 11.1.2, 11.1.3. e 11.1.4 </w:t>
      </w:r>
      <w:r w:rsidRPr="00CD3E0E">
        <w:rPr>
          <w:rFonts w:ascii="Verdana" w:hAnsi="Verdana" w:cstheme="minorHAnsi"/>
          <w:bCs/>
          <w:sz w:val="20"/>
          <w:szCs w:val="20"/>
        </w:rPr>
        <w:t>deste Termo de Contrato, sempre que não se justificar a imposição de penalidade mais grave (§4º do art. 156 da Lei nº 14.133, de 2021);</w:t>
      </w:r>
    </w:p>
    <w:p w14:paraId="29E9FBE0"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11.2.3. </w:t>
      </w:r>
      <w:r w:rsidRPr="00CD3E0E">
        <w:rPr>
          <w:rFonts w:ascii="Verdana" w:hAnsi="Verdana" w:cstheme="minorHAnsi"/>
          <w:b/>
          <w:sz w:val="20"/>
          <w:szCs w:val="20"/>
        </w:rPr>
        <w:t>Declaração de inidoneidade para licitar ou contratar</w:t>
      </w:r>
      <w:r w:rsidRPr="00CD3E0E">
        <w:rPr>
          <w:rFonts w:ascii="Verdana" w:hAnsi="Verdana" w:cstheme="minorHAnsi"/>
          <w:bCs/>
          <w:sz w:val="20"/>
          <w:szCs w:val="20"/>
        </w:rPr>
        <w:t xml:space="preserve">, que impedirá o responsável de licitar ou contratar no âmbito da Administração Pública direta e indireta de todos os entes federativos, pelo prazo mínimo de 3 (três) anos e máximo de 6 (seis) anos, </w:t>
      </w:r>
      <w:r w:rsidRPr="00CD3E0E">
        <w:rPr>
          <w:rFonts w:ascii="Verdana" w:hAnsi="Verdana"/>
          <w:sz w:val="20"/>
          <w:szCs w:val="20"/>
        </w:rPr>
        <w:t>os casos dos subitens 11.1.5. a 11.1.8</w:t>
      </w:r>
      <w:r w:rsidRPr="00CD3E0E">
        <w:rPr>
          <w:rFonts w:ascii="Verdana" w:hAnsi="Verdana" w:cstheme="minorHAnsi"/>
          <w:bCs/>
          <w:sz w:val="20"/>
          <w:szCs w:val="20"/>
        </w:rPr>
        <w:t>, bem como nos demais casos que justifiquem a imposição da penalidade mais grave (§5º do art. 156 da Lei nº 14.133, de 2021).</w:t>
      </w:r>
    </w:p>
    <w:p w14:paraId="10707B59"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11.2.4. </w:t>
      </w:r>
      <w:r w:rsidRPr="00CD3E0E">
        <w:rPr>
          <w:rFonts w:ascii="Verdana" w:hAnsi="Verdana" w:cstheme="minorHAnsi"/>
          <w:b/>
          <w:sz w:val="20"/>
          <w:szCs w:val="20"/>
        </w:rPr>
        <w:t>Multa:</w:t>
      </w:r>
    </w:p>
    <w:p w14:paraId="4638B6EF"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11.2.4.1. Moratória de </w:t>
      </w:r>
      <w:r w:rsidRPr="00CD3E0E">
        <w:rPr>
          <w:rFonts w:ascii="Verdana" w:hAnsi="Verdana" w:cstheme="minorHAnsi"/>
          <w:b/>
          <w:i/>
          <w:iCs/>
          <w:sz w:val="20"/>
          <w:szCs w:val="20"/>
        </w:rPr>
        <w:t>10% (dez por cento)</w:t>
      </w:r>
      <w:r w:rsidRPr="00CD3E0E">
        <w:rPr>
          <w:rFonts w:ascii="Verdana" w:hAnsi="Verdana" w:cstheme="minorHAnsi"/>
          <w:bCs/>
          <w:sz w:val="20"/>
          <w:szCs w:val="20"/>
        </w:rPr>
        <w:t xml:space="preserve"> por dia de atraso injustificado sobre o valor total do contrato, até o máximo de </w:t>
      </w:r>
      <w:r w:rsidRPr="00CD3E0E">
        <w:rPr>
          <w:rFonts w:ascii="Verdana" w:hAnsi="Verdana" w:cstheme="minorHAnsi"/>
          <w:b/>
          <w:i/>
          <w:iCs/>
          <w:sz w:val="20"/>
          <w:szCs w:val="20"/>
        </w:rPr>
        <w:t>30% (trinta por cento)</w:t>
      </w:r>
      <w:r w:rsidRPr="00CD3E0E">
        <w:rPr>
          <w:rFonts w:ascii="Verdana" w:hAnsi="Verdana" w:cstheme="minorHAnsi"/>
          <w:bCs/>
          <w:sz w:val="20"/>
          <w:szCs w:val="20"/>
        </w:rPr>
        <w:t xml:space="preserve"> pela inobservância do prazo fixado para apresentação, suplementação ou reposição da garantia.</w:t>
      </w:r>
    </w:p>
    <w:p w14:paraId="08CED21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11.2.4.1.1. O atraso superior a </w:t>
      </w:r>
      <w:r w:rsidRPr="00CD3E0E">
        <w:rPr>
          <w:rFonts w:ascii="Verdana" w:hAnsi="Verdana" w:cstheme="minorHAnsi"/>
          <w:b/>
          <w:i/>
          <w:iCs/>
          <w:sz w:val="20"/>
          <w:szCs w:val="20"/>
        </w:rPr>
        <w:t>08 (oito)</w:t>
      </w:r>
      <w:r w:rsidRPr="00CD3E0E">
        <w:rPr>
          <w:rFonts w:ascii="Verdana" w:hAnsi="Verdana" w:cstheme="minorHAnsi"/>
          <w:bCs/>
          <w:sz w:val="20"/>
          <w:szCs w:val="20"/>
        </w:rPr>
        <w:t xml:space="preserve"> dias autoriza a Administração a promover a rescisão do contrato por descumprimento ou cumprimento irregular de suas cláusulas, conforme dispõe o inciso I do art. 137 da Lei nº 14.133, de 2021.</w:t>
      </w:r>
    </w:p>
    <w:p w14:paraId="015F2324"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11.2.4.2. Compensatória de </w:t>
      </w:r>
      <w:r w:rsidRPr="00CD3E0E">
        <w:rPr>
          <w:rFonts w:ascii="Verdana" w:hAnsi="Verdana" w:cstheme="minorHAnsi"/>
          <w:b/>
          <w:i/>
          <w:iCs/>
          <w:sz w:val="20"/>
          <w:szCs w:val="20"/>
        </w:rPr>
        <w:t xml:space="preserve">10% (dez por cento) a 30% (vinte por cento) </w:t>
      </w:r>
      <w:r w:rsidRPr="00CD3E0E">
        <w:rPr>
          <w:rFonts w:ascii="Verdana" w:hAnsi="Verdana" w:cstheme="minorHAnsi"/>
          <w:bCs/>
          <w:sz w:val="20"/>
          <w:szCs w:val="20"/>
        </w:rPr>
        <w:t>sobre o valor total do contrato, para as infrações descritas nos subitens 11.1.5. a 11.1.8.</w:t>
      </w:r>
    </w:p>
    <w:p w14:paraId="39D3BA93" w14:textId="77777777" w:rsidR="002B5BFA" w:rsidRPr="00CD3E0E" w:rsidRDefault="002B5BFA" w:rsidP="00CD3E0E">
      <w:pPr>
        <w:pStyle w:val="PargrafodaLista"/>
        <w:suppressAutoHyphens/>
        <w:spacing w:line="360" w:lineRule="auto"/>
        <w:ind w:left="0"/>
        <w:rPr>
          <w:rFonts w:ascii="Verdana" w:eastAsia="Arial" w:hAnsi="Verdana" w:cstheme="minorHAnsi"/>
          <w:sz w:val="20"/>
          <w:szCs w:val="20"/>
          <w:highlight w:val="yellow"/>
        </w:rPr>
      </w:pPr>
      <w:r w:rsidRPr="00CD3E0E">
        <w:rPr>
          <w:rFonts w:ascii="Verdana" w:hAnsi="Verdana" w:cstheme="minorHAnsi"/>
          <w:bCs/>
          <w:sz w:val="20"/>
          <w:szCs w:val="20"/>
        </w:rPr>
        <w:t xml:space="preserve">11.2.4.3. </w:t>
      </w:r>
      <w:r w:rsidRPr="00CD3E0E">
        <w:rPr>
          <w:rFonts w:ascii="Verdana" w:eastAsia="Arial" w:hAnsi="Verdana" w:cstheme="minorHAnsi"/>
          <w:sz w:val="20"/>
          <w:szCs w:val="20"/>
        </w:rPr>
        <w:t xml:space="preserve">Compensatória, para a inexecução total do contrato prevista no subitem 11.1.3, de </w:t>
      </w:r>
      <w:r w:rsidRPr="00CD3E0E">
        <w:rPr>
          <w:rFonts w:ascii="Verdana" w:hAnsi="Verdana" w:cstheme="minorHAnsi"/>
          <w:b/>
          <w:i/>
          <w:iCs/>
          <w:sz w:val="20"/>
          <w:szCs w:val="20"/>
        </w:rPr>
        <w:t xml:space="preserve">10% (dez por cento) a 30% (vinte por cento) </w:t>
      </w:r>
      <w:r w:rsidRPr="00CD3E0E">
        <w:rPr>
          <w:rFonts w:ascii="Verdana" w:eastAsia="Arial" w:hAnsi="Verdana" w:cstheme="minorHAnsi"/>
          <w:sz w:val="20"/>
          <w:szCs w:val="20"/>
        </w:rPr>
        <w:t xml:space="preserve">do valor do Contrato. </w:t>
      </w:r>
    </w:p>
    <w:p w14:paraId="0AA97079" w14:textId="77777777" w:rsidR="002B5BFA" w:rsidRPr="00CD3E0E" w:rsidRDefault="002B5BFA" w:rsidP="00CD3E0E">
      <w:pPr>
        <w:pStyle w:val="PargrafodaLista"/>
        <w:suppressAutoHyphens/>
        <w:spacing w:line="360" w:lineRule="auto"/>
        <w:ind w:left="0"/>
        <w:rPr>
          <w:rFonts w:ascii="Verdana" w:eastAsia="Arial" w:hAnsi="Verdana" w:cstheme="minorHAnsi"/>
          <w:sz w:val="20"/>
          <w:szCs w:val="20"/>
        </w:rPr>
      </w:pPr>
      <w:r w:rsidRPr="00CD3E0E">
        <w:rPr>
          <w:rFonts w:ascii="Verdana" w:eastAsia="Arial" w:hAnsi="Verdana" w:cstheme="minorHAnsi"/>
          <w:sz w:val="20"/>
          <w:szCs w:val="20"/>
        </w:rPr>
        <w:t xml:space="preserve">11.2.4.4. Para infração descrita no subitem 11.1.2, a multa será de </w:t>
      </w:r>
      <w:r w:rsidRPr="00CD3E0E">
        <w:rPr>
          <w:rFonts w:ascii="Verdana" w:hAnsi="Verdana" w:cstheme="minorHAnsi"/>
          <w:b/>
          <w:i/>
          <w:iCs/>
          <w:sz w:val="20"/>
          <w:szCs w:val="20"/>
        </w:rPr>
        <w:t>10% (dez por cento) a 30% (vinte por cento)</w:t>
      </w:r>
      <w:r w:rsidRPr="00CD3E0E">
        <w:rPr>
          <w:rFonts w:ascii="Verdana" w:eastAsia="Arial" w:hAnsi="Verdana" w:cstheme="minorHAnsi"/>
          <w:sz w:val="20"/>
          <w:szCs w:val="20"/>
        </w:rPr>
        <w:t xml:space="preserve"> do valor do Contrato.</w:t>
      </w:r>
    </w:p>
    <w:p w14:paraId="214C9372" w14:textId="77777777" w:rsidR="002B5BFA" w:rsidRPr="00CD3E0E" w:rsidRDefault="002B5BFA" w:rsidP="00CD3E0E">
      <w:pPr>
        <w:pStyle w:val="PargrafodaLista"/>
        <w:suppressAutoHyphens/>
        <w:spacing w:line="360" w:lineRule="auto"/>
        <w:ind w:left="0"/>
        <w:rPr>
          <w:rFonts w:ascii="Verdana" w:eastAsia="Arial" w:hAnsi="Verdana" w:cstheme="minorHAnsi"/>
          <w:sz w:val="20"/>
          <w:szCs w:val="20"/>
        </w:rPr>
      </w:pPr>
      <w:r w:rsidRPr="00CD3E0E">
        <w:rPr>
          <w:rFonts w:ascii="Verdana" w:eastAsia="Arial" w:hAnsi="Verdana" w:cstheme="minorHAnsi"/>
          <w:sz w:val="20"/>
          <w:szCs w:val="20"/>
        </w:rPr>
        <w:t xml:space="preserve">11.2.4.5. Para infrações descritas no subitem 11.1.4, a multa será de </w:t>
      </w:r>
      <w:r w:rsidRPr="00CD3E0E">
        <w:rPr>
          <w:rFonts w:ascii="Verdana" w:hAnsi="Verdana" w:cstheme="minorHAnsi"/>
          <w:b/>
          <w:i/>
          <w:iCs/>
          <w:sz w:val="20"/>
          <w:szCs w:val="20"/>
        </w:rPr>
        <w:t>10% (dez por cento) a 30% (vinte por cento)</w:t>
      </w:r>
      <w:r w:rsidRPr="00CD3E0E">
        <w:rPr>
          <w:rFonts w:ascii="Verdana" w:eastAsia="Arial" w:hAnsi="Verdana" w:cstheme="minorHAnsi"/>
          <w:sz w:val="20"/>
          <w:szCs w:val="20"/>
        </w:rPr>
        <w:t xml:space="preserve"> do valor do Contrato.</w:t>
      </w:r>
    </w:p>
    <w:p w14:paraId="11C14CD1" w14:textId="77777777" w:rsidR="002B5BFA" w:rsidRPr="00CD3E0E" w:rsidRDefault="002B5BFA" w:rsidP="00CD3E0E">
      <w:pPr>
        <w:pStyle w:val="PargrafodaLista"/>
        <w:suppressAutoHyphens/>
        <w:spacing w:line="360" w:lineRule="auto"/>
        <w:ind w:left="0"/>
        <w:rPr>
          <w:rFonts w:ascii="Verdana" w:eastAsia="Arial" w:hAnsi="Verdana" w:cstheme="minorHAnsi"/>
          <w:sz w:val="20"/>
          <w:szCs w:val="20"/>
        </w:rPr>
      </w:pPr>
      <w:r w:rsidRPr="00CD3E0E">
        <w:rPr>
          <w:rFonts w:ascii="Verdana" w:eastAsia="Arial" w:hAnsi="Verdana" w:cstheme="minorHAnsi"/>
          <w:sz w:val="20"/>
          <w:szCs w:val="20"/>
        </w:rPr>
        <w:t xml:space="preserve">11.2.4.6. Para a infração descrita no subitem 11.1.1, a multa será de </w:t>
      </w:r>
      <w:r w:rsidRPr="00CD3E0E">
        <w:rPr>
          <w:rFonts w:ascii="Verdana" w:hAnsi="Verdana" w:cstheme="minorHAnsi"/>
          <w:b/>
          <w:i/>
          <w:iCs/>
          <w:sz w:val="20"/>
          <w:szCs w:val="20"/>
        </w:rPr>
        <w:t xml:space="preserve">10% (dez por cento) a 30% (vinte por cento) </w:t>
      </w:r>
      <w:r w:rsidRPr="00CD3E0E">
        <w:rPr>
          <w:rFonts w:ascii="Verdana" w:eastAsia="Arial" w:hAnsi="Verdana" w:cstheme="minorHAnsi"/>
          <w:sz w:val="20"/>
          <w:szCs w:val="20"/>
        </w:rPr>
        <w:t>do valor do Contrato:</w:t>
      </w:r>
    </w:p>
    <w:p w14:paraId="3FAC9D95" w14:textId="77777777" w:rsidR="002B5BFA" w:rsidRPr="00CD3E0E" w:rsidRDefault="002B5BFA" w:rsidP="00CD3E0E">
      <w:pPr>
        <w:spacing w:line="360" w:lineRule="auto"/>
        <w:rPr>
          <w:rFonts w:ascii="Verdana" w:eastAsia="Times New Roman" w:hAnsi="Verdana" w:cstheme="minorHAnsi"/>
          <w:bCs/>
          <w:sz w:val="20"/>
          <w:szCs w:val="20"/>
        </w:rPr>
      </w:pPr>
      <w:r w:rsidRPr="00CD3E0E">
        <w:rPr>
          <w:rFonts w:ascii="Verdana" w:hAnsi="Verdana" w:cstheme="minorHAnsi"/>
          <w:bCs/>
          <w:sz w:val="20"/>
          <w:szCs w:val="20"/>
        </w:rPr>
        <w:lastRenderedPageBreak/>
        <w:t>11.3. A aplicação das sanções previstas neste Termo de Contrato não exclui, em hipótese alguma, a obrigação de reparação integral do dano causado ao CONTRATANTE (§9° do art. 156 da Lei n° 14.133, de 2021).</w:t>
      </w:r>
    </w:p>
    <w:p w14:paraId="5C2624AF"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11.4. Todas as sanções previstas neste Termo de Contrato poderão ser aplicadas cumulativamente com a multa (§7° do art. 156 da Lei nº 14.133, de 2021).</w:t>
      </w:r>
    </w:p>
    <w:p w14:paraId="3E5A3952"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11.4.1. Antes da aplicação da multa será facultada a defesa do interessado no prazo de 15 (quinze) dias úteis, contado da data de sua intimação (art. 157 da Lei n° 14.133, de 2021);</w:t>
      </w:r>
    </w:p>
    <w:p w14:paraId="2655E046"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11.4.2. Se a multa aplicada e as indenizações cabíveis forem superiores ao valor do pagamento eventualmente devido pelo CONTRATANTE o CONTRATADO, além da perda desse valor, a diferença será descontada da garantia prestada ou será cobrada judicialmente (§8° do art. 156 da Lei n° 14.133, de 2021);</w:t>
      </w:r>
    </w:p>
    <w:p w14:paraId="47899CF8"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11.4.3. Previamente ao encaminhamento à cobrança judicial, a multa poderá ser recolhida administrativamente no prazo máximo de </w:t>
      </w:r>
      <w:r w:rsidRPr="00CD3E0E">
        <w:rPr>
          <w:rFonts w:ascii="Verdana" w:hAnsi="Verdana" w:cstheme="minorHAnsi"/>
          <w:b/>
          <w:i/>
          <w:iCs/>
          <w:sz w:val="20"/>
          <w:szCs w:val="20"/>
        </w:rPr>
        <w:t>08 (oito)</w:t>
      </w:r>
      <w:r w:rsidRPr="00CD3E0E">
        <w:rPr>
          <w:rFonts w:ascii="Verdana" w:hAnsi="Verdana" w:cstheme="minorHAnsi"/>
          <w:bCs/>
          <w:sz w:val="20"/>
          <w:szCs w:val="20"/>
        </w:rPr>
        <w:t xml:space="preserve"> dias, a contar da data do recebimento da comunicação enviada pela autoridade competente.</w:t>
      </w:r>
    </w:p>
    <w:p w14:paraId="0557B12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11.5. Todas as sanções previstas neste Contrato poderão ser aplicadas cumulativamente com a multa (§7º do art. 156 da Lei nº 14.133, de 2021).</w:t>
      </w:r>
    </w:p>
    <w:p w14:paraId="1033336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11.6. A aplicação das sanções realizar-se-á em processo administrativo que assegure o contraditório e a ampla defesa do CONTRATADO, observando-se o procedimento previsto no caput e parágrafos do art. 158 da Lei nº 14.133, de 2021, para as penalidades de impedimento de licitar e contratar e de declaração de inidoneidade para licitar ou contratar.</w:t>
      </w:r>
    </w:p>
    <w:p w14:paraId="1748C0C8"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 Na aplicação das sanções serão considerados (§1° do art. 156 da Lei n° 14.133, de 2021):</w:t>
      </w:r>
    </w:p>
    <w:p w14:paraId="5D18668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11.7.1. A natureza e a gravidade da infração cometida;</w:t>
      </w:r>
    </w:p>
    <w:p w14:paraId="0C218FBA"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11.7.2. As peculiaridades do caso concreto;</w:t>
      </w:r>
    </w:p>
    <w:p w14:paraId="7E9387C4"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11.7.3. As circunstâncias agravantes ou atenuantes;</w:t>
      </w:r>
    </w:p>
    <w:p w14:paraId="7CCC690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11.7.4. Os danos que dela provierem para o CONTRATANTE;</w:t>
      </w:r>
    </w:p>
    <w:p w14:paraId="48E72BD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11.7.5. Implantação ou o aperfeiçoamento de programa de integridade, conforme normas e orientações dos órgãos de controle.</w:t>
      </w:r>
    </w:p>
    <w:p w14:paraId="678A4E71"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11.8.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da Lei n° 14.133, de 2021);</w:t>
      </w:r>
    </w:p>
    <w:p w14:paraId="3FF035B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11.9. A personalidade jurídica do CONTRATADO poderá ser desconsiderada sempre que utilizada com abuso do direito para facilitar, encobrir ou dissimular a prática dos atos </w:t>
      </w:r>
      <w:r w:rsidRPr="00CD3E0E">
        <w:rPr>
          <w:rFonts w:ascii="Verdana" w:hAnsi="Verdana" w:cstheme="minorHAnsi"/>
          <w:bCs/>
          <w:sz w:val="20"/>
          <w:szCs w:val="20"/>
        </w:rPr>
        <w:lastRenderedPageBreak/>
        <w:t>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 14.133, de 2021);</w:t>
      </w:r>
    </w:p>
    <w:p w14:paraId="7D4A9B0D"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11.10.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 14.133, de 2021).</w:t>
      </w:r>
    </w:p>
    <w:p w14:paraId="322B4A8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11.11. As sanções de impedimento de licitar e contratar e declaração de inidoneidade para licitar ou contratar são passíveis de reabilitação na forma do art. 163 da Lei nº 14.133, de 2021.</w:t>
      </w:r>
    </w:p>
    <w:p w14:paraId="41D783E6"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11.12.</w:t>
      </w:r>
      <w:r w:rsidRPr="00CD3E0E">
        <w:rPr>
          <w:rFonts w:ascii="Verdana" w:hAnsi="Verdana" w:cstheme="minorHAnsi"/>
          <w:bCs/>
          <w:sz w:val="20"/>
          <w:szCs w:val="20"/>
        </w:rPr>
        <w:tab/>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03EBDA63" w14:textId="77777777" w:rsidR="002B5BFA" w:rsidRPr="00CD3E0E" w:rsidRDefault="002B5BFA" w:rsidP="00CD3E0E">
      <w:pPr>
        <w:spacing w:line="360" w:lineRule="auto"/>
        <w:rPr>
          <w:rStyle w:val="Forte"/>
          <w:rFonts w:ascii="Verdana" w:eastAsiaTheme="majorEastAsia" w:hAnsi="Verdana" w:cs="Arial"/>
          <w:sz w:val="20"/>
          <w:szCs w:val="20"/>
        </w:rPr>
      </w:pPr>
      <w:bookmarkStart w:id="31" w:name="_Toc138359498"/>
      <w:r w:rsidRPr="00CD3E0E">
        <w:rPr>
          <w:rStyle w:val="Ttulo1Char"/>
          <w:rFonts w:ascii="Verdana" w:hAnsi="Verdana" w:cs="Arial"/>
          <w:sz w:val="20"/>
          <w:szCs w:val="20"/>
        </w:rPr>
        <w:t>CLÁUSULA DÉCIMA SEGUNDA – DA EXTINÇÃO CONTRATUAL</w:t>
      </w:r>
      <w:bookmarkEnd w:id="31"/>
      <w:r w:rsidRPr="00CD3E0E">
        <w:rPr>
          <w:rStyle w:val="Ttulo1Char"/>
          <w:rFonts w:ascii="Verdana" w:hAnsi="Verdana" w:cs="Arial"/>
          <w:sz w:val="20"/>
          <w:szCs w:val="20"/>
        </w:rPr>
        <w:t xml:space="preserve"> </w:t>
      </w:r>
      <w:r w:rsidRPr="00CD3E0E">
        <w:rPr>
          <w:rStyle w:val="Forte"/>
          <w:rFonts w:ascii="Verdana" w:eastAsiaTheme="majorEastAsia" w:hAnsi="Verdana" w:cs="Arial"/>
          <w:sz w:val="20"/>
          <w:szCs w:val="20"/>
        </w:rPr>
        <w:t>(ART. 92, XIX DA LEI Nº 14.133, DE 2021)</w:t>
      </w:r>
    </w:p>
    <w:p w14:paraId="0A25B48D"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12.1. O contrato será extinto quando cumpridas as obrigações de ambas as partes, ainda que isso ocorra antes do prazo estipulado para tanto.</w:t>
      </w:r>
    </w:p>
    <w:p w14:paraId="638C3B9E"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12.2. Se as obrigações não forem cumpridas no prazo estipulado, a vigência ficará prorrogada até a conclusão do objeto, caso em que deverá a Administração providenciar a readequação do cronograma fixado para o contrato.</w:t>
      </w:r>
    </w:p>
    <w:p w14:paraId="15D817A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12.3. Quando a não conclusão do contrato referida no item anterior decorrer de culpa do CONTRATADO:</w:t>
      </w:r>
    </w:p>
    <w:p w14:paraId="1E105A28"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12.3.1. Ficará ele constituído em mora, sendo-lhe aplicáveis as respectivas sanções administrativas; e</w:t>
      </w:r>
    </w:p>
    <w:p w14:paraId="745F670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12.3.2. Poderá a Administração optar pela extinção do contrato e, nesse caso, adotará as medidas admitidas em lei para a continuidade da execução contratual.</w:t>
      </w:r>
    </w:p>
    <w:p w14:paraId="0AFF6D3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12.4. O contrato poderá ser extinto antes de cumpridas as obrigações nele estipuladas, ou antes do prazo nele fixado, por algum dos motivos previstos no artigo 137 da Lei nº 14.133, de 2021, bem como amigavelmente, assegurados o contraditório e a ampla defesa.</w:t>
      </w:r>
    </w:p>
    <w:p w14:paraId="040E1813"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12.4.1. Nesta hipótese, aplicam-se também os artigos 138 e 139 da Lei nº 14.133, de </w:t>
      </w:r>
      <w:r w:rsidRPr="00CD3E0E">
        <w:rPr>
          <w:rFonts w:ascii="Verdana" w:hAnsi="Verdana" w:cs="Arial"/>
          <w:bCs/>
          <w:sz w:val="20"/>
          <w:szCs w:val="20"/>
        </w:rPr>
        <w:lastRenderedPageBreak/>
        <w:t>2021.</w:t>
      </w:r>
    </w:p>
    <w:p w14:paraId="2BBE47C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12.4.2. A alteração social ou a modificação da finalidade ou da estrutura da empresa não ensejará a extinção se não restringir sua capacidade de concluir o contrato.</w:t>
      </w:r>
    </w:p>
    <w:p w14:paraId="3DD3691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12.4.2.1. Se a operação implicar mudança da pessoa jurídica contratada, deverá ser formalizado termo aditivo para alteração subjetiva.</w:t>
      </w:r>
    </w:p>
    <w:p w14:paraId="7273771C"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12.5. O termo de extinção, sempre que possível, será precedido:</w:t>
      </w:r>
    </w:p>
    <w:p w14:paraId="52AD729E"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12.5.1. Balanço dos eventos contratuais já cumpridos ou parcialmente cumpridos;</w:t>
      </w:r>
    </w:p>
    <w:p w14:paraId="63130491"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12.5.2. Relação dos pagamentos já efetuados e ainda devidos;</w:t>
      </w:r>
    </w:p>
    <w:p w14:paraId="6BA3217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12.5.3. Indenizações e multas.</w:t>
      </w:r>
    </w:p>
    <w:p w14:paraId="6C47B68F"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12.6. A extinção do Contrato não configura óbice para o reconhecimento do desequilíbrio econômico-financeiro, hipótese em que será concedida indenização por meio de termo indenizatório (</w:t>
      </w:r>
      <w:r w:rsidRPr="00CD3E0E">
        <w:rPr>
          <w:rFonts w:ascii="Verdana" w:hAnsi="Verdana" w:cs="Arial"/>
          <w:bCs/>
          <w:i/>
          <w:iCs/>
          <w:sz w:val="20"/>
          <w:szCs w:val="20"/>
        </w:rPr>
        <w:t>caput</w:t>
      </w:r>
      <w:r w:rsidRPr="00CD3E0E">
        <w:rPr>
          <w:rFonts w:ascii="Verdana" w:hAnsi="Verdana" w:cs="Arial"/>
          <w:bCs/>
          <w:sz w:val="20"/>
          <w:szCs w:val="20"/>
        </w:rPr>
        <w:t xml:space="preserve"> do art. 131 da Lei nº 14.133, de 2021).</w:t>
      </w:r>
    </w:p>
    <w:p w14:paraId="16336E2F" w14:textId="77777777" w:rsidR="002B5BFA" w:rsidRPr="00CD3E0E" w:rsidRDefault="002B5BFA" w:rsidP="00CD3E0E">
      <w:pPr>
        <w:pStyle w:val="Nivel2"/>
        <w:numPr>
          <w:ilvl w:val="0"/>
          <w:numId w:val="0"/>
        </w:numPr>
        <w:spacing w:before="0" w:after="0" w:line="360" w:lineRule="auto"/>
        <w:rPr>
          <w:rFonts w:ascii="Verdana" w:hAnsi="Verdana" w:cs="Arial"/>
          <w:sz w:val="20"/>
          <w:szCs w:val="20"/>
        </w:rPr>
      </w:pPr>
      <w:r w:rsidRPr="00CD3E0E">
        <w:rPr>
          <w:rFonts w:ascii="Verdana" w:hAnsi="Verdana" w:cs="Arial"/>
          <w:bCs/>
          <w:sz w:val="20"/>
          <w:szCs w:val="20"/>
        </w:rPr>
        <w:t xml:space="preserve">12.7. </w:t>
      </w:r>
      <w:r w:rsidRPr="00CD3E0E">
        <w:rPr>
          <w:rFonts w:ascii="Verdana" w:hAnsi="Verdana" w:cs="Arial"/>
          <w:sz w:val="20"/>
          <w:szCs w:val="20"/>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(inciso IV do art. 14 da lei </w:t>
      </w:r>
      <w:proofErr w:type="gramStart"/>
      <w:r w:rsidRPr="00CD3E0E">
        <w:rPr>
          <w:rFonts w:ascii="Verdana" w:hAnsi="Verdana" w:cs="Arial"/>
          <w:sz w:val="20"/>
          <w:szCs w:val="20"/>
        </w:rPr>
        <w:t>n.º</w:t>
      </w:r>
      <w:proofErr w:type="gramEnd"/>
      <w:r w:rsidRPr="00CD3E0E">
        <w:rPr>
          <w:rFonts w:ascii="Verdana" w:hAnsi="Verdana" w:cs="Arial"/>
          <w:sz w:val="20"/>
          <w:szCs w:val="20"/>
        </w:rPr>
        <w:t xml:space="preserve"> 14.133, de 2021).</w:t>
      </w:r>
    </w:p>
    <w:p w14:paraId="4E16B9A5" w14:textId="77777777" w:rsidR="002B5BFA" w:rsidRPr="00CD3E0E" w:rsidRDefault="002B5BFA" w:rsidP="00CD3E0E">
      <w:pPr>
        <w:spacing w:line="360" w:lineRule="auto"/>
        <w:rPr>
          <w:rStyle w:val="Forte"/>
          <w:rFonts w:ascii="Verdana" w:eastAsiaTheme="majorEastAsia" w:hAnsi="Verdana"/>
          <w:sz w:val="20"/>
          <w:szCs w:val="20"/>
        </w:rPr>
      </w:pPr>
      <w:bookmarkStart w:id="32" w:name="_Toc138359499"/>
      <w:r w:rsidRPr="00CD3E0E">
        <w:rPr>
          <w:rStyle w:val="Ttulo1Char"/>
          <w:rFonts w:ascii="Verdana" w:hAnsi="Verdana" w:cs="Arial"/>
          <w:sz w:val="20"/>
          <w:szCs w:val="20"/>
        </w:rPr>
        <w:t>CLÁUSULA DÉCIMA TERCEIRA – DA DOTAÇÃO ORÇAMENTÁRIA</w:t>
      </w:r>
      <w:bookmarkEnd w:id="32"/>
      <w:r w:rsidRPr="00CD3E0E">
        <w:rPr>
          <w:rStyle w:val="Forte"/>
          <w:rFonts w:ascii="Verdana" w:eastAsiaTheme="majorEastAsia" w:hAnsi="Verdana" w:cs="Arial"/>
          <w:sz w:val="20"/>
          <w:szCs w:val="20"/>
        </w:rPr>
        <w:t xml:space="preserve"> (ART. 92, VIII DA LEI Nº 14.133, DE 2021)</w:t>
      </w:r>
    </w:p>
    <w:p w14:paraId="58DCCE19"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13.1. As despesas decorrentes da presente contratação correrão à conta de recursos específicos consignados no Orçamento Geral da União deste exercício, na dotação abaixo discriminada:</w:t>
      </w:r>
    </w:p>
    <w:p w14:paraId="29DB8926"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
          <w:i/>
          <w:iCs/>
          <w:sz w:val="20"/>
          <w:szCs w:val="20"/>
        </w:rPr>
        <w:t>XXX</w:t>
      </w:r>
    </w:p>
    <w:p w14:paraId="66293824"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13.2. A dotação relativa aos exercícios financeiros subsequentes será indicada após aprovação da Lei Orçamentária respectiva e liberação dos créditos correspondentes, mediante apostilamento.</w:t>
      </w:r>
    </w:p>
    <w:p w14:paraId="14F86D2E" w14:textId="77777777" w:rsidR="002B5BFA" w:rsidRPr="00CD3E0E" w:rsidRDefault="002B5BFA" w:rsidP="00CD3E0E">
      <w:pPr>
        <w:spacing w:line="360" w:lineRule="auto"/>
        <w:rPr>
          <w:rStyle w:val="Forte"/>
          <w:rFonts w:ascii="Verdana" w:eastAsiaTheme="majorEastAsia" w:hAnsi="Verdana"/>
          <w:sz w:val="20"/>
          <w:szCs w:val="20"/>
        </w:rPr>
      </w:pPr>
      <w:bookmarkStart w:id="33" w:name="_Toc138359500"/>
      <w:r w:rsidRPr="00CD3E0E">
        <w:rPr>
          <w:rStyle w:val="Ttulo1Char"/>
          <w:rFonts w:ascii="Verdana" w:hAnsi="Verdana" w:cs="Arial"/>
          <w:sz w:val="20"/>
          <w:szCs w:val="20"/>
        </w:rPr>
        <w:t>CLÁUSULA DÉCIMA QUARTA – DOS CASOS OMISSOS</w:t>
      </w:r>
      <w:bookmarkEnd w:id="33"/>
      <w:r w:rsidRPr="00CD3E0E">
        <w:rPr>
          <w:rStyle w:val="Forte"/>
          <w:rFonts w:ascii="Verdana" w:eastAsiaTheme="majorEastAsia" w:hAnsi="Verdana" w:cs="Arial"/>
          <w:sz w:val="20"/>
          <w:szCs w:val="20"/>
        </w:rPr>
        <w:t xml:space="preserve"> (ART. 92, III DA LEI Nº 14.133, DE 2021)</w:t>
      </w:r>
    </w:p>
    <w:p w14:paraId="19814485"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14.1. Os casos omissos serão decididos pelo CONTRATANTE, segundo as disposições contidas na Lei nº 14.133, de 2021, e demais normas federais aplicáveis e, subsidiariamente, segundo as disposições contidas na Lei nº 8.078, de 1990, Código de Defesa do Consumidor, e normas e princípios gerais dos contratos.</w:t>
      </w:r>
    </w:p>
    <w:p w14:paraId="0F2E6EBF" w14:textId="77777777" w:rsidR="002B5BFA" w:rsidRPr="00CD3E0E" w:rsidRDefault="002B5BFA" w:rsidP="00CD3E0E">
      <w:pPr>
        <w:pStyle w:val="Textodecomentrio"/>
        <w:rPr>
          <w:rStyle w:val="Forte"/>
          <w:rFonts w:ascii="Verdana" w:eastAsiaTheme="majorEastAsia" w:hAnsi="Verdana"/>
        </w:rPr>
      </w:pPr>
      <w:bookmarkStart w:id="34" w:name="_Toc138359501"/>
      <w:r w:rsidRPr="00CD3E0E">
        <w:rPr>
          <w:rStyle w:val="Ttulo1Char"/>
          <w:rFonts w:ascii="Verdana" w:hAnsi="Verdana" w:cs="Arial"/>
          <w:sz w:val="20"/>
          <w:szCs w:val="20"/>
        </w:rPr>
        <w:t>CLÁUSULA DÉCIMA QUINTA – DAS ALTERAÇÕES</w:t>
      </w:r>
      <w:bookmarkEnd w:id="34"/>
      <w:r w:rsidRPr="00CD3E0E">
        <w:rPr>
          <w:rStyle w:val="Forte"/>
          <w:rFonts w:ascii="Verdana" w:eastAsiaTheme="majorEastAsia" w:hAnsi="Verdana" w:cs="Arial"/>
        </w:rPr>
        <w:t xml:space="preserve"> (ART. 124 DA LEI Nº 14.133, DE 2021)</w:t>
      </w:r>
    </w:p>
    <w:p w14:paraId="035B535B"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15.1. Eventuais alterações contratuais reger-se-ão pela disciplina dos arts. 124 e seguintes da Lei nº 14.133, de 2021.</w:t>
      </w:r>
    </w:p>
    <w:p w14:paraId="619985DA"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lastRenderedPageBreak/>
        <w:t>15.2. O CONTRATADO é obrigado a aceitar, nas mesmas condições contratuais, os acréscimos ou supressões que se fizerem necessários, até o limite de 25% (vinte e cinco por cento) do valor inicial atualizado do contrato.</w:t>
      </w:r>
    </w:p>
    <w:p w14:paraId="59B0D416" w14:textId="77777777" w:rsidR="002B5BFA" w:rsidRPr="00CD3E0E" w:rsidRDefault="002B5BFA" w:rsidP="00CD3E0E">
      <w:pPr>
        <w:pStyle w:val="Nivel2"/>
        <w:numPr>
          <w:ilvl w:val="0"/>
          <w:numId w:val="0"/>
        </w:numPr>
        <w:spacing w:before="0" w:after="0" w:line="360" w:lineRule="auto"/>
        <w:rPr>
          <w:rFonts w:ascii="Verdana" w:hAnsi="Verdana" w:cs="Arial"/>
          <w:sz w:val="20"/>
          <w:szCs w:val="20"/>
        </w:rPr>
      </w:pPr>
      <w:r w:rsidRPr="00CD3E0E">
        <w:rPr>
          <w:rFonts w:ascii="Verdana" w:hAnsi="Verdana" w:cs="Arial"/>
          <w:bCs/>
          <w:sz w:val="20"/>
          <w:szCs w:val="20"/>
        </w:rPr>
        <w:t xml:space="preserve">15.3. </w:t>
      </w:r>
      <w:r w:rsidRPr="00CD3E0E">
        <w:rPr>
          <w:rFonts w:ascii="Verdana" w:hAnsi="Verdana" w:cs="Arial"/>
          <w:sz w:val="20"/>
          <w:szCs w:val="2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6FC52C4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15.4. Registros que não caracterizam alteração do contrato podem ser realizados por simples apostila, dispensada a celebração de termo aditivo, na forma do art. 136 da Lei nº 14.133, de 2021.</w:t>
      </w:r>
    </w:p>
    <w:p w14:paraId="7A417DC8" w14:textId="77777777" w:rsidR="002B5BFA" w:rsidRPr="00CD3E0E" w:rsidRDefault="002B5BFA" w:rsidP="00CD3E0E">
      <w:pPr>
        <w:pStyle w:val="Textodecomentrio"/>
        <w:rPr>
          <w:rStyle w:val="Forte"/>
          <w:rFonts w:ascii="Verdana" w:eastAsiaTheme="majorEastAsia" w:hAnsi="Verdana"/>
        </w:rPr>
      </w:pPr>
      <w:bookmarkStart w:id="35" w:name="_Toc138359502"/>
      <w:r w:rsidRPr="00CD3E0E">
        <w:rPr>
          <w:rStyle w:val="Ttulo1Char"/>
          <w:rFonts w:ascii="Verdana" w:hAnsi="Verdana" w:cs="Arial"/>
          <w:sz w:val="20"/>
          <w:szCs w:val="20"/>
        </w:rPr>
        <w:t>CLÁUSULA DÉCIMA SEXTA – DA PUBLICAÇÃO</w:t>
      </w:r>
      <w:bookmarkEnd w:id="35"/>
      <w:r w:rsidRPr="00CD3E0E">
        <w:rPr>
          <w:rStyle w:val="Forte"/>
          <w:rFonts w:ascii="Verdana" w:eastAsiaTheme="majorEastAsia" w:hAnsi="Verdana" w:cs="Arial"/>
        </w:rPr>
        <w:t xml:space="preserve"> (ART. 94 DA LEI Nº 14.133, DE 2021)</w:t>
      </w:r>
    </w:p>
    <w:p w14:paraId="3D834C94" w14:textId="77777777" w:rsidR="002B5BFA" w:rsidRPr="00CD3E0E" w:rsidRDefault="002B5BFA" w:rsidP="00CD3E0E">
      <w:pPr>
        <w:pStyle w:val="Nivel2"/>
        <w:numPr>
          <w:ilvl w:val="0"/>
          <w:numId w:val="0"/>
        </w:numPr>
        <w:spacing w:before="0" w:after="0" w:line="360" w:lineRule="auto"/>
        <w:rPr>
          <w:rFonts w:ascii="Verdana" w:hAnsi="Verdana"/>
          <w:sz w:val="20"/>
          <w:szCs w:val="20"/>
        </w:rPr>
      </w:pPr>
      <w:r w:rsidRPr="00CD3E0E">
        <w:rPr>
          <w:rFonts w:ascii="Verdana" w:hAnsi="Verdana" w:cs="Arial"/>
          <w:bCs/>
          <w:sz w:val="20"/>
          <w:szCs w:val="20"/>
        </w:rPr>
        <w:t xml:space="preserve">16.1. Incumbirá ao CONTRATANTE </w:t>
      </w:r>
      <w:r w:rsidRPr="00CD3E0E">
        <w:rPr>
          <w:rFonts w:ascii="Verdana" w:hAnsi="Verdana" w:cs="Arial"/>
          <w:sz w:val="20"/>
          <w:szCs w:val="20"/>
        </w:rPr>
        <w:t xml:space="preserve">divulgar o presente instrumento no Portal Nacional de Contratações Públicas (PNCP), na forma prevista no art. 94 da Lei 14.133, de 2021, bem como no respectivo sítio oficial na Internet, em atenção ao art. 91, </w:t>
      </w:r>
      <w:r w:rsidRPr="00CD3E0E">
        <w:rPr>
          <w:rFonts w:ascii="Verdana" w:hAnsi="Verdana" w:cs="Arial"/>
          <w:i/>
          <w:sz w:val="20"/>
          <w:szCs w:val="20"/>
        </w:rPr>
        <w:t>caput,</w:t>
      </w:r>
      <w:r w:rsidRPr="00CD3E0E">
        <w:rPr>
          <w:rFonts w:ascii="Verdana" w:hAnsi="Verdana" w:cs="Arial"/>
          <w:sz w:val="20"/>
          <w:szCs w:val="20"/>
        </w:rPr>
        <w:t xml:space="preserve"> da Lei </w:t>
      </w:r>
      <w:proofErr w:type="gramStart"/>
      <w:r w:rsidRPr="00CD3E0E">
        <w:rPr>
          <w:rFonts w:ascii="Verdana" w:hAnsi="Verdana" w:cs="Arial"/>
          <w:sz w:val="20"/>
          <w:szCs w:val="20"/>
        </w:rPr>
        <w:t>n.º</w:t>
      </w:r>
      <w:proofErr w:type="gramEnd"/>
      <w:r w:rsidRPr="00CD3E0E">
        <w:rPr>
          <w:rFonts w:ascii="Verdana" w:hAnsi="Verdana" w:cs="Arial"/>
          <w:sz w:val="20"/>
          <w:szCs w:val="20"/>
        </w:rPr>
        <w:t xml:space="preserve"> 14.133, de 2021.</w:t>
      </w:r>
    </w:p>
    <w:p w14:paraId="711DAB65" w14:textId="77777777" w:rsidR="002B5BFA" w:rsidRPr="00CD3E0E" w:rsidRDefault="002B5BFA" w:rsidP="00CD3E0E">
      <w:pPr>
        <w:spacing w:line="360" w:lineRule="auto"/>
        <w:rPr>
          <w:rStyle w:val="Forte"/>
          <w:rFonts w:ascii="Verdana" w:eastAsiaTheme="majorEastAsia" w:hAnsi="Verdana"/>
          <w:sz w:val="20"/>
          <w:szCs w:val="20"/>
        </w:rPr>
      </w:pPr>
      <w:bookmarkStart w:id="36" w:name="_Toc138359503"/>
      <w:r w:rsidRPr="00CD3E0E">
        <w:rPr>
          <w:rStyle w:val="Ttulo1Char"/>
          <w:rFonts w:ascii="Verdana" w:hAnsi="Verdana" w:cs="Arial"/>
          <w:sz w:val="20"/>
          <w:szCs w:val="20"/>
        </w:rPr>
        <w:t>CLÁUSULA DÉCIMA SÉTIMA – DO FORO</w:t>
      </w:r>
      <w:bookmarkEnd w:id="36"/>
      <w:r w:rsidRPr="00CD3E0E">
        <w:rPr>
          <w:rStyle w:val="Forte"/>
          <w:rFonts w:ascii="Verdana" w:eastAsiaTheme="majorEastAsia" w:hAnsi="Verdana" w:cs="Arial"/>
          <w:sz w:val="20"/>
          <w:szCs w:val="20"/>
        </w:rPr>
        <w:t xml:space="preserve"> (ART. 92, §1º DA LEI Nº 14.133, DE 2021)</w:t>
      </w:r>
    </w:p>
    <w:p w14:paraId="1A453588"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17.1. Fica eleito o Foro da Comarca de Correntina, para dirimir os litígios que decorrerem da execução deste Termo de Contrato que não possam ser compostos pela conciliação, conforme §1º do art. 92 da Lei nº 14.133, de 2021.</w:t>
      </w:r>
    </w:p>
    <w:p w14:paraId="6C237533" w14:textId="77777777" w:rsidR="002B5BFA" w:rsidRPr="00CD3E0E" w:rsidRDefault="002B5BFA" w:rsidP="00CD3E0E">
      <w:pPr>
        <w:spacing w:line="360" w:lineRule="auto"/>
        <w:rPr>
          <w:rFonts w:ascii="Verdana" w:hAnsi="Verdana" w:cs="Arial"/>
          <w:bCs/>
          <w:sz w:val="20"/>
          <w:szCs w:val="20"/>
        </w:rPr>
      </w:pPr>
    </w:p>
    <w:p w14:paraId="27541AB8" w14:textId="50B5AD25" w:rsidR="002B5BFA" w:rsidRPr="00CD3E0E" w:rsidRDefault="002B5BFA" w:rsidP="00CD3E0E">
      <w:pPr>
        <w:spacing w:line="360" w:lineRule="auto"/>
        <w:ind w:right="-15"/>
        <w:rPr>
          <w:rFonts w:ascii="Verdana" w:hAnsi="Verdana" w:cstheme="minorHAnsi"/>
          <w:sz w:val="20"/>
          <w:szCs w:val="20"/>
        </w:rPr>
      </w:pPr>
      <w:r w:rsidRPr="00CD3E0E">
        <w:rPr>
          <w:rFonts w:ascii="Verdana" w:hAnsi="Verdana" w:cstheme="minorHAnsi"/>
          <w:b/>
          <w:i/>
          <w:sz w:val="20"/>
          <w:szCs w:val="20"/>
        </w:rPr>
        <w:t>Correntina</w:t>
      </w:r>
      <w:r w:rsidRPr="00CD3E0E">
        <w:rPr>
          <w:rFonts w:ascii="Verdana" w:hAnsi="Verdana" w:cstheme="minorHAnsi"/>
          <w:sz w:val="20"/>
          <w:szCs w:val="20"/>
        </w:rPr>
        <w:t xml:space="preserve">, </w:t>
      </w:r>
      <w:r w:rsidRPr="00CD3E0E">
        <w:rPr>
          <w:rFonts w:ascii="Verdana" w:hAnsi="Verdana" w:cstheme="minorHAnsi"/>
          <w:b/>
          <w:i/>
          <w:sz w:val="20"/>
          <w:szCs w:val="20"/>
        </w:rPr>
        <w:t>XX</w:t>
      </w:r>
      <w:r w:rsidRPr="00CD3E0E">
        <w:rPr>
          <w:rFonts w:ascii="Verdana" w:hAnsi="Verdana" w:cstheme="minorHAnsi"/>
          <w:i/>
          <w:sz w:val="20"/>
          <w:szCs w:val="20"/>
        </w:rPr>
        <w:t xml:space="preserve"> (dia)</w:t>
      </w:r>
      <w:r w:rsidRPr="00CD3E0E">
        <w:rPr>
          <w:rFonts w:ascii="Verdana" w:hAnsi="Verdana" w:cstheme="minorHAnsi"/>
          <w:sz w:val="20"/>
          <w:szCs w:val="20"/>
        </w:rPr>
        <w:t xml:space="preserve"> de </w:t>
      </w:r>
      <w:r w:rsidRPr="00CD3E0E">
        <w:rPr>
          <w:rFonts w:ascii="Verdana" w:hAnsi="Verdana" w:cstheme="minorHAnsi"/>
          <w:b/>
          <w:i/>
          <w:sz w:val="20"/>
          <w:szCs w:val="20"/>
        </w:rPr>
        <w:t>XXX</w:t>
      </w:r>
      <w:r w:rsidRPr="00CD3E0E">
        <w:rPr>
          <w:rFonts w:ascii="Verdana" w:hAnsi="Verdana" w:cstheme="minorHAnsi"/>
          <w:i/>
          <w:sz w:val="20"/>
          <w:szCs w:val="20"/>
        </w:rPr>
        <w:t xml:space="preserve"> (mês)</w:t>
      </w:r>
      <w:r w:rsidRPr="00CD3E0E">
        <w:rPr>
          <w:rFonts w:ascii="Verdana" w:hAnsi="Verdana" w:cstheme="minorHAnsi"/>
          <w:sz w:val="20"/>
          <w:szCs w:val="20"/>
        </w:rPr>
        <w:t xml:space="preserve"> de 202</w:t>
      </w:r>
      <w:r w:rsidR="00C277A1">
        <w:rPr>
          <w:rFonts w:ascii="Verdana" w:hAnsi="Verdana" w:cstheme="minorHAnsi"/>
          <w:sz w:val="20"/>
          <w:szCs w:val="20"/>
        </w:rPr>
        <w:t>6</w:t>
      </w:r>
      <w:r w:rsidRPr="00CD3E0E">
        <w:rPr>
          <w:rFonts w:ascii="Verdana" w:hAnsi="Verdana" w:cstheme="minorHAnsi"/>
          <w:sz w:val="20"/>
          <w:szCs w:val="20"/>
        </w:rPr>
        <w:t>.</w:t>
      </w:r>
    </w:p>
    <w:p w14:paraId="6091BB9D" w14:textId="77777777" w:rsidR="002B5BFA" w:rsidRPr="00CD3E0E" w:rsidRDefault="002B5BFA" w:rsidP="00CD3E0E">
      <w:pPr>
        <w:spacing w:line="360" w:lineRule="auto"/>
        <w:ind w:right="-15"/>
        <w:rPr>
          <w:rFonts w:ascii="Verdana" w:hAnsi="Verdana" w:cstheme="minorHAnsi"/>
          <w:sz w:val="20"/>
          <w:szCs w:val="20"/>
        </w:rPr>
      </w:pPr>
    </w:p>
    <w:p w14:paraId="51D76DC5" w14:textId="77777777" w:rsidR="002B5BFA" w:rsidRPr="00CD3E0E" w:rsidRDefault="002B5BFA" w:rsidP="00CD3E0E">
      <w:pPr>
        <w:spacing w:line="360" w:lineRule="auto"/>
        <w:ind w:right="-15"/>
        <w:jc w:val="center"/>
        <w:rPr>
          <w:rFonts w:ascii="Verdana" w:hAnsi="Verdana" w:cstheme="minorHAnsi"/>
          <w:sz w:val="20"/>
          <w:szCs w:val="20"/>
        </w:rPr>
      </w:pPr>
    </w:p>
    <w:p w14:paraId="509B0272" w14:textId="77777777" w:rsidR="002B5BFA" w:rsidRPr="00CD3E0E" w:rsidRDefault="002B5BFA" w:rsidP="00CD3E0E">
      <w:pPr>
        <w:spacing w:line="360" w:lineRule="auto"/>
        <w:jc w:val="center"/>
        <w:rPr>
          <w:rFonts w:ascii="Verdana" w:hAnsi="Verdana" w:cstheme="minorHAnsi"/>
          <w:sz w:val="20"/>
          <w:szCs w:val="20"/>
        </w:rPr>
      </w:pPr>
      <w:r w:rsidRPr="00CD3E0E">
        <w:rPr>
          <w:rFonts w:ascii="Verdana" w:hAnsi="Verdana" w:cstheme="minorHAnsi"/>
          <w:sz w:val="20"/>
          <w:szCs w:val="20"/>
        </w:rPr>
        <w:t>_______________________________________________________</w:t>
      </w:r>
    </w:p>
    <w:p w14:paraId="65B9AE1F" w14:textId="77777777" w:rsidR="002B5BFA" w:rsidRPr="00CD3E0E" w:rsidRDefault="002B5BFA" w:rsidP="00CD3E0E">
      <w:pPr>
        <w:spacing w:line="360" w:lineRule="auto"/>
        <w:jc w:val="center"/>
        <w:rPr>
          <w:rFonts w:ascii="Verdana" w:hAnsi="Verdana" w:cstheme="minorHAnsi"/>
          <w:sz w:val="20"/>
          <w:szCs w:val="20"/>
        </w:rPr>
      </w:pPr>
      <w:r w:rsidRPr="00CD3E0E">
        <w:rPr>
          <w:rFonts w:ascii="Verdana" w:hAnsi="Verdana" w:cstheme="minorHAnsi"/>
          <w:sz w:val="20"/>
          <w:szCs w:val="20"/>
        </w:rPr>
        <w:t>Representante legal do CONTRATANTE</w:t>
      </w:r>
    </w:p>
    <w:p w14:paraId="1F59CBE2" w14:textId="77777777" w:rsidR="002B5BFA" w:rsidRPr="00CD3E0E" w:rsidRDefault="002B5BFA" w:rsidP="00CD3E0E">
      <w:pPr>
        <w:spacing w:line="360" w:lineRule="auto"/>
        <w:jc w:val="center"/>
        <w:rPr>
          <w:rFonts w:ascii="Verdana" w:hAnsi="Verdana" w:cstheme="minorHAnsi"/>
          <w:sz w:val="20"/>
          <w:szCs w:val="20"/>
        </w:rPr>
      </w:pPr>
    </w:p>
    <w:p w14:paraId="52EF50CD" w14:textId="77777777" w:rsidR="002B5BFA" w:rsidRPr="00CD3E0E" w:rsidRDefault="002B5BFA" w:rsidP="00CD3E0E">
      <w:pPr>
        <w:spacing w:line="360" w:lineRule="auto"/>
        <w:jc w:val="center"/>
        <w:rPr>
          <w:rFonts w:ascii="Verdana" w:hAnsi="Verdana" w:cstheme="minorHAnsi"/>
          <w:sz w:val="20"/>
          <w:szCs w:val="20"/>
        </w:rPr>
      </w:pPr>
    </w:p>
    <w:p w14:paraId="41FBAF0D" w14:textId="77777777" w:rsidR="002B5BFA" w:rsidRPr="00CD3E0E" w:rsidRDefault="002B5BFA" w:rsidP="00CD3E0E">
      <w:pPr>
        <w:spacing w:line="360" w:lineRule="auto"/>
        <w:jc w:val="center"/>
        <w:rPr>
          <w:rFonts w:ascii="Verdana" w:hAnsi="Verdana" w:cstheme="minorHAnsi"/>
          <w:sz w:val="20"/>
          <w:szCs w:val="20"/>
        </w:rPr>
      </w:pPr>
      <w:r w:rsidRPr="00CD3E0E">
        <w:rPr>
          <w:rFonts w:ascii="Verdana" w:hAnsi="Verdana" w:cstheme="minorHAnsi"/>
          <w:sz w:val="20"/>
          <w:szCs w:val="20"/>
        </w:rPr>
        <w:t>_______________________________________________________</w:t>
      </w:r>
    </w:p>
    <w:p w14:paraId="6F7752BF" w14:textId="77777777" w:rsidR="002B5BFA" w:rsidRPr="00CD3E0E" w:rsidRDefault="002B5BFA" w:rsidP="00CD3E0E">
      <w:pPr>
        <w:spacing w:line="360" w:lineRule="auto"/>
        <w:jc w:val="center"/>
        <w:rPr>
          <w:rFonts w:ascii="Verdana" w:hAnsi="Verdana" w:cstheme="minorHAnsi"/>
          <w:sz w:val="20"/>
          <w:szCs w:val="20"/>
        </w:rPr>
      </w:pPr>
      <w:r w:rsidRPr="00CD3E0E">
        <w:rPr>
          <w:rFonts w:ascii="Verdana" w:hAnsi="Verdana" w:cstheme="minorHAnsi"/>
          <w:sz w:val="20"/>
          <w:szCs w:val="20"/>
        </w:rPr>
        <w:t>Representante legal do CONTRATADO</w:t>
      </w:r>
    </w:p>
    <w:p w14:paraId="4FAE5F19" w14:textId="77777777" w:rsidR="002B5BFA" w:rsidRPr="00CD3E0E" w:rsidRDefault="002B5BFA" w:rsidP="00CD3E0E">
      <w:pPr>
        <w:spacing w:line="360" w:lineRule="auto"/>
        <w:rPr>
          <w:rFonts w:ascii="Verdana" w:hAnsi="Verdana" w:cstheme="minorHAnsi"/>
          <w:b/>
          <w:sz w:val="20"/>
          <w:szCs w:val="20"/>
        </w:rPr>
      </w:pPr>
      <w:r w:rsidRPr="00CD3E0E">
        <w:rPr>
          <w:rFonts w:ascii="Verdana" w:hAnsi="Verdana" w:cstheme="minorHAnsi"/>
          <w:b/>
          <w:sz w:val="20"/>
          <w:szCs w:val="20"/>
        </w:rPr>
        <w:t>TESTEMUNHAS:</w:t>
      </w:r>
    </w:p>
    <w:p w14:paraId="6F8329B5"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w:t>
      </w:r>
    </w:p>
    <w:p w14:paraId="15E3E69D"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2-</w:t>
      </w:r>
    </w:p>
    <w:p w14:paraId="69669B7C" w14:textId="09FEF737" w:rsidR="002B5BFA" w:rsidRDefault="002B5BFA" w:rsidP="00CD3E0E">
      <w:pPr>
        <w:spacing w:line="360" w:lineRule="auto"/>
        <w:rPr>
          <w:rFonts w:ascii="Verdana" w:hAnsi="Verdana" w:cstheme="minorHAnsi"/>
          <w:bCs/>
          <w:sz w:val="20"/>
          <w:szCs w:val="20"/>
        </w:rPr>
      </w:pPr>
    </w:p>
    <w:p w14:paraId="155EA50B" w14:textId="77777777" w:rsidR="00952E33" w:rsidRPr="00CD3E0E" w:rsidRDefault="00952E33" w:rsidP="00CD3E0E">
      <w:pPr>
        <w:spacing w:line="360" w:lineRule="auto"/>
        <w:rPr>
          <w:rFonts w:ascii="Verdana" w:hAnsi="Verdana" w:cstheme="minorHAnsi"/>
          <w:bCs/>
          <w:sz w:val="20"/>
          <w:szCs w:val="20"/>
        </w:rPr>
      </w:pPr>
    </w:p>
    <w:p w14:paraId="41B4DA44" w14:textId="77777777" w:rsidR="002B5BFA" w:rsidRPr="00CD3E0E" w:rsidRDefault="002B5BFA" w:rsidP="00CD3E0E">
      <w:pPr>
        <w:spacing w:line="360" w:lineRule="auto"/>
        <w:jc w:val="center"/>
        <w:rPr>
          <w:rFonts w:ascii="Verdana" w:hAnsi="Verdana" w:cs="Arial"/>
          <w:b/>
          <w:iCs/>
          <w:sz w:val="20"/>
          <w:szCs w:val="20"/>
        </w:rPr>
      </w:pPr>
      <w:r w:rsidRPr="00CD3E0E">
        <w:rPr>
          <w:rFonts w:ascii="Verdana" w:hAnsi="Verdana" w:cs="Arial"/>
          <w:b/>
          <w:bCs/>
          <w:sz w:val="20"/>
          <w:szCs w:val="20"/>
        </w:rPr>
        <w:t xml:space="preserve">ANEXO III – </w:t>
      </w:r>
      <w:r w:rsidRPr="00CD3E0E">
        <w:rPr>
          <w:rFonts w:ascii="Verdana" w:hAnsi="Verdana" w:cs="Arial"/>
          <w:b/>
          <w:iCs/>
          <w:sz w:val="20"/>
          <w:szCs w:val="20"/>
        </w:rPr>
        <w:t>Minuta da Ata de Registro de Preços</w:t>
      </w:r>
    </w:p>
    <w:p w14:paraId="52263546" w14:textId="77777777" w:rsidR="002B5BFA" w:rsidRPr="00CD3E0E" w:rsidRDefault="002B5BFA" w:rsidP="00CD3E0E">
      <w:pPr>
        <w:spacing w:line="360" w:lineRule="auto"/>
        <w:rPr>
          <w:rFonts w:ascii="Verdana" w:hAnsi="Verdana" w:cs="Tahoma"/>
          <w:sz w:val="20"/>
          <w:szCs w:val="20"/>
        </w:rPr>
      </w:pPr>
    </w:p>
    <w:p w14:paraId="1ED69EB7" w14:textId="3AFD2849" w:rsidR="002B5BFA" w:rsidRDefault="002B5BFA" w:rsidP="00CD3E0E">
      <w:pPr>
        <w:tabs>
          <w:tab w:val="left" w:pos="284"/>
        </w:tabs>
        <w:adjustRightInd w:val="0"/>
        <w:spacing w:line="360" w:lineRule="auto"/>
        <w:ind w:right="-30"/>
        <w:rPr>
          <w:rFonts w:ascii="Verdana" w:hAnsi="Verdana" w:cs="Arial"/>
          <w:b/>
          <w:sz w:val="20"/>
          <w:szCs w:val="20"/>
        </w:rPr>
      </w:pPr>
      <w:r w:rsidRPr="00CD3E0E">
        <w:rPr>
          <w:rFonts w:ascii="Verdana" w:hAnsi="Verdana" w:cs="Arial"/>
          <w:b/>
          <w:bCs/>
          <w:sz w:val="20"/>
          <w:szCs w:val="20"/>
        </w:rPr>
        <w:lastRenderedPageBreak/>
        <w:t>ATA DE REGISTRO DE PREÇOS</w:t>
      </w:r>
      <w:r w:rsidRPr="00CD3E0E">
        <w:rPr>
          <w:rFonts w:ascii="Verdana" w:hAnsi="Verdana" w:cs="Arial"/>
          <w:sz w:val="20"/>
          <w:szCs w:val="20"/>
        </w:rPr>
        <w:t xml:space="preserve"> </w:t>
      </w:r>
      <w:r w:rsidRPr="00CD3E0E">
        <w:rPr>
          <w:rFonts w:ascii="Verdana" w:hAnsi="Verdana" w:cs="Arial"/>
          <w:b/>
          <w:sz w:val="20"/>
          <w:szCs w:val="20"/>
        </w:rPr>
        <w:t xml:space="preserve">Nº </w:t>
      </w:r>
      <w:r w:rsidRPr="00CD3E0E">
        <w:rPr>
          <w:rFonts w:ascii="Verdana" w:hAnsi="Verdana" w:cs="Arial"/>
          <w:b/>
          <w:i/>
          <w:sz w:val="20"/>
          <w:szCs w:val="20"/>
        </w:rPr>
        <w:t>XX/202</w:t>
      </w:r>
      <w:r w:rsidR="00604CBF">
        <w:rPr>
          <w:rFonts w:ascii="Verdana" w:hAnsi="Verdana" w:cs="Arial"/>
          <w:b/>
          <w:i/>
          <w:sz w:val="20"/>
          <w:szCs w:val="20"/>
        </w:rPr>
        <w:t>6</w:t>
      </w:r>
      <w:r w:rsidRPr="00CD3E0E">
        <w:rPr>
          <w:rFonts w:ascii="Verdana" w:hAnsi="Verdana" w:cs="Arial"/>
          <w:b/>
          <w:sz w:val="20"/>
          <w:szCs w:val="20"/>
        </w:rPr>
        <w:t>.</w:t>
      </w:r>
    </w:p>
    <w:p w14:paraId="518C6290" w14:textId="63D93A3B" w:rsidR="00952E33" w:rsidRPr="00CD3E0E" w:rsidRDefault="00604CBF" w:rsidP="00CD3E0E">
      <w:pPr>
        <w:tabs>
          <w:tab w:val="left" w:pos="284"/>
        </w:tabs>
        <w:adjustRightInd w:val="0"/>
        <w:spacing w:line="360" w:lineRule="auto"/>
        <w:ind w:right="-30"/>
        <w:rPr>
          <w:rFonts w:ascii="Verdana" w:hAnsi="Verdana" w:cs="Arial"/>
          <w:b/>
          <w:sz w:val="20"/>
          <w:szCs w:val="20"/>
        </w:rPr>
      </w:pPr>
      <w:r>
        <w:rPr>
          <w:rFonts w:ascii="Verdana" w:hAnsi="Verdana" w:cs="Arial"/>
          <w:b/>
          <w:sz w:val="20"/>
          <w:szCs w:val="20"/>
        </w:rPr>
        <w:t>PREGÃO ELETRONICO Nº 006</w:t>
      </w:r>
      <w:r w:rsidR="00952E33">
        <w:rPr>
          <w:rFonts w:ascii="Verdana" w:hAnsi="Verdana" w:cs="Arial"/>
          <w:b/>
          <w:sz w:val="20"/>
          <w:szCs w:val="20"/>
        </w:rPr>
        <w:t>/202</w:t>
      </w:r>
      <w:r>
        <w:rPr>
          <w:rFonts w:ascii="Verdana" w:hAnsi="Verdana" w:cs="Arial"/>
          <w:b/>
          <w:sz w:val="20"/>
          <w:szCs w:val="20"/>
        </w:rPr>
        <w:t>6</w:t>
      </w:r>
    </w:p>
    <w:p w14:paraId="2A93959E" w14:textId="34AF6B9B" w:rsidR="002B5BFA" w:rsidRPr="00CD3E0E" w:rsidRDefault="002B5BFA" w:rsidP="00CD3E0E">
      <w:pPr>
        <w:tabs>
          <w:tab w:val="left" w:pos="284"/>
        </w:tabs>
        <w:spacing w:line="360" w:lineRule="auto"/>
        <w:rPr>
          <w:rFonts w:ascii="Verdana" w:hAnsi="Verdana" w:cs="Arial"/>
          <w:b/>
          <w:sz w:val="20"/>
          <w:szCs w:val="20"/>
        </w:rPr>
      </w:pPr>
      <w:r w:rsidRPr="00CD3E0E">
        <w:rPr>
          <w:rFonts w:ascii="Verdana" w:hAnsi="Verdana" w:cs="Arial"/>
          <w:b/>
          <w:sz w:val="20"/>
          <w:szCs w:val="20"/>
        </w:rPr>
        <w:t xml:space="preserve">Processo Administrativo n° </w:t>
      </w:r>
      <w:r w:rsidR="00604CBF">
        <w:rPr>
          <w:rFonts w:ascii="Verdana" w:hAnsi="Verdana" w:cs="Arial"/>
          <w:b/>
          <w:sz w:val="20"/>
          <w:szCs w:val="20"/>
        </w:rPr>
        <w:t>043/2026</w:t>
      </w:r>
    </w:p>
    <w:p w14:paraId="7ADF9EA5" w14:textId="77777777" w:rsidR="002B5BFA" w:rsidRPr="00CD3E0E" w:rsidRDefault="002B5BFA" w:rsidP="00CD3E0E">
      <w:pPr>
        <w:tabs>
          <w:tab w:val="left" w:pos="284"/>
        </w:tabs>
        <w:adjustRightInd w:val="0"/>
        <w:spacing w:line="360" w:lineRule="auto"/>
        <w:ind w:right="-30"/>
        <w:rPr>
          <w:rFonts w:ascii="Verdana" w:hAnsi="Verdana" w:cs="Arial"/>
          <w:sz w:val="20"/>
          <w:szCs w:val="20"/>
        </w:rPr>
      </w:pPr>
    </w:p>
    <w:p w14:paraId="01F2BBC5" w14:textId="5B1EC137" w:rsidR="002B5BFA" w:rsidRPr="00CD3E0E" w:rsidRDefault="002B5BFA" w:rsidP="00CD3E0E">
      <w:pPr>
        <w:tabs>
          <w:tab w:val="left" w:pos="284"/>
          <w:tab w:val="center" w:pos="4779"/>
          <w:tab w:val="right" w:pos="9198"/>
        </w:tabs>
        <w:adjustRightInd w:val="0"/>
        <w:spacing w:line="360" w:lineRule="auto"/>
        <w:ind w:right="-28"/>
        <w:rPr>
          <w:rFonts w:ascii="Verdana" w:hAnsi="Verdana" w:cs="Arial"/>
          <w:sz w:val="20"/>
          <w:szCs w:val="20"/>
        </w:rPr>
      </w:pPr>
      <w:r w:rsidRPr="00CD3E0E">
        <w:rPr>
          <w:rFonts w:ascii="Verdana" w:hAnsi="Verdana" w:cs="Arial"/>
          <w:sz w:val="20"/>
          <w:szCs w:val="20"/>
        </w:rPr>
        <w:t xml:space="preserve">O(A) Prefeitura Municipal de Correntina, com sede no(a) Rua da Chácara, 445, Lot. Antônio de França, na cidade de Correntina, inscrito(a) no CNPJ/MF sob o nº 14.221.741/0001-07, neste ato representado(a) pelo(a) Prefeito Municipal </w:t>
      </w:r>
      <w:r w:rsidRPr="00CD3E0E">
        <w:rPr>
          <w:rFonts w:ascii="Verdana" w:hAnsi="Verdana" w:cstheme="minorHAnsi"/>
          <w:bCs/>
          <w:sz w:val="20"/>
          <w:szCs w:val="20"/>
        </w:rPr>
        <w:t xml:space="preserve">Walter Mariano Messias de Souza,  </w:t>
      </w:r>
      <w:r w:rsidRPr="00CD3E0E">
        <w:rPr>
          <w:rFonts w:ascii="Verdana" w:hAnsi="Verdana" w:cs="Arial"/>
          <w:sz w:val="20"/>
          <w:szCs w:val="20"/>
        </w:rPr>
        <w:t xml:space="preserve">,  considerando o julgamento da licitação na modalidade de pregão, na forma eletrônica, para REGISTRO DE PREÇOS nº </w:t>
      </w:r>
      <w:r w:rsidR="008F71C9">
        <w:rPr>
          <w:rFonts w:ascii="Verdana" w:hAnsi="Verdana" w:cs="Arial"/>
          <w:sz w:val="20"/>
          <w:szCs w:val="20"/>
        </w:rPr>
        <w:t>006</w:t>
      </w:r>
      <w:r w:rsidRPr="00CD3E0E">
        <w:rPr>
          <w:rFonts w:ascii="Verdana" w:hAnsi="Verdana" w:cs="Arial"/>
          <w:sz w:val="20"/>
          <w:szCs w:val="20"/>
        </w:rPr>
        <w:t>/202</w:t>
      </w:r>
      <w:r w:rsidR="008F71C9">
        <w:rPr>
          <w:rFonts w:ascii="Verdana" w:hAnsi="Verdana" w:cs="Arial"/>
          <w:sz w:val="20"/>
          <w:szCs w:val="20"/>
        </w:rPr>
        <w:t>6</w:t>
      </w:r>
      <w:r w:rsidRPr="00CD3E0E">
        <w:rPr>
          <w:rFonts w:ascii="Verdana" w:hAnsi="Verdana" w:cs="Arial"/>
          <w:sz w:val="20"/>
          <w:szCs w:val="20"/>
        </w:rPr>
        <w:t xml:space="preserve">, publicada no </w:t>
      </w:r>
      <w:r w:rsidRPr="00CD3E0E">
        <w:rPr>
          <w:rFonts w:ascii="Verdana" w:hAnsi="Verdana" w:cs="Arial"/>
          <w:b/>
          <w:i/>
          <w:sz w:val="20"/>
          <w:szCs w:val="20"/>
        </w:rPr>
        <w:t>XXX</w:t>
      </w:r>
      <w:r w:rsidRPr="00CD3E0E">
        <w:rPr>
          <w:rFonts w:ascii="Verdana" w:hAnsi="Verdana" w:cs="Arial"/>
          <w:sz w:val="20"/>
          <w:szCs w:val="20"/>
        </w:rPr>
        <w:t xml:space="preserve"> de </w:t>
      </w:r>
      <w:r w:rsidRPr="00CD3E0E">
        <w:rPr>
          <w:rFonts w:ascii="Verdana" w:hAnsi="Verdana" w:cs="Arial"/>
          <w:b/>
          <w:i/>
          <w:sz w:val="20"/>
          <w:szCs w:val="20"/>
        </w:rPr>
        <w:t>XXX</w:t>
      </w:r>
      <w:r w:rsidRPr="00CD3E0E">
        <w:rPr>
          <w:rFonts w:ascii="Verdana" w:hAnsi="Verdana" w:cs="Arial"/>
          <w:sz w:val="20"/>
          <w:szCs w:val="20"/>
        </w:rPr>
        <w:t xml:space="preserve"> de </w:t>
      </w:r>
      <w:r w:rsidRPr="00CD3E0E">
        <w:rPr>
          <w:rFonts w:ascii="Verdana" w:hAnsi="Verdana" w:cs="Arial"/>
          <w:b/>
          <w:i/>
          <w:sz w:val="20"/>
          <w:szCs w:val="20"/>
        </w:rPr>
        <w:t>XXX</w:t>
      </w:r>
      <w:r w:rsidRPr="00CD3E0E">
        <w:rPr>
          <w:rFonts w:ascii="Verdana" w:hAnsi="Verdana" w:cs="Arial"/>
          <w:sz w:val="20"/>
          <w:szCs w:val="20"/>
        </w:rPr>
        <w:t xml:space="preserve"> </w:t>
      </w:r>
      <w:r w:rsidRPr="00CD3E0E">
        <w:rPr>
          <w:rFonts w:ascii="Verdana" w:hAnsi="Verdana" w:cs="Arial"/>
          <w:b/>
          <w:bCs/>
          <w:i/>
          <w:iCs/>
          <w:sz w:val="20"/>
          <w:szCs w:val="20"/>
        </w:rPr>
        <w:t>XXX</w:t>
      </w:r>
      <w:r w:rsidRPr="00CD3E0E">
        <w:rPr>
          <w:rFonts w:ascii="Verdana" w:hAnsi="Verdana" w:cs="Arial"/>
          <w:b/>
          <w:i/>
          <w:sz w:val="20"/>
          <w:szCs w:val="20"/>
        </w:rPr>
        <w:t>X</w:t>
      </w:r>
      <w:r w:rsidRPr="00CD3E0E">
        <w:rPr>
          <w:rFonts w:ascii="Verdana" w:hAnsi="Verdana" w:cs="Arial"/>
          <w:sz w:val="20"/>
          <w:szCs w:val="20"/>
        </w:rPr>
        <w:t xml:space="preserve">, processo administrativo n.º </w:t>
      </w:r>
      <w:r w:rsidRPr="00CD3E0E">
        <w:rPr>
          <w:rFonts w:ascii="Verdana" w:hAnsi="Verdana" w:cs="Arial"/>
          <w:b/>
          <w:i/>
          <w:sz w:val="20"/>
          <w:szCs w:val="20"/>
        </w:rPr>
        <w:t>XXX</w:t>
      </w:r>
      <w:r w:rsidRPr="00CD3E0E">
        <w:rPr>
          <w:rFonts w:ascii="Verdana" w:hAnsi="Verdana" w:cs="Arial"/>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e em conformidade com as disposições a seguir:</w:t>
      </w:r>
    </w:p>
    <w:p w14:paraId="581A12E9" w14:textId="77777777" w:rsidR="002B5BFA" w:rsidRPr="00CD3E0E" w:rsidRDefault="002B5BFA" w:rsidP="00CD3E0E">
      <w:pPr>
        <w:tabs>
          <w:tab w:val="left" w:pos="284"/>
          <w:tab w:val="center" w:pos="4779"/>
          <w:tab w:val="right" w:pos="9198"/>
        </w:tabs>
        <w:adjustRightInd w:val="0"/>
        <w:spacing w:line="360" w:lineRule="auto"/>
        <w:ind w:right="-28"/>
        <w:rPr>
          <w:rFonts w:ascii="Verdana" w:hAnsi="Verdana" w:cs="Arial"/>
          <w:sz w:val="20"/>
          <w:szCs w:val="20"/>
        </w:rPr>
      </w:pPr>
    </w:p>
    <w:p w14:paraId="7B546423" w14:textId="77777777" w:rsidR="002B5BFA" w:rsidRPr="00CD3E0E" w:rsidRDefault="002B5BFA" w:rsidP="00CD3E0E">
      <w:pPr>
        <w:pStyle w:val="Nivel01"/>
        <w:numPr>
          <w:ilvl w:val="0"/>
          <w:numId w:val="6"/>
        </w:numPr>
        <w:tabs>
          <w:tab w:val="left" w:pos="284"/>
        </w:tabs>
        <w:spacing w:before="0" w:after="0" w:line="360" w:lineRule="auto"/>
        <w:ind w:left="0" w:right="0" w:firstLine="0"/>
        <w:rPr>
          <w:rStyle w:val="Ttulo1Char"/>
          <w:rFonts w:ascii="Verdana" w:hAnsi="Verdana"/>
          <w:sz w:val="20"/>
          <w:szCs w:val="20"/>
        </w:rPr>
      </w:pPr>
      <w:r w:rsidRPr="00CD3E0E">
        <w:rPr>
          <w:rStyle w:val="Ttulo1Char"/>
          <w:rFonts w:ascii="Verdana" w:hAnsi="Verdana"/>
          <w:b/>
          <w:sz w:val="20"/>
          <w:szCs w:val="20"/>
        </w:rPr>
        <w:t>DO OBJETO</w:t>
      </w:r>
    </w:p>
    <w:p w14:paraId="6F928E58" w14:textId="5548E402"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 xml:space="preserve">1.1. A presente Ata tem por objeto o registro de preços para a eventual contratação de </w:t>
      </w:r>
      <w:r w:rsidR="00952E33" w:rsidRPr="00C65DF7">
        <w:rPr>
          <w:rFonts w:ascii="Verdana" w:hAnsi="Verdana" w:cs="Arial"/>
          <w:b/>
          <w:sz w:val="20"/>
          <w:szCs w:val="20"/>
        </w:rPr>
        <w:t xml:space="preserve">REGISTRO DE PREÇOS </w:t>
      </w:r>
      <w:r w:rsidR="00952E33">
        <w:rPr>
          <w:rFonts w:ascii="Verdana" w:hAnsi="Verdana" w:cs="Arial"/>
          <w:b/>
          <w:sz w:val="20"/>
          <w:szCs w:val="20"/>
        </w:rPr>
        <w:t>PARA AQUISIÇÃO DE CESTA BASICA PARA ATENDER A NESCESSIDA DA SECRETARIA DE DESENVOLVIMENTO SOCIAL E CIDADANIA E DEMAIS SECRETARIA DO MUNICIPIO DE CORRENTINA</w:t>
      </w:r>
      <w:r w:rsidR="00952E33" w:rsidRPr="00C65DF7">
        <w:rPr>
          <w:rFonts w:ascii="Verdana" w:hAnsi="Verdana" w:cs="Calibri"/>
          <w:b/>
          <w:sz w:val="20"/>
          <w:szCs w:val="20"/>
        </w:rPr>
        <w:t xml:space="preserve"> - BA</w:t>
      </w:r>
      <w:r w:rsidRPr="00CD3E0E">
        <w:rPr>
          <w:rFonts w:ascii="Verdana" w:hAnsi="Verdana"/>
          <w:b/>
          <w:i/>
          <w:sz w:val="20"/>
          <w:szCs w:val="20"/>
        </w:rPr>
        <w:t>,</w:t>
      </w:r>
      <w:r w:rsidRPr="00CD3E0E">
        <w:rPr>
          <w:rFonts w:ascii="Verdana" w:hAnsi="Verdana"/>
          <w:sz w:val="20"/>
          <w:szCs w:val="20"/>
        </w:rPr>
        <w:t xml:space="preserve"> especificado (s) no (s) item(ns)</w:t>
      </w:r>
      <w:r w:rsidRPr="00CD3E0E">
        <w:rPr>
          <w:rFonts w:ascii="Verdana" w:hAnsi="Verdana"/>
          <w:b/>
          <w:i/>
          <w:sz w:val="20"/>
          <w:szCs w:val="20"/>
        </w:rPr>
        <w:t xml:space="preserve"> </w:t>
      </w:r>
      <w:r w:rsidRPr="00CD3E0E">
        <w:rPr>
          <w:rFonts w:ascii="Verdana" w:hAnsi="Verdana"/>
          <w:sz w:val="20"/>
          <w:szCs w:val="20"/>
        </w:rPr>
        <w:t xml:space="preserve">do </w:t>
      </w:r>
      <w:r w:rsidRPr="00CD3E0E">
        <w:rPr>
          <w:rFonts w:ascii="Verdana" w:hAnsi="Verdana"/>
          <w:b/>
          <w:i/>
          <w:sz w:val="20"/>
          <w:szCs w:val="20"/>
        </w:rPr>
        <w:t>XXX</w:t>
      </w:r>
      <w:r w:rsidRPr="00CD3E0E">
        <w:rPr>
          <w:rFonts w:ascii="Verdana" w:hAnsi="Verdana"/>
          <w:sz w:val="20"/>
          <w:szCs w:val="20"/>
        </w:rPr>
        <w:t xml:space="preserve"> Termo de Referência, anexo </w:t>
      </w:r>
      <w:r w:rsidRPr="00CD3E0E">
        <w:rPr>
          <w:rFonts w:ascii="Verdana" w:hAnsi="Verdana"/>
          <w:b/>
          <w:i/>
          <w:sz w:val="20"/>
          <w:szCs w:val="20"/>
        </w:rPr>
        <w:t>XXX</w:t>
      </w:r>
      <w:r w:rsidRPr="00CD3E0E">
        <w:rPr>
          <w:rFonts w:ascii="Verdana" w:hAnsi="Verdana"/>
          <w:i/>
          <w:sz w:val="20"/>
          <w:szCs w:val="20"/>
        </w:rPr>
        <w:t xml:space="preserve"> </w:t>
      </w:r>
      <w:r w:rsidRPr="00CD3E0E">
        <w:rPr>
          <w:rFonts w:ascii="Verdana" w:hAnsi="Verdana"/>
          <w:sz w:val="20"/>
          <w:szCs w:val="20"/>
        </w:rPr>
        <w:t>do Edital de Licitação nº</w:t>
      </w:r>
      <w:r w:rsidRPr="00CD3E0E">
        <w:rPr>
          <w:rFonts w:ascii="Verdana" w:hAnsi="Verdana"/>
          <w:i/>
          <w:sz w:val="20"/>
          <w:szCs w:val="20"/>
        </w:rPr>
        <w:t xml:space="preserve"> </w:t>
      </w:r>
      <w:r w:rsidR="00EA0BDF">
        <w:rPr>
          <w:rFonts w:ascii="Verdana" w:hAnsi="Verdana"/>
          <w:i/>
          <w:sz w:val="20"/>
          <w:szCs w:val="20"/>
        </w:rPr>
        <w:t>0</w:t>
      </w:r>
      <w:r w:rsidR="00604CBF">
        <w:rPr>
          <w:rFonts w:ascii="Verdana" w:hAnsi="Verdana"/>
          <w:i/>
          <w:sz w:val="20"/>
          <w:szCs w:val="20"/>
        </w:rPr>
        <w:t>06</w:t>
      </w:r>
      <w:r w:rsidR="00EA0BDF">
        <w:rPr>
          <w:rFonts w:ascii="Verdana" w:hAnsi="Verdana"/>
          <w:i/>
          <w:sz w:val="20"/>
          <w:szCs w:val="20"/>
        </w:rPr>
        <w:t>/202</w:t>
      </w:r>
      <w:r w:rsidR="00604CBF">
        <w:rPr>
          <w:rFonts w:ascii="Verdana" w:hAnsi="Verdana"/>
          <w:i/>
          <w:sz w:val="20"/>
          <w:szCs w:val="20"/>
        </w:rPr>
        <w:t>6</w:t>
      </w:r>
      <w:r w:rsidRPr="00CD3E0E">
        <w:rPr>
          <w:rFonts w:ascii="Verdana" w:hAnsi="Verdana"/>
          <w:i/>
          <w:sz w:val="20"/>
          <w:szCs w:val="20"/>
        </w:rPr>
        <w:t>)</w:t>
      </w:r>
      <w:r w:rsidRPr="00CD3E0E">
        <w:rPr>
          <w:rFonts w:ascii="Verdana" w:hAnsi="Verdana"/>
          <w:sz w:val="20"/>
          <w:szCs w:val="20"/>
        </w:rPr>
        <w:t>, que é parte integrante desta Ata, assim como as propostas cujos preços tenham sido registrados, independentemente de transcrição.</w:t>
      </w:r>
    </w:p>
    <w:p w14:paraId="646BBAEE"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p>
    <w:p w14:paraId="13EF2B22" w14:textId="77777777" w:rsidR="002B5BFA" w:rsidRPr="00CD3E0E" w:rsidRDefault="002B5BFA" w:rsidP="00CD3E0E">
      <w:pPr>
        <w:pStyle w:val="Nivel01"/>
        <w:numPr>
          <w:ilvl w:val="0"/>
          <w:numId w:val="6"/>
        </w:numPr>
        <w:tabs>
          <w:tab w:val="left" w:pos="284"/>
        </w:tabs>
        <w:spacing w:before="0" w:after="0" w:line="360" w:lineRule="auto"/>
        <w:ind w:left="0" w:right="0" w:firstLine="0"/>
        <w:rPr>
          <w:rStyle w:val="Ttulo1Char"/>
          <w:rFonts w:ascii="Verdana" w:hAnsi="Verdana"/>
          <w:sz w:val="20"/>
          <w:szCs w:val="20"/>
        </w:rPr>
      </w:pPr>
      <w:r w:rsidRPr="00CD3E0E">
        <w:rPr>
          <w:rStyle w:val="Ttulo1Char"/>
          <w:rFonts w:ascii="Verdana" w:hAnsi="Verdana"/>
          <w:b/>
          <w:sz w:val="20"/>
          <w:szCs w:val="20"/>
        </w:rPr>
        <w:t>DOS PREÇOS, ESPECIFICAÇÕES E QUANTITATIVOS</w:t>
      </w:r>
    </w:p>
    <w:p w14:paraId="595675B1" w14:textId="77777777" w:rsidR="002B5BFA" w:rsidRPr="00CD3E0E" w:rsidRDefault="002B5BFA" w:rsidP="00CD3E0E">
      <w:pPr>
        <w:pStyle w:val="Nivel2"/>
        <w:numPr>
          <w:ilvl w:val="1"/>
          <w:numId w:val="6"/>
        </w:numPr>
        <w:tabs>
          <w:tab w:val="left" w:pos="284"/>
        </w:tabs>
        <w:autoSpaceDE w:val="0"/>
        <w:autoSpaceDN w:val="0"/>
        <w:adjustRightInd w:val="0"/>
        <w:spacing w:before="0" w:after="0" w:line="360" w:lineRule="auto"/>
        <w:ind w:left="0" w:firstLine="0"/>
        <w:rPr>
          <w:rFonts w:ascii="Verdana" w:hAnsi="Verdana"/>
          <w:sz w:val="20"/>
          <w:szCs w:val="20"/>
        </w:rPr>
      </w:pPr>
      <w:r w:rsidRPr="00CD3E0E">
        <w:rPr>
          <w:rFonts w:ascii="Verdana" w:hAnsi="Verdana"/>
          <w:sz w:val="20"/>
          <w:szCs w:val="20"/>
        </w:rPr>
        <w:t xml:space="preserve">O preço registrado, as especificações do objeto, as quantidades mínimas e máximas de cada item, fornecedor (es) e as demais condições ofertadas </w:t>
      </w:r>
      <w:proofErr w:type="gramStart"/>
      <w:r w:rsidRPr="00CD3E0E">
        <w:rPr>
          <w:rFonts w:ascii="Verdana" w:hAnsi="Verdana"/>
          <w:sz w:val="20"/>
          <w:szCs w:val="20"/>
        </w:rPr>
        <w:t>na(</w:t>
      </w:r>
      <w:proofErr w:type="gramEnd"/>
      <w:r w:rsidRPr="00CD3E0E">
        <w:rPr>
          <w:rFonts w:ascii="Verdana" w:hAnsi="Verdana"/>
          <w:sz w:val="20"/>
          <w:szCs w:val="20"/>
        </w:rPr>
        <w:t xml:space="preserve">s) proposta(s) são as que seguem: </w:t>
      </w:r>
    </w:p>
    <w:p w14:paraId="64EDE5EF" w14:textId="77777777" w:rsidR="002B5BFA" w:rsidRPr="00CD3E0E" w:rsidRDefault="002B5BFA" w:rsidP="00CD3E0E">
      <w:pPr>
        <w:pStyle w:val="Nivel2"/>
        <w:numPr>
          <w:ilvl w:val="1"/>
          <w:numId w:val="6"/>
        </w:numPr>
        <w:tabs>
          <w:tab w:val="left" w:pos="284"/>
        </w:tabs>
        <w:autoSpaceDE w:val="0"/>
        <w:autoSpaceDN w:val="0"/>
        <w:adjustRightInd w:val="0"/>
        <w:spacing w:before="0" w:after="0" w:line="360" w:lineRule="auto"/>
        <w:ind w:left="0" w:firstLine="0"/>
        <w:rPr>
          <w:rFonts w:ascii="Verdana" w:hAnsi="Verdana"/>
          <w:sz w:val="20"/>
          <w:szCs w:val="20"/>
        </w:rPr>
      </w:pPr>
      <w:r w:rsidRPr="00CD3E0E">
        <w:rPr>
          <w:rFonts w:ascii="Verdana" w:hAnsi="Verdana"/>
          <w:sz w:val="20"/>
          <w:szCs w:val="20"/>
        </w:rPr>
        <w:t>Planilha de preços proposta pelo fornecedor:</w:t>
      </w:r>
    </w:p>
    <w:tbl>
      <w:tblPr>
        <w:tblStyle w:val="Tabelacomgrade"/>
        <w:tblW w:w="0" w:type="auto"/>
        <w:tblInd w:w="1283" w:type="dxa"/>
        <w:tblLook w:val="04A0" w:firstRow="1" w:lastRow="0" w:firstColumn="1" w:lastColumn="0" w:noHBand="0" w:noVBand="1"/>
      </w:tblPr>
      <w:tblGrid>
        <w:gridCol w:w="1334"/>
        <w:gridCol w:w="1334"/>
        <w:gridCol w:w="1334"/>
        <w:gridCol w:w="1334"/>
        <w:gridCol w:w="1334"/>
        <w:gridCol w:w="1334"/>
      </w:tblGrid>
      <w:tr w:rsidR="002B5BFA" w:rsidRPr="00CD3E0E" w14:paraId="23D8FC71" w14:textId="77777777" w:rsidTr="002B5BFA">
        <w:tc>
          <w:tcPr>
            <w:tcW w:w="1533" w:type="dxa"/>
            <w:tcBorders>
              <w:top w:val="single" w:sz="4" w:space="0" w:color="auto"/>
              <w:left w:val="single" w:sz="4" w:space="0" w:color="auto"/>
              <w:bottom w:val="single" w:sz="4" w:space="0" w:color="auto"/>
              <w:right w:val="single" w:sz="4" w:space="0" w:color="auto"/>
            </w:tcBorders>
          </w:tcPr>
          <w:p w14:paraId="159AEB7A"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3" w:type="dxa"/>
            <w:tcBorders>
              <w:top w:val="single" w:sz="4" w:space="0" w:color="auto"/>
              <w:left w:val="single" w:sz="4" w:space="0" w:color="auto"/>
              <w:bottom w:val="single" w:sz="4" w:space="0" w:color="auto"/>
              <w:right w:val="single" w:sz="4" w:space="0" w:color="auto"/>
            </w:tcBorders>
          </w:tcPr>
          <w:p w14:paraId="73485F24"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3A76CE48"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7AD470B3"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42F48D58"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3ADF4EA6"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r>
      <w:tr w:rsidR="002B5BFA" w:rsidRPr="00CD3E0E" w14:paraId="2922249D" w14:textId="77777777" w:rsidTr="002B5BFA">
        <w:tc>
          <w:tcPr>
            <w:tcW w:w="1533" w:type="dxa"/>
            <w:tcBorders>
              <w:top w:val="single" w:sz="4" w:space="0" w:color="auto"/>
              <w:left w:val="single" w:sz="4" w:space="0" w:color="auto"/>
              <w:bottom w:val="single" w:sz="4" w:space="0" w:color="auto"/>
              <w:right w:val="single" w:sz="4" w:space="0" w:color="auto"/>
            </w:tcBorders>
          </w:tcPr>
          <w:p w14:paraId="56592F20"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3" w:type="dxa"/>
            <w:tcBorders>
              <w:top w:val="single" w:sz="4" w:space="0" w:color="auto"/>
              <w:left w:val="single" w:sz="4" w:space="0" w:color="auto"/>
              <w:bottom w:val="single" w:sz="4" w:space="0" w:color="auto"/>
              <w:right w:val="single" w:sz="4" w:space="0" w:color="auto"/>
            </w:tcBorders>
          </w:tcPr>
          <w:p w14:paraId="3671C1AE"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45200EFF"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79EC1DDB"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724256DD"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760B434F"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r>
    </w:tbl>
    <w:p w14:paraId="1B77B7BD"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p w14:paraId="5AD086D4" w14:textId="77777777" w:rsidR="002B5BFA" w:rsidRPr="00CD3E0E" w:rsidRDefault="002B5BFA" w:rsidP="00CD3E0E">
      <w:pPr>
        <w:pStyle w:val="Nivel01"/>
        <w:numPr>
          <w:ilvl w:val="0"/>
          <w:numId w:val="6"/>
        </w:numPr>
        <w:tabs>
          <w:tab w:val="left" w:pos="284"/>
        </w:tabs>
        <w:spacing w:before="0" w:after="0" w:line="360" w:lineRule="auto"/>
        <w:ind w:left="0" w:right="0" w:firstLine="0"/>
        <w:rPr>
          <w:rFonts w:ascii="Verdana" w:hAnsi="Verdana"/>
          <w:color w:val="0F4761" w:themeColor="accent1" w:themeShade="BF"/>
        </w:rPr>
      </w:pPr>
      <w:proofErr w:type="gramStart"/>
      <w:r w:rsidRPr="00CD3E0E">
        <w:rPr>
          <w:rFonts w:ascii="Verdana" w:hAnsi="Verdana"/>
          <w:color w:val="0F4761" w:themeColor="accent1" w:themeShade="BF"/>
        </w:rPr>
        <w:t>ÓRGÃO(</w:t>
      </w:r>
      <w:proofErr w:type="gramEnd"/>
      <w:r w:rsidRPr="00CD3E0E">
        <w:rPr>
          <w:rFonts w:ascii="Verdana" w:hAnsi="Verdana"/>
          <w:color w:val="0F4761" w:themeColor="accent1" w:themeShade="BF"/>
        </w:rPr>
        <w:t>S) GERENCIADOR E PARTICIPANTE(S)</w:t>
      </w:r>
    </w:p>
    <w:p w14:paraId="0CD16390" w14:textId="15CF8E93"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 xml:space="preserve">3.1. O órgão gerenciador será o A secretaria Municipal </w:t>
      </w:r>
      <w:r w:rsidR="00F36033" w:rsidRPr="00CD3E0E">
        <w:rPr>
          <w:rFonts w:ascii="Verdana" w:hAnsi="Verdana"/>
          <w:sz w:val="20"/>
          <w:szCs w:val="20"/>
        </w:rPr>
        <w:t>de</w:t>
      </w:r>
      <w:r w:rsidR="00952E33">
        <w:rPr>
          <w:rFonts w:ascii="Verdana" w:hAnsi="Verdana"/>
          <w:sz w:val="20"/>
          <w:szCs w:val="20"/>
        </w:rPr>
        <w:t xml:space="preserve"> Desenvolvimento Social e Cidadania </w:t>
      </w:r>
      <w:r w:rsidRPr="00CD3E0E">
        <w:rPr>
          <w:rFonts w:ascii="Verdana" w:hAnsi="Verdana"/>
          <w:sz w:val="20"/>
          <w:szCs w:val="20"/>
        </w:rPr>
        <w:t>de Correntina</w:t>
      </w:r>
    </w:p>
    <w:p w14:paraId="57E5380B" w14:textId="77777777" w:rsidR="002B5BFA" w:rsidRPr="00CD3E0E" w:rsidRDefault="002B5BFA" w:rsidP="00CD3E0E">
      <w:pPr>
        <w:pStyle w:val="Nvel2-Red"/>
        <w:tabs>
          <w:tab w:val="left" w:pos="284"/>
        </w:tabs>
        <w:spacing w:before="0" w:after="0" w:line="360" w:lineRule="auto"/>
        <w:ind w:left="0" w:firstLine="0"/>
        <w:rPr>
          <w:rFonts w:ascii="Verdana" w:hAnsi="Verdana"/>
          <w:i w:val="0"/>
          <w:iCs w:val="0"/>
          <w:color w:val="auto"/>
        </w:rPr>
      </w:pPr>
      <w:r w:rsidRPr="00CD3E0E">
        <w:rPr>
          <w:rFonts w:ascii="Verdana" w:hAnsi="Verdana"/>
          <w:i w:val="0"/>
          <w:iCs w:val="0"/>
          <w:color w:val="auto"/>
        </w:rPr>
        <w:t>3.2. Além do gerenciador, não há órgãos e entidades públicas participantes do registro de preços.</w:t>
      </w:r>
    </w:p>
    <w:p w14:paraId="1E22C151" w14:textId="77777777" w:rsidR="002B5BFA" w:rsidRPr="00CD3E0E" w:rsidRDefault="002B5BFA" w:rsidP="00CD3E0E">
      <w:pPr>
        <w:pStyle w:val="Nivel01"/>
        <w:numPr>
          <w:ilvl w:val="0"/>
          <w:numId w:val="6"/>
        </w:numPr>
        <w:tabs>
          <w:tab w:val="left" w:pos="284"/>
        </w:tabs>
        <w:spacing w:before="0" w:after="0" w:line="360" w:lineRule="auto"/>
        <w:ind w:left="0" w:right="0" w:firstLine="0"/>
        <w:rPr>
          <w:rFonts w:ascii="Verdana" w:hAnsi="Verdana"/>
          <w:i/>
          <w:color w:val="0F4761" w:themeColor="accent1" w:themeShade="BF"/>
        </w:rPr>
      </w:pPr>
      <w:r w:rsidRPr="00CD3E0E">
        <w:rPr>
          <w:rFonts w:ascii="Verdana" w:hAnsi="Verdana"/>
          <w:color w:val="0F4761" w:themeColor="accent1" w:themeShade="BF"/>
        </w:rPr>
        <w:lastRenderedPageBreak/>
        <w:t xml:space="preserve">DA ADESÃO À ATA DE REGISTRO DE PREÇOS </w:t>
      </w:r>
    </w:p>
    <w:p w14:paraId="365F134C"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78742066"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4.1.1. Apresentação de justificativa da vantagem da adesão, inclusive em situações de provável desabastecimento ou descontinuidade de serviço público;</w:t>
      </w:r>
    </w:p>
    <w:p w14:paraId="1A0BE86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4.1.2. Demonstração de que os valores registrados estão compatíveis com os valores praticados pelo mercado na forma do art. 23 da Lei nº 14.133, de 2021; e</w:t>
      </w:r>
    </w:p>
    <w:p w14:paraId="55E0BC12"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4.1.3. Consulta e aceitação prévias do órgão ou da entidade gerenciadora e do fornecedor.</w:t>
      </w:r>
    </w:p>
    <w:p w14:paraId="299BDEE6"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4.2. A autorização do órgão ou entidade gerenciadora apenas será realizada após a aceitação da adesão pelo fornecedor.</w:t>
      </w:r>
    </w:p>
    <w:p w14:paraId="5BC2E7A8"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4.2.1. O órgão ou entidade gerenciadora poderá rejeitar adesões caso elas possam acarretar prejuízo à execução de seus próprios contratos ou à sua capacidade de gerenciamento.</w:t>
      </w:r>
    </w:p>
    <w:p w14:paraId="5F3E0A8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4.3. Após a autorização do órgão ou da entidade gerenciadora, o órgão ou entidade não participante deverá efetivar a aquisição ou a contratação solicitada em até noventa dias, observado o prazo de vigência da ata.</w:t>
      </w:r>
    </w:p>
    <w:p w14:paraId="6A267F22"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4.4.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61E82DFD"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4.5. O órgão ou a entidade poderá aderir a item da ata de registro de preços da qual seja integrante, na qualidade de não participante, para aqueles itens para os quais não tenha quantitativo registrado, observados os requisitos do item 4.1.</w:t>
      </w:r>
    </w:p>
    <w:p w14:paraId="664C4727" w14:textId="77777777" w:rsidR="002B5BFA" w:rsidRPr="00CD3E0E" w:rsidRDefault="002B5BFA" w:rsidP="00CD3E0E">
      <w:pPr>
        <w:pStyle w:val="SubTitNN"/>
        <w:tabs>
          <w:tab w:val="left" w:pos="284"/>
        </w:tabs>
        <w:spacing w:before="0" w:after="0" w:line="360" w:lineRule="auto"/>
        <w:rPr>
          <w:rFonts w:ascii="Verdana" w:hAnsi="Verdana"/>
        </w:rPr>
      </w:pPr>
      <w:r w:rsidRPr="00CD3E0E">
        <w:rPr>
          <w:rFonts w:ascii="Verdana" w:hAnsi="Verdana"/>
        </w:rPr>
        <w:t>Dos limites para as adesões</w:t>
      </w:r>
    </w:p>
    <w:p w14:paraId="1752A0AD" w14:textId="77777777" w:rsidR="002B5BFA" w:rsidRPr="00CD3E0E" w:rsidRDefault="002B5BFA" w:rsidP="00CD3E0E">
      <w:pPr>
        <w:pStyle w:val="Nvel2-Red"/>
        <w:tabs>
          <w:tab w:val="left" w:pos="284"/>
        </w:tabs>
        <w:spacing w:before="0" w:after="0" w:line="360" w:lineRule="auto"/>
        <w:ind w:left="0" w:firstLine="0"/>
        <w:rPr>
          <w:rFonts w:ascii="Verdana" w:hAnsi="Verdana"/>
          <w:i w:val="0"/>
          <w:color w:val="auto"/>
        </w:rPr>
      </w:pPr>
      <w:r w:rsidRPr="00CD3E0E">
        <w:rPr>
          <w:rFonts w:ascii="Verdana" w:hAnsi="Verdana"/>
          <w:i w:val="0"/>
          <w:color w:val="auto"/>
        </w:rPr>
        <w:t>4.6. As aquisições ou contratações adicionais não poderão exceder, por órgão ou entidade, a cinquenta por cento dos quantitativos dos itens do instrumento convocatório registrados na ata de registro de preços para o gerenciador e para os participantes.</w:t>
      </w:r>
    </w:p>
    <w:p w14:paraId="57EAC9D7" w14:textId="77777777" w:rsidR="002B5BFA" w:rsidRPr="00CD3E0E" w:rsidRDefault="002B5BFA" w:rsidP="00CD3E0E">
      <w:pPr>
        <w:pStyle w:val="Nvel2-Red"/>
        <w:tabs>
          <w:tab w:val="left" w:pos="284"/>
        </w:tabs>
        <w:spacing w:before="0" w:after="0" w:line="360" w:lineRule="auto"/>
        <w:ind w:left="0" w:firstLine="0"/>
        <w:rPr>
          <w:rFonts w:ascii="Verdana" w:hAnsi="Verdana"/>
          <w:i w:val="0"/>
          <w:color w:val="auto"/>
        </w:rPr>
      </w:pPr>
      <w:r w:rsidRPr="00CD3E0E">
        <w:rPr>
          <w:rFonts w:ascii="Verdana" w:hAnsi="Verdana"/>
          <w:i w:val="0"/>
          <w:color w:val="auto"/>
        </w:rPr>
        <w:t>4.7.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54E1166" w14:textId="77777777" w:rsidR="002B5BFA" w:rsidRPr="00CD3E0E" w:rsidRDefault="002B5BFA" w:rsidP="00CD3E0E">
      <w:pPr>
        <w:pStyle w:val="Nvel2-Red"/>
        <w:tabs>
          <w:tab w:val="left" w:pos="284"/>
        </w:tabs>
        <w:spacing w:before="0" w:after="0" w:line="360" w:lineRule="auto"/>
        <w:ind w:left="0" w:firstLine="0"/>
        <w:rPr>
          <w:rFonts w:ascii="Verdana" w:hAnsi="Verdana"/>
          <w:i w:val="0"/>
          <w:color w:val="auto"/>
        </w:rPr>
      </w:pPr>
      <w:r w:rsidRPr="00CD3E0E">
        <w:rPr>
          <w:rFonts w:ascii="Verdana" w:hAnsi="Verdana"/>
          <w:i w:val="0"/>
          <w:color w:val="auto"/>
        </w:rPr>
        <w:t>4.8. Para aquisição emergencial de medicamentos e material de consumo médico-hospitalar por órgãos e en</w:t>
      </w:r>
      <w:r w:rsidRPr="00CD3E0E">
        <w:rPr>
          <w:rFonts w:ascii="Verdana" w:eastAsia="Arial" w:hAnsi="Verdana"/>
          <w:i w:val="0"/>
          <w:color w:val="auto"/>
        </w:rPr>
        <w:t>ti</w:t>
      </w:r>
      <w:r w:rsidRPr="00CD3E0E">
        <w:rPr>
          <w:rFonts w:ascii="Verdana" w:hAnsi="Verdana"/>
          <w:i w:val="0"/>
          <w:color w:val="auto"/>
        </w:rPr>
        <w:t xml:space="preserve">dades da Administração Pública federal, estadual, distrital e </w:t>
      </w:r>
      <w:r w:rsidRPr="00CD3E0E">
        <w:rPr>
          <w:rFonts w:ascii="Verdana" w:hAnsi="Verdana"/>
          <w:i w:val="0"/>
          <w:color w:val="auto"/>
        </w:rPr>
        <w:lastRenderedPageBreak/>
        <w:t>municipal, a adesão à ata de registro de preços gerenciada pelo Ministério da Saúde não estará sujeita ao limite previsto no item 4.7.</w:t>
      </w:r>
    </w:p>
    <w:p w14:paraId="7EFE5D27"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4.9. A adesão à ata de registro de preços por órgãos e en</w:t>
      </w:r>
      <w:r w:rsidRPr="00CD3E0E">
        <w:rPr>
          <w:rFonts w:ascii="Verdana" w:eastAsia="Arial" w:hAnsi="Verdana"/>
          <w:sz w:val="20"/>
          <w:szCs w:val="20"/>
        </w:rPr>
        <w:t>ti</w:t>
      </w:r>
      <w:r w:rsidRPr="00CD3E0E">
        <w:rPr>
          <w:rFonts w:ascii="Verdana" w:hAnsi="Verdana"/>
          <w:sz w:val="20"/>
          <w:szCs w:val="20"/>
        </w:rPr>
        <w:t>dades da Administração Pública estadual, distrital e municipal poderá ser exigida para fins de transferências voluntárias, não ficando sujeita ao limite de que trata o item 4.6, desde que seja des</w:t>
      </w:r>
      <w:r w:rsidRPr="00CD3E0E">
        <w:rPr>
          <w:rFonts w:ascii="Verdana" w:eastAsia="Arial" w:hAnsi="Verdana"/>
          <w:sz w:val="20"/>
          <w:szCs w:val="20"/>
        </w:rPr>
        <w:t>ti</w:t>
      </w:r>
      <w:r w:rsidRPr="00CD3E0E">
        <w:rPr>
          <w:rFonts w:ascii="Verdana" w:hAnsi="Verdana"/>
          <w:sz w:val="20"/>
          <w:szCs w:val="20"/>
        </w:rPr>
        <w:t>nada à execução descentralizada de programa ou projeto federal e comprovada a compatibilidade dos preços registrados com os valores praticados no mercado na forma do art. 23 da Lei nº 14.133, de 2021.</w:t>
      </w:r>
    </w:p>
    <w:p w14:paraId="7F489EF8" w14:textId="77777777" w:rsidR="002B5BFA" w:rsidRPr="00CD3E0E" w:rsidRDefault="002B5BFA" w:rsidP="00CD3E0E">
      <w:pPr>
        <w:pStyle w:val="Nivel2"/>
        <w:numPr>
          <w:ilvl w:val="0"/>
          <w:numId w:val="0"/>
        </w:numPr>
        <w:tabs>
          <w:tab w:val="left" w:pos="284"/>
        </w:tabs>
        <w:spacing w:before="0" w:after="0" w:line="360" w:lineRule="auto"/>
        <w:rPr>
          <w:rFonts w:ascii="Verdana" w:hAnsi="Verdana"/>
          <w:color w:val="00B050"/>
          <w:sz w:val="20"/>
          <w:szCs w:val="20"/>
        </w:rPr>
      </w:pPr>
      <w:r w:rsidRPr="00CD3E0E">
        <w:rPr>
          <w:rFonts w:ascii="Verdana" w:hAnsi="Verdana"/>
          <w:sz w:val="20"/>
          <w:szCs w:val="20"/>
        </w:rPr>
        <w:t>4.10. É vedado efetuar acréscimos nos quantitativos fixados na ata de registro de preços.</w:t>
      </w:r>
    </w:p>
    <w:p w14:paraId="5D1506E8" w14:textId="77777777" w:rsidR="002B5BFA" w:rsidRPr="00CD3E0E" w:rsidRDefault="002B5BFA" w:rsidP="00CD3E0E">
      <w:pPr>
        <w:pStyle w:val="Nivel01"/>
        <w:tabs>
          <w:tab w:val="left" w:pos="284"/>
        </w:tabs>
        <w:spacing w:before="0" w:after="0" w:line="360" w:lineRule="auto"/>
        <w:rPr>
          <w:rFonts w:ascii="Verdana" w:hAnsi="Verdana"/>
          <w:color w:val="0F4761" w:themeColor="accent1" w:themeShade="BF"/>
        </w:rPr>
      </w:pPr>
      <w:r w:rsidRPr="00CD3E0E">
        <w:rPr>
          <w:rFonts w:ascii="Verdana" w:hAnsi="Verdana"/>
          <w:color w:val="0F4761" w:themeColor="accent1" w:themeShade="BF"/>
        </w:rPr>
        <w:t>5. VALIDADE, FORMALIZAÇÃO DA ATA DE REGISTRO DE PREÇOS E CADASTRO RESERVA</w:t>
      </w:r>
    </w:p>
    <w:p w14:paraId="0AB6DDBB"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 A validade da Ata de Registro de Preços será de 1 (um) ano, contado a partir do primeiro dia útil subsequente à data de divulgação no Portal Nacional de Contratações Públicas (PNCP), podendo ser prorrogada por igual período, mediante a anuência do fornecedor, desde que comprovado o preço vantajoso.</w:t>
      </w:r>
    </w:p>
    <w:p w14:paraId="2465148B"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4D1E88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5.1.2. Na formalização do contrato ou do instrumento substituto deverá haver a indicação da disponibilidade dos créditos orçamentários respectivos.</w:t>
      </w:r>
    </w:p>
    <w:p w14:paraId="13D20FDC"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5.2. A contratação com os fornecedores registrados na ata será formalizada pelo órgão ou pela en</w:t>
      </w:r>
      <w:r w:rsidRPr="00CD3E0E">
        <w:rPr>
          <w:rFonts w:ascii="Verdana" w:eastAsia="Arial" w:hAnsi="Verdana" w:cs="Arial"/>
          <w:sz w:val="20"/>
          <w:szCs w:val="20"/>
        </w:rPr>
        <w:t>ti</w:t>
      </w:r>
      <w:r w:rsidRPr="00CD3E0E">
        <w:rPr>
          <w:rFonts w:ascii="Verdana" w:hAnsi="Verdana" w:cs="Arial"/>
          <w:sz w:val="20"/>
          <w:szCs w:val="20"/>
        </w:rPr>
        <w:t>dade interessada por intermédio de instrumento contratual, emissão de nota de empenho de despesa, autorização de compra ou outro instrumento hábil, conforme o art. 95 da Lei nº 14.133, de 2021.</w:t>
      </w:r>
    </w:p>
    <w:p w14:paraId="7CB720B8"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5.2.1. O instrumento contratual de que trata o item 5.2 deverá ser assinado no prazo de validade da ata de registro de preços.</w:t>
      </w:r>
    </w:p>
    <w:p w14:paraId="186F1CB8"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5.3. Os contratos decorrentes do sistema de registro de preços poderão ser alterados, observado o art. 124 da Lei nº 14.133, de 2021.</w:t>
      </w:r>
    </w:p>
    <w:p w14:paraId="79AD8BA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5.4. Após a homologação da licitação ou da contratação direta, deverão ser observadas as seguintes condições para formalização da ata de registro de preços:</w:t>
      </w:r>
    </w:p>
    <w:p w14:paraId="11D319C0"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5.4.1. Serão registrados na ata os preços e os quantita</w:t>
      </w:r>
      <w:r w:rsidRPr="00CD3E0E">
        <w:rPr>
          <w:rFonts w:ascii="Verdana" w:eastAsia="Arial" w:hAnsi="Verdana" w:cs="Arial"/>
          <w:sz w:val="20"/>
          <w:szCs w:val="20"/>
        </w:rPr>
        <w:t>ti</w:t>
      </w:r>
      <w:r w:rsidRPr="00CD3E0E">
        <w:rPr>
          <w:rFonts w:ascii="Verdana" w:hAnsi="Verdana" w:cs="Arial"/>
          <w:sz w:val="20"/>
          <w:szCs w:val="20"/>
        </w:rPr>
        <w:t>vos do adjudicatário, devendo ser observada a possibilidade de o licitante oferecer ou não proposta em quantitativo inferior ao máximo previsto no Edital</w:t>
      </w:r>
      <w:r w:rsidRPr="00CD3E0E">
        <w:rPr>
          <w:rFonts w:ascii="Verdana" w:hAnsi="Verdana" w:cs="Arial"/>
          <w:i/>
          <w:sz w:val="20"/>
          <w:szCs w:val="20"/>
        </w:rPr>
        <w:t xml:space="preserve"> </w:t>
      </w:r>
      <w:r w:rsidRPr="00CD3E0E">
        <w:rPr>
          <w:rFonts w:ascii="Verdana" w:hAnsi="Verdana" w:cs="Arial"/>
          <w:sz w:val="20"/>
          <w:szCs w:val="20"/>
        </w:rPr>
        <w:t>e se obrigar nos limites dela;</w:t>
      </w:r>
    </w:p>
    <w:p w14:paraId="6A8FA84C"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5.4.2. Será incluído na ata, na forma de anexo, o registro dos licitantes ou dos fornecedores que:</w:t>
      </w:r>
    </w:p>
    <w:p w14:paraId="24386BBD" w14:textId="77777777" w:rsidR="002B5BFA" w:rsidRPr="00CD3E0E" w:rsidRDefault="002B5BFA" w:rsidP="00CD3E0E">
      <w:pPr>
        <w:pStyle w:val="Nvel4"/>
        <w:tabs>
          <w:tab w:val="left" w:pos="284"/>
        </w:tabs>
        <w:spacing w:before="0" w:after="0" w:line="360" w:lineRule="auto"/>
        <w:ind w:left="0" w:firstLine="0"/>
        <w:rPr>
          <w:rFonts w:ascii="Verdana" w:hAnsi="Verdana"/>
          <w:color w:val="auto"/>
        </w:rPr>
      </w:pPr>
      <w:r w:rsidRPr="00CD3E0E">
        <w:rPr>
          <w:rFonts w:ascii="Verdana" w:hAnsi="Verdana"/>
          <w:color w:val="auto"/>
        </w:rPr>
        <w:t xml:space="preserve">5.4.2.1. Aceitarem cotar os bens, as obras ou os serviços com preços iguais aos do adjudicatário, observada a classificação da licitação; e </w:t>
      </w:r>
    </w:p>
    <w:p w14:paraId="2389FC5E" w14:textId="77777777" w:rsidR="002B5BFA" w:rsidRPr="00CD3E0E" w:rsidRDefault="002B5BFA" w:rsidP="00CD3E0E">
      <w:pPr>
        <w:pStyle w:val="Nvel4"/>
        <w:tabs>
          <w:tab w:val="left" w:pos="284"/>
        </w:tabs>
        <w:spacing w:before="0" w:after="0" w:line="360" w:lineRule="auto"/>
        <w:ind w:left="0" w:firstLine="0"/>
        <w:rPr>
          <w:rFonts w:ascii="Verdana" w:hAnsi="Verdana"/>
          <w:color w:val="auto"/>
        </w:rPr>
      </w:pPr>
      <w:r w:rsidRPr="00CD3E0E">
        <w:rPr>
          <w:rFonts w:ascii="Verdana" w:hAnsi="Verdana"/>
          <w:color w:val="auto"/>
        </w:rPr>
        <w:lastRenderedPageBreak/>
        <w:t xml:space="preserve">5.4.2.2. Mantiverem sua proposta original. </w:t>
      </w:r>
      <w:bookmarkStart w:id="37" w:name="cadastro_reserva"/>
      <w:bookmarkEnd w:id="37"/>
    </w:p>
    <w:p w14:paraId="7FA3594B"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5.4.3. Será respeitada, nas contratações, a ordem de classificação dos licitantes ou dos fornecedores registrados na ata.</w:t>
      </w:r>
    </w:p>
    <w:p w14:paraId="38A58676"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5.5. O registro a que se refere o item 5.4.2</w:t>
      </w:r>
      <w:r w:rsidRPr="00CD3E0E">
        <w:rPr>
          <w:rFonts w:ascii="Verdana" w:hAnsi="Verdana"/>
          <w:b/>
          <w:sz w:val="20"/>
          <w:szCs w:val="20"/>
        </w:rPr>
        <w:t xml:space="preserve"> </w:t>
      </w:r>
      <w:r w:rsidRPr="00CD3E0E">
        <w:rPr>
          <w:rFonts w:ascii="Verdana" w:hAnsi="Verdana"/>
          <w:sz w:val="20"/>
          <w:szCs w:val="20"/>
        </w:rPr>
        <w:t>tem por obje</w:t>
      </w:r>
      <w:r w:rsidRPr="00CD3E0E">
        <w:rPr>
          <w:rFonts w:ascii="Verdana" w:eastAsia="Arial" w:hAnsi="Verdana"/>
          <w:sz w:val="20"/>
          <w:szCs w:val="20"/>
        </w:rPr>
        <w:t>ti</w:t>
      </w:r>
      <w:r w:rsidRPr="00CD3E0E">
        <w:rPr>
          <w:rFonts w:ascii="Verdana" w:hAnsi="Verdana"/>
          <w:sz w:val="20"/>
          <w:szCs w:val="20"/>
        </w:rPr>
        <w:t>vo a formação de cadastro de reserva para o caso de impossibilidade de atendimento pelo signatário da ata.</w:t>
      </w:r>
    </w:p>
    <w:p w14:paraId="41242C37"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5.6. Para fins da ordem de classificação, os licitantes ou fornecedores que aceitarem reduzir suas propostas para o preço do adjudicatário antecederão aqueles que mantiverem sua proposta original.</w:t>
      </w:r>
    </w:p>
    <w:p w14:paraId="23C12189" w14:textId="4E9B9893"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5.7. A habilitação dos licitantes que comporão o cadastro de reserva a que se refere o somente será efetuada quando houver necessidade de contratação dos licitantes remanescentes, nas seguintes hipóteses:</w:t>
      </w:r>
      <w:bookmarkStart w:id="38" w:name="habilitacao_reserva"/>
      <w:bookmarkEnd w:id="38"/>
    </w:p>
    <w:p w14:paraId="4330394B"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5.7.1. Quando o licitante vencedor não assinar a ata de registro de preços, no prazo e nas condições estabelecidos no Edital</w:t>
      </w:r>
      <w:r w:rsidRPr="00CD3E0E">
        <w:rPr>
          <w:rFonts w:ascii="Verdana" w:hAnsi="Verdana"/>
          <w:iCs/>
          <w:color w:val="auto"/>
        </w:rPr>
        <w:t xml:space="preserve">; </w:t>
      </w:r>
      <w:r w:rsidRPr="00CD3E0E">
        <w:rPr>
          <w:rFonts w:ascii="Verdana" w:hAnsi="Verdana"/>
          <w:color w:val="auto"/>
        </w:rPr>
        <w:t>e</w:t>
      </w:r>
    </w:p>
    <w:p w14:paraId="2C12D8C0" w14:textId="0F484F2B"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5.7.2. Quando houver o cancelamento do registro do licitante ou do registro de pre</w:t>
      </w:r>
      <w:r w:rsidR="005F64F4">
        <w:rPr>
          <w:rFonts w:ascii="Verdana" w:hAnsi="Verdana"/>
          <w:color w:val="auto"/>
        </w:rPr>
        <w:t>ços nas hipóteses previstas no edital</w:t>
      </w:r>
      <w:r w:rsidRPr="00CD3E0E">
        <w:rPr>
          <w:rFonts w:ascii="Verdana" w:hAnsi="Verdana"/>
          <w:color w:val="auto"/>
        </w:rPr>
        <w:t>.</w:t>
      </w:r>
    </w:p>
    <w:p w14:paraId="6A1203CE"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5.8. O preço registrado com indicação dos licitantes e fornecedores será divulgado no PNCP e ficará disponibilizado durante a vigência da ata de registro de preços.</w:t>
      </w:r>
    </w:p>
    <w:p w14:paraId="5028EFAB"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5.9.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4D7F5A4C"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5.9.1. O prazo de convocação poderá ser prorrogado 1 (uma) vez, por igual período, mediante solicitação do licitante ou fornecedor convocado, desde que apresentada dentro do prazo, devidamente justificada, e que a justificativa seja aceita pela Administração.</w:t>
      </w:r>
    </w:p>
    <w:p w14:paraId="29B7F405"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5.10. A Ata de Registro de Preços será assinada por meio de assinatura digital e disponibilizada no Sistema de Registro de Preços.</w:t>
      </w:r>
    </w:p>
    <w:p w14:paraId="11193890" w14:textId="36501BEF"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5.11. Quando o convocado não assinar a ata de registro de preços no prazo e nas condições estabelecidos no edital ou no aviso de contratação, e observado o disposto no, observando o item 5.7 e subitens, fica facultado à Administração convocar os licitantes remanescentes do cadastro de reserva, na ordem de classificação, para fazê-lo em igual prazo e nas condições propostas pelo primeiro classificado.</w:t>
      </w:r>
      <w:bookmarkStart w:id="39" w:name="recusa_dos_que_baixaram_preco"/>
      <w:bookmarkEnd w:id="39"/>
    </w:p>
    <w:p w14:paraId="0F9BB080"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5.12. Na hipótese de nenhum dos licitantes que trata o item 5.4.2.1, aceitar a contratação nos termos do item anterior, a Administração, observados o valor es</w:t>
      </w:r>
      <w:r w:rsidRPr="00CD3E0E">
        <w:rPr>
          <w:rFonts w:ascii="Verdana" w:eastAsia="Arial" w:hAnsi="Verdana"/>
          <w:sz w:val="20"/>
          <w:szCs w:val="20"/>
        </w:rPr>
        <w:t>ti</w:t>
      </w:r>
      <w:r w:rsidRPr="00CD3E0E">
        <w:rPr>
          <w:rFonts w:ascii="Verdana" w:hAnsi="Verdana"/>
          <w:sz w:val="20"/>
          <w:szCs w:val="20"/>
        </w:rPr>
        <w:t>mado e sua eventual atualização nos termos no Edital, poderá:</w:t>
      </w:r>
    </w:p>
    <w:p w14:paraId="62CEDD37"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lastRenderedPageBreak/>
        <w:t>5.12.1. Convocar para negociação os demais licitantes ou fornecedores remanescentes cujos preços foram registrados sem redução, observada a ordem de classificação, com vistas à obtenção de preço melhor, mesmo que acima do preço do adjudicatário; ou</w:t>
      </w:r>
    </w:p>
    <w:p w14:paraId="35096218"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5.12.2. Adjudicar e firmar o contrato nas condições ofertadas pelos licitantes ou fornecedores remanescentes, atendida a ordem classificatória, quando frustrada a negociação de melhor condição.</w:t>
      </w:r>
    </w:p>
    <w:p w14:paraId="440507C3"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0278327"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rPr>
      </w:pPr>
      <w:r w:rsidRPr="00CD3E0E">
        <w:rPr>
          <w:rFonts w:ascii="Verdana" w:hAnsi="Verdana" w:cs="Arial"/>
          <w:b/>
          <w:bCs/>
          <w:color w:val="0F4761" w:themeColor="accent1" w:themeShade="BF"/>
          <w:sz w:val="20"/>
          <w:szCs w:val="20"/>
        </w:rPr>
        <w:t>6. ALTERAÇÃO OU ATUALIZAÇÃO DOS PREÇOS REGISTRADOS</w:t>
      </w:r>
    </w:p>
    <w:p w14:paraId="56DF256A"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 Os preços registrados poderão ser alterados ou atualizados em decorrência de eventual redução dos preços pra</w:t>
      </w:r>
      <w:r w:rsidRPr="00CD3E0E">
        <w:rPr>
          <w:rFonts w:ascii="Verdana" w:eastAsia="Calibri" w:hAnsi="Verdana" w:cs="Arial"/>
          <w:sz w:val="20"/>
          <w:szCs w:val="20"/>
        </w:rPr>
        <w:t>ti</w:t>
      </w:r>
      <w:r w:rsidRPr="00CD3E0E">
        <w:rPr>
          <w:rFonts w:ascii="Verdana" w:hAnsi="Verdana" w:cs="Arial"/>
          <w:sz w:val="20"/>
          <w:szCs w:val="20"/>
        </w:rPr>
        <w:t>cados no mercado ou de fato que eleve o custo dos bens, das obras ou dos serviços registrados, nas seguintes situações:</w:t>
      </w:r>
    </w:p>
    <w:p w14:paraId="49AB40D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49E2DF61"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6.1.2. Em caso de criação, alteração ou ex</w:t>
      </w:r>
      <w:r w:rsidRPr="00CD3E0E">
        <w:rPr>
          <w:rFonts w:ascii="Verdana" w:eastAsia="Calibri" w:hAnsi="Verdana" w:cs="Arial"/>
          <w:sz w:val="20"/>
          <w:szCs w:val="20"/>
        </w:rPr>
        <w:t>ti</w:t>
      </w:r>
      <w:r w:rsidRPr="00CD3E0E">
        <w:rPr>
          <w:rFonts w:ascii="Verdana" w:hAnsi="Verdana" w:cs="Arial"/>
          <w:sz w:val="20"/>
          <w:szCs w:val="20"/>
        </w:rPr>
        <w:t xml:space="preserve">nção de quaisquer tributos ou encargos legais ou a superveniência de disposições legais, com comprovada repercussão sobre os preços registrados; </w:t>
      </w:r>
    </w:p>
    <w:p w14:paraId="1FA0685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6.1.3. Na hipótese de previsão no edital ou no aviso de contratação direta de cláusula de reajustamento ou repactuação sobre os preços registrados, nos termos da Lei nº 14.133, de 2021.</w:t>
      </w:r>
    </w:p>
    <w:p w14:paraId="67CF1B0E"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6.1.3.1. No caso do reajustamento, deverá ser respeitada a contagem da anualidade e o índice previstos para a contratação;  </w:t>
      </w:r>
    </w:p>
    <w:p w14:paraId="0F4DDF4D"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6.1.3.2. No caso da repactuação, poderá ser a pedido do interessado, conforme critérios definidos para a contratação.</w:t>
      </w:r>
    </w:p>
    <w:p w14:paraId="6EB2EE18" w14:textId="77777777" w:rsidR="002B5BFA" w:rsidRPr="00CD3E0E" w:rsidRDefault="002B5BFA" w:rsidP="00CD3E0E">
      <w:pPr>
        <w:pStyle w:val="Nivel01"/>
        <w:tabs>
          <w:tab w:val="left" w:pos="284"/>
        </w:tabs>
        <w:spacing w:before="0" w:after="0" w:line="360" w:lineRule="auto"/>
        <w:rPr>
          <w:rFonts w:ascii="Verdana" w:hAnsi="Verdana"/>
          <w:color w:val="0F4761" w:themeColor="accent1" w:themeShade="BF"/>
        </w:rPr>
      </w:pPr>
      <w:r w:rsidRPr="00CD3E0E">
        <w:rPr>
          <w:rFonts w:ascii="Verdana" w:hAnsi="Verdana"/>
          <w:color w:val="0F4761" w:themeColor="accent1" w:themeShade="BF"/>
        </w:rPr>
        <w:t>7. NEGOCIAÇÃO DE PREÇOS REGISTRADOS</w:t>
      </w:r>
    </w:p>
    <w:p w14:paraId="6164FCB6"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7.1. Na hipótese de o preço registrado tornar-se superior ao preço pra</w:t>
      </w:r>
      <w:r w:rsidRPr="00CD3E0E">
        <w:rPr>
          <w:rFonts w:ascii="Verdana" w:eastAsia="Calibri" w:hAnsi="Verdana"/>
          <w:sz w:val="20"/>
          <w:szCs w:val="20"/>
        </w:rPr>
        <w:t>ti</w:t>
      </w:r>
      <w:r w:rsidRPr="00CD3E0E">
        <w:rPr>
          <w:rFonts w:ascii="Verdana" w:hAnsi="Verdana"/>
          <w:sz w:val="20"/>
          <w:szCs w:val="20"/>
        </w:rPr>
        <w:t>cado no mercado por mo</w:t>
      </w:r>
      <w:r w:rsidRPr="00CD3E0E">
        <w:rPr>
          <w:rFonts w:ascii="Verdana" w:eastAsia="Calibri" w:hAnsi="Verdana"/>
          <w:sz w:val="20"/>
          <w:szCs w:val="20"/>
        </w:rPr>
        <w:t>ti</w:t>
      </w:r>
      <w:r w:rsidRPr="00CD3E0E">
        <w:rPr>
          <w:rFonts w:ascii="Verdana" w:hAnsi="Verdana"/>
          <w:sz w:val="20"/>
          <w:szCs w:val="20"/>
        </w:rPr>
        <w:t>vo superveniente, o órgão ou en</w:t>
      </w:r>
      <w:r w:rsidRPr="00CD3E0E">
        <w:rPr>
          <w:rFonts w:ascii="Verdana" w:eastAsia="Calibri" w:hAnsi="Verdana"/>
          <w:sz w:val="20"/>
          <w:szCs w:val="20"/>
        </w:rPr>
        <w:t>ti</w:t>
      </w:r>
      <w:r w:rsidRPr="00CD3E0E">
        <w:rPr>
          <w:rFonts w:ascii="Verdana" w:hAnsi="Verdana"/>
          <w:sz w:val="20"/>
          <w:szCs w:val="20"/>
        </w:rPr>
        <w:t>dade gerenciadora convocará o fornecedor para negociar a redução do preço registrado.</w:t>
      </w:r>
    </w:p>
    <w:p w14:paraId="7A3FC4D4"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7.1.1. Caso não aceite reduzir seu preço aos valores pra</w:t>
      </w:r>
      <w:r w:rsidRPr="00CD3E0E">
        <w:rPr>
          <w:rFonts w:ascii="Verdana" w:eastAsia="Calibri" w:hAnsi="Verdana"/>
          <w:color w:val="auto"/>
        </w:rPr>
        <w:t>ti</w:t>
      </w:r>
      <w:r w:rsidRPr="00CD3E0E">
        <w:rPr>
          <w:rFonts w:ascii="Verdana" w:hAnsi="Verdana"/>
          <w:color w:val="auto"/>
        </w:rPr>
        <w:t>cados pelo mercado, o fornecedor será liberado do compromisso assumido quanto ao item registrado, sem aplicação de penalidades administrativas.</w:t>
      </w:r>
    </w:p>
    <w:p w14:paraId="7B6EFCBC"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 xml:space="preserve">7.1.2. Na hipótese prevista no item anterior, o gerenciador convocará os fornecedores do cadastro de reserva, na ordem de classificação, para verificar se aceitam reduzir seus </w:t>
      </w:r>
      <w:r w:rsidRPr="00CD3E0E">
        <w:rPr>
          <w:rFonts w:ascii="Verdana" w:hAnsi="Verdana"/>
          <w:color w:val="auto"/>
        </w:rPr>
        <w:lastRenderedPageBreak/>
        <w:t xml:space="preserve">preços aos valores de mercado e não convocará os licitantes ou fornecedores que tiveram seu registro cancelado. </w:t>
      </w:r>
    </w:p>
    <w:p w14:paraId="6BE2C4EF"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7.1.3. Se não obtiver êxito nas negociações, o órgão ou en</w:t>
      </w:r>
      <w:r w:rsidRPr="00CD3E0E">
        <w:rPr>
          <w:rFonts w:ascii="Verdana" w:eastAsia="Calibri" w:hAnsi="Verdana"/>
          <w:color w:val="auto"/>
        </w:rPr>
        <w:t>tid</w:t>
      </w:r>
      <w:r w:rsidRPr="00CD3E0E">
        <w:rPr>
          <w:rFonts w:ascii="Verdana" w:hAnsi="Verdana"/>
          <w:color w:val="auto"/>
        </w:rPr>
        <w:t>ade gerenciadora procederá ao cancelamento da ata de registro de preços, adotando as medidas cabíveis para obtenção de contratação mais vantajosa.</w:t>
      </w:r>
      <w:bookmarkStart w:id="40" w:name="reducao_preco_mercado_negociacao_frustra"/>
      <w:bookmarkEnd w:id="40"/>
    </w:p>
    <w:p w14:paraId="75AA02C7"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7.1.4. Na hipótese de redução do preço registrado, o gerenciador comunicará aos órgãos e às en</w:t>
      </w:r>
      <w:r w:rsidRPr="00CD3E0E">
        <w:rPr>
          <w:rFonts w:ascii="Verdana" w:eastAsia="Calibri" w:hAnsi="Verdana"/>
          <w:color w:val="auto"/>
        </w:rPr>
        <w:t>ti</w:t>
      </w:r>
      <w:r w:rsidRPr="00CD3E0E">
        <w:rPr>
          <w:rFonts w:ascii="Verdana" w:hAnsi="Verdana"/>
          <w:color w:val="auto"/>
        </w:rPr>
        <w:t xml:space="preserve">dades que </w:t>
      </w:r>
      <w:r w:rsidRPr="00CD3E0E">
        <w:rPr>
          <w:rFonts w:ascii="Verdana" w:eastAsia="Calibri" w:hAnsi="Verdana"/>
          <w:color w:val="auto"/>
        </w:rPr>
        <w:t>ti</w:t>
      </w:r>
      <w:r w:rsidRPr="00CD3E0E">
        <w:rPr>
          <w:rFonts w:ascii="Verdana" w:hAnsi="Verdana"/>
          <w:color w:val="auto"/>
        </w:rPr>
        <w:t>verem firmado contratos decorrentes da ata de registro de preços para que avaliem a conveniência e a oportunidade de diligenciarem negociação com vistas à alteração contratual, observado o disposto no art. 124 da Lei nº 14.133, de 2021.</w:t>
      </w:r>
    </w:p>
    <w:p w14:paraId="1639732C"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1" w:name="hipotese_preco_mercado_maior"/>
      <w:bookmarkEnd w:id="41"/>
    </w:p>
    <w:p w14:paraId="35042199"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7.2.1. Neste caso, o fornecedor encaminhará, juntamente com o pedido de alteração, a documentação comprobatória ou a planilha de custos que demonstre a inviabilidade do preço registrado em relação às condições inicialmente pactuadas.</w:t>
      </w:r>
      <w:bookmarkStart w:id="42" w:name="prova_preco_mercado_maior"/>
      <w:bookmarkEnd w:id="42"/>
    </w:p>
    <w:p w14:paraId="7A89B069" w14:textId="26939F89"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7.2.2. Não hipótese de não comprovação da existência de fato superveniente que inviabilize o preço registrado, o pedido será indeferido pelo órgão ou en</w:t>
      </w:r>
      <w:r w:rsidRPr="00CD3E0E">
        <w:rPr>
          <w:rFonts w:ascii="Verdana" w:eastAsia="Calibri" w:hAnsi="Verdana"/>
          <w:color w:val="auto"/>
        </w:rPr>
        <w:t>ti</w:t>
      </w:r>
      <w:r w:rsidRPr="00CD3E0E">
        <w:rPr>
          <w:rFonts w:ascii="Verdana" w:hAnsi="Verdana"/>
          <w:color w:val="auto"/>
        </w:rPr>
        <w:t>dade gerenciadora e o fornecedor deverá cumprir as obrigações estabelecidas na ata, sob pena de cancelamento do seu registro, sem prejuízo das sanções previstas na Lei nº 14.133, de 2021, e na legislação aplicável.</w:t>
      </w:r>
      <w:bookmarkStart w:id="43" w:name="nao_comprovacao_majoracao_mercado"/>
      <w:bookmarkEnd w:id="43"/>
    </w:p>
    <w:p w14:paraId="0F41B771"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672710F0" w14:textId="67498275"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7.2.4. Se não obtiver êxito nas negociações, o órgão ou entidade gerenciadora procederá ao cancelament</w:t>
      </w:r>
      <w:r w:rsidR="001E0469">
        <w:rPr>
          <w:rFonts w:ascii="Verdana" w:hAnsi="Verdana"/>
          <w:color w:val="auto"/>
        </w:rPr>
        <w:t xml:space="preserve">o da ata de registro de preços </w:t>
      </w:r>
      <w:r w:rsidRPr="00CD3E0E">
        <w:rPr>
          <w:rFonts w:ascii="Verdana" w:hAnsi="Verdana"/>
          <w:color w:val="auto"/>
        </w:rPr>
        <w:t>e adotará as medidas cabíveis para a obtenção da contratação mais vantajosa.</w:t>
      </w:r>
      <w:bookmarkStart w:id="44" w:name="majora_preco_mercado_negociacao_frustra"/>
      <w:bookmarkEnd w:id="44"/>
    </w:p>
    <w:p w14:paraId="60C1AB71" w14:textId="1EF5DB4D"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7.2.5. Na hipótese de comprovação da majoração do preço de mercado que inviabilize o preço registrado, conforme previsto no</w:t>
      </w:r>
      <w:r w:rsidR="001E0469">
        <w:rPr>
          <w:rFonts w:ascii="Verdana" w:hAnsi="Verdana"/>
          <w:color w:val="auto"/>
        </w:rPr>
        <w:t xml:space="preserve"> edital</w:t>
      </w:r>
      <w:r w:rsidRPr="00CD3E0E">
        <w:rPr>
          <w:rFonts w:ascii="Verdana" w:hAnsi="Verdana"/>
          <w:color w:val="auto"/>
        </w:rPr>
        <w:t>, o órgão ou en</w:t>
      </w:r>
      <w:r w:rsidRPr="00CD3E0E">
        <w:rPr>
          <w:rFonts w:ascii="Verdana" w:eastAsia="Calibri" w:hAnsi="Verdana"/>
          <w:color w:val="auto"/>
        </w:rPr>
        <w:t>ti</w:t>
      </w:r>
      <w:r w:rsidRPr="00CD3E0E">
        <w:rPr>
          <w:rFonts w:ascii="Verdana" w:hAnsi="Verdana"/>
          <w:color w:val="auto"/>
        </w:rPr>
        <w:t>dade gerenciadora atualizará o preço registrado, de acordo com a realidade dos valores praticados pelo mercado.</w:t>
      </w:r>
    </w:p>
    <w:p w14:paraId="00DAE93E"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7.2.6. O órgão ou en</w:t>
      </w:r>
      <w:r w:rsidRPr="00CD3E0E">
        <w:rPr>
          <w:rFonts w:ascii="Verdana" w:eastAsia="Calibri" w:hAnsi="Verdana"/>
          <w:color w:val="auto"/>
        </w:rPr>
        <w:t>ti</w:t>
      </w:r>
      <w:r w:rsidRPr="00CD3E0E">
        <w:rPr>
          <w:rFonts w:ascii="Verdana" w:hAnsi="Verdana"/>
          <w:color w:val="auto"/>
        </w:rPr>
        <w:t>dade gerenciadora comunicará aos órgãos e às en</w:t>
      </w:r>
      <w:r w:rsidRPr="00CD3E0E">
        <w:rPr>
          <w:rFonts w:ascii="Verdana" w:eastAsia="Calibri" w:hAnsi="Verdana"/>
          <w:color w:val="auto"/>
        </w:rPr>
        <w:t>ti</w:t>
      </w:r>
      <w:r w:rsidRPr="00CD3E0E">
        <w:rPr>
          <w:rFonts w:ascii="Verdana" w:hAnsi="Verdana"/>
          <w:color w:val="auto"/>
        </w:rPr>
        <w:t xml:space="preserve">dades que </w:t>
      </w:r>
      <w:r w:rsidRPr="00CD3E0E">
        <w:rPr>
          <w:rFonts w:ascii="Verdana" w:eastAsia="Calibri" w:hAnsi="Verdana"/>
          <w:color w:val="auto"/>
        </w:rPr>
        <w:t>ti</w:t>
      </w:r>
      <w:r w:rsidRPr="00CD3E0E">
        <w:rPr>
          <w:rFonts w:ascii="Verdana" w:hAnsi="Verdana"/>
          <w:color w:val="auto"/>
        </w:rPr>
        <w:t>verem firmado contratos decorrentes da ata de registro de preços sobre a efe</w:t>
      </w:r>
      <w:r w:rsidRPr="00CD3E0E">
        <w:rPr>
          <w:rFonts w:ascii="Verdana" w:eastAsia="Calibri" w:hAnsi="Verdana"/>
          <w:color w:val="auto"/>
        </w:rPr>
        <w:t>ti</w:t>
      </w:r>
      <w:r w:rsidRPr="00CD3E0E">
        <w:rPr>
          <w:rFonts w:ascii="Verdana" w:hAnsi="Verdana"/>
          <w:color w:val="auto"/>
        </w:rPr>
        <w:t xml:space="preserve">va </w:t>
      </w:r>
      <w:r w:rsidRPr="00CD3E0E">
        <w:rPr>
          <w:rFonts w:ascii="Verdana" w:hAnsi="Verdana"/>
          <w:color w:val="auto"/>
        </w:rPr>
        <w:lastRenderedPageBreak/>
        <w:t>alteração do preço registrado, para que avaliem a necessidade de alteração contratual, observado o disposto no art. 124 da Lei nº 14.133, de 2021.</w:t>
      </w:r>
    </w:p>
    <w:p w14:paraId="56F764EC"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vertAlign w:val="superscript"/>
        </w:rPr>
      </w:pPr>
      <w:r w:rsidRPr="00CD3E0E">
        <w:rPr>
          <w:rFonts w:ascii="Verdana" w:hAnsi="Verdana" w:cs="Arial"/>
          <w:b/>
          <w:bCs/>
          <w:color w:val="0F4761" w:themeColor="accent1" w:themeShade="BF"/>
          <w:sz w:val="20"/>
          <w:szCs w:val="20"/>
        </w:rPr>
        <w:t>8. REMANEJAMENTO DAS QUANTIDADES REGISTRADAS NA ATA DE REGISTRO DE PREÇOS</w:t>
      </w:r>
    </w:p>
    <w:p w14:paraId="6BE7922A"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8.1. As quan</w:t>
      </w:r>
      <w:r w:rsidRPr="00CD3E0E">
        <w:rPr>
          <w:rFonts w:ascii="Verdana" w:eastAsia="Arial" w:hAnsi="Verdana" w:cs="Arial"/>
          <w:sz w:val="20"/>
          <w:szCs w:val="20"/>
        </w:rPr>
        <w:t>ti</w:t>
      </w:r>
      <w:r w:rsidRPr="00CD3E0E">
        <w:rPr>
          <w:rFonts w:ascii="Verdana" w:hAnsi="Verdana" w:cs="Arial"/>
          <w:sz w:val="20"/>
          <w:szCs w:val="20"/>
        </w:rPr>
        <w:t>dades previstas para os itens com preços registrados nas atas de registro de preços poderão ser remanejadas pelo órgão ou en</w:t>
      </w:r>
      <w:r w:rsidRPr="00CD3E0E">
        <w:rPr>
          <w:rFonts w:ascii="Verdana" w:eastAsia="Arial" w:hAnsi="Verdana" w:cs="Arial"/>
          <w:sz w:val="20"/>
          <w:szCs w:val="20"/>
        </w:rPr>
        <w:t>ti</w:t>
      </w:r>
      <w:r w:rsidRPr="00CD3E0E">
        <w:rPr>
          <w:rFonts w:ascii="Verdana" w:hAnsi="Verdana" w:cs="Arial"/>
          <w:sz w:val="20"/>
          <w:szCs w:val="20"/>
        </w:rPr>
        <w:t>dade gerenciadora entre os órgãos ou as en</w:t>
      </w:r>
      <w:r w:rsidRPr="00CD3E0E">
        <w:rPr>
          <w:rFonts w:ascii="Verdana" w:eastAsia="Arial" w:hAnsi="Verdana" w:cs="Arial"/>
          <w:sz w:val="20"/>
          <w:szCs w:val="20"/>
        </w:rPr>
        <w:t>ti</w:t>
      </w:r>
      <w:r w:rsidRPr="00CD3E0E">
        <w:rPr>
          <w:rFonts w:ascii="Verdana" w:hAnsi="Verdana" w:cs="Arial"/>
          <w:sz w:val="20"/>
          <w:szCs w:val="20"/>
        </w:rPr>
        <w:t>dades par</w:t>
      </w:r>
      <w:r w:rsidRPr="00CD3E0E">
        <w:rPr>
          <w:rFonts w:ascii="Verdana" w:eastAsia="Arial" w:hAnsi="Verdana" w:cs="Arial"/>
          <w:sz w:val="20"/>
          <w:szCs w:val="20"/>
        </w:rPr>
        <w:t>ti</w:t>
      </w:r>
      <w:r w:rsidRPr="00CD3E0E">
        <w:rPr>
          <w:rFonts w:ascii="Verdana" w:hAnsi="Verdana" w:cs="Arial"/>
          <w:sz w:val="20"/>
          <w:szCs w:val="20"/>
        </w:rPr>
        <w:t>cipantes e não par</w:t>
      </w:r>
      <w:r w:rsidRPr="00CD3E0E">
        <w:rPr>
          <w:rFonts w:ascii="Verdana" w:eastAsia="Arial" w:hAnsi="Verdana" w:cs="Arial"/>
          <w:sz w:val="20"/>
          <w:szCs w:val="20"/>
        </w:rPr>
        <w:t>ti</w:t>
      </w:r>
      <w:r w:rsidRPr="00CD3E0E">
        <w:rPr>
          <w:rFonts w:ascii="Verdana" w:hAnsi="Verdana" w:cs="Arial"/>
          <w:sz w:val="20"/>
          <w:szCs w:val="20"/>
        </w:rPr>
        <w:t>cipantes do registro de preços.</w:t>
      </w:r>
    </w:p>
    <w:p w14:paraId="2DDF4CB2"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8.2. O remanejamento somente poderá ser feito:</w:t>
      </w:r>
    </w:p>
    <w:p w14:paraId="6A8E10AB"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8.2.1. De órgão ou en</w:t>
      </w:r>
      <w:r w:rsidRPr="00CD3E0E">
        <w:rPr>
          <w:rFonts w:ascii="Verdana" w:eastAsia="Arial" w:hAnsi="Verdana" w:cs="Arial"/>
          <w:sz w:val="20"/>
          <w:szCs w:val="20"/>
        </w:rPr>
        <w:t>ti</w:t>
      </w:r>
      <w:r w:rsidRPr="00CD3E0E">
        <w:rPr>
          <w:rFonts w:ascii="Verdana" w:hAnsi="Verdana" w:cs="Arial"/>
          <w:sz w:val="20"/>
          <w:szCs w:val="20"/>
        </w:rPr>
        <w:t>dade par</w:t>
      </w:r>
      <w:r w:rsidRPr="00CD3E0E">
        <w:rPr>
          <w:rFonts w:ascii="Verdana" w:eastAsia="Arial" w:hAnsi="Verdana" w:cs="Arial"/>
          <w:sz w:val="20"/>
          <w:szCs w:val="20"/>
        </w:rPr>
        <w:t>ti</w:t>
      </w:r>
      <w:r w:rsidRPr="00CD3E0E">
        <w:rPr>
          <w:rFonts w:ascii="Verdana" w:hAnsi="Verdana" w:cs="Arial"/>
          <w:sz w:val="20"/>
          <w:szCs w:val="20"/>
        </w:rPr>
        <w:t>cipante para órgão ou en</w:t>
      </w:r>
      <w:r w:rsidRPr="00CD3E0E">
        <w:rPr>
          <w:rFonts w:ascii="Verdana" w:eastAsia="Arial" w:hAnsi="Verdana" w:cs="Arial"/>
          <w:sz w:val="20"/>
          <w:szCs w:val="20"/>
        </w:rPr>
        <w:t>ti</w:t>
      </w:r>
      <w:r w:rsidRPr="00CD3E0E">
        <w:rPr>
          <w:rFonts w:ascii="Verdana" w:hAnsi="Verdana" w:cs="Arial"/>
          <w:sz w:val="20"/>
          <w:szCs w:val="20"/>
        </w:rPr>
        <w:t>dade par</w:t>
      </w:r>
      <w:r w:rsidRPr="00CD3E0E">
        <w:rPr>
          <w:rFonts w:ascii="Verdana" w:eastAsia="Arial" w:hAnsi="Verdana" w:cs="Arial"/>
          <w:sz w:val="20"/>
          <w:szCs w:val="20"/>
        </w:rPr>
        <w:t>ti</w:t>
      </w:r>
      <w:r w:rsidRPr="00CD3E0E">
        <w:rPr>
          <w:rFonts w:ascii="Verdana" w:hAnsi="Verdana" w:cs="Arial"/>
          <w:sz w:val="20"/>
          <w:szCs w:val="20"/>
        </w:rPr>
        <w:t>cipante; ou</w:t>
      </w:r>
    </w:p>
    <w:p w14:paraId="67225F50"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8.2.2. De órgão ou en</w:t>
      </w:r>
      <w:r w:rsidRPr="00CD3E0E">
        <w:rPr>
          <w:rFonts w:ascii="Verdana" w:eastAsia="Arial" w:hAnsi="Verdana" w:cs="Arial"/>
          <w:sz w:val="20"/>
          <w:szCs w:val="20"/>
        </w:rPr>
        <w:t>ti</w:t>
      </w:r>
      <w:r w:rsidRPr="00CD3E0E">
        <w:rPr>
          <w:rFonts w:ascii="Verdana" w:hAnsi="Verdana" w:cs="Arial"/>
          <w:sz w:val="20"/>
          <w:szCs w:val="20"/>
        </w:rPr>
        <w:t>dade par</w:t>
      </w:r>
      <w:r w:rsidRPr="00CD3E0E">
        <w:rPr>
          <w:rFonts w:ascii="Verdana" w:eastAsia="Arial" w:hAnsi="Verdana" w:cs="Arial"/>
          <w:sz w:val="20"/>
          <w:szCs w:val="20"/>
        </w:rPr>
        <w:t>ti</w:t>
      </w:r>
      <w:r w:rsidRPr="00CD3E0E">
        <w:rPr>
          <w:rFonts w:ascii="Verdana" w:hAnsi="Verdana" w:cs="Arial"/>
          <w:sz w:val="20"/>
          <w:szCs w:val="20"/>
        </w:rPr>
        <w:t>cipante para órgão ou entidade não participante.</w:t>
      </w:r>
    </w:p>
    <w:p w14:paraId="2CAF6F2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8.3. O órgão ou en</w:t>
      </w:r>
      <w:r w:rsidRPr="00CD3E0E">
        <w:rPr>
          <w:rFonts w:ascii="Verdana" w:eastAsia="Arial" w:hAnsi="Verdana" w:cs="Arial"/>
          <w:sz w:val="20"/>
          <w:szCs w:val="20"/>
        </w:rPr>
        <w:t>ti</w:t>
      </w:r>
      <w:r w:rsidRPr="00CD3E0E">
        <w:rPr>
          <w:rFonts w:ascii="Verdana" w:hAnsi="Verdana" w:cs="Arial"/>
          <w:sz w:val="20"/>
          <w:szCs w:val="20"/>
        </w:rPr>
        <w:t>dade gerenciadora que tiver es</w:t>
      </w:r>
      <w:r w:rsidRPr="00CD3E0E">
        <w:rPr>
          <w:rFonts w:ascii="Verdana" w:eastAsia="Arial" w:hAnsi="Verdana" w:cs="Arial"/>
          <w:sz w:val="20"/>
          <w:szCs w:val="20"/>
        </w:rPr>
        <w:t>ti</w:t>
      </w:r>
      <w:r w:rsidRPr="00CD3E0E">
        <w:rPr>
          <w:rFonts w:ascii="Verdana" w:hAnsi="Verdana" w:cs="Arial"/>
          <w:sz w:val="20"/>
          <w:szCs w:val="20"/>
        </w:rPr>
        <w:t>mado as quan</w:t>
      </w:r>
      <w:r w:rsidRPr="00CD3E0E">
        <w:rPr>
          <w:rFonts w:ascii="Verdana" w:eastAsia="Arial" w:hAnsi="Verdana" w:cs="Arial"/>
          <w:sz w:val="20"/>
          <w:szCs w:val="20"/>
        </w:rPr>
        <w:t>ti</w:t>
      </w:r>
      <w:r w:rsidRPr="00CD3E0E">
        <w:rPr>
          <w:rFonts w:ascii="Verdana" w:hAnsi="Verdana" w:cs="Arial"/>
          <w:sz w:val="20"/>
          <w:szCs w:val="20"/>
        </w:rPr>
        <w:t>dades que pretende contratar será considerado participante para efeito do remanejamento.</w:t>
      </w:r>
      <w:bookmarkStart w:id="45" w:name="gerenciador_estimador_é_partic_em_remane"/>
      <w:bookmarkEnd w:id="45"/>
    </w:p>
    <w:p w14:paraId="61491FDC"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8.4. Na hipótese de remanejamento de órgão ou entidade par</w:t>
      </w:r>
      <w:r w:rsidRPr="00CD3E0E">
        <w:rPr>
          <w:rFonts w:ascii="Verdana" w:eastAsia="Arial" w:hAnsi="Verdana" w:cs="Arial"/>
          <w:sz w:val="20"/>
          <w:szCs w:val="20"/>
        </w:rPr>
        <w:t>ti</w:t>
      </w:r>
      <w:r w:rsidRPr="00CD3E0E">
        <w:rPr>
          <w:rFonts w:ascii="Verdana" w:hAnsi="Verdana" w:cs="Arial"/>
          <w:sz w:val="20"/>
          <w:szCs w:val="20"/>
        </w:rPr>
        <w:t>cipante para órgão ou entidade não participante, serão observados os limites previstos em lei.</w:t>
      </w:r>
    </w:p>
    <w:p w14:paraId="4D582731"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8.5. Competirá ao órgão ou à en</w:t>
      </w:r>
      <w:r w:rsidRPr="00CD3E0E">
        <w:rPr>
          <w:rFonts w:ascii="Verdana" w:eastAsia="Arial" w:hAnsi="Verdana" w:cs="Arial"/>
          <w:sz w:val="20"/>
          <w:szCs w:val="20"/>
        </w:rPr>
        <w:t>ti</w:t>
      </w:r>
      <w:r w:rsidRPr="00CD3E0E">
        <w:rPr>
          <w:rFonts w:ascii="Verdana" w:hAnsi="Verdana" w:cs="Arial"/>
          <w:sz w:val="20"/>
          <w:szCs w:val="20"/>
        </w:rPr>
        <w:t>dade gerenciadora autorizar o remanejamento solicitado, com a redução do quan</w:t>
      </w:r>
      <w:r w:rsidRPr="00CD3E0E">
        <w:rPr>
          <w:rFonts w:ascii="Verdana" w:eastAsia="Arial" w:hAnsi="Verdana" w:cs="Arial"/>
          <w:sz w:val="20"/>
          <w:szCs w:val="20"/>
        </w:rPr>
        <w:t>ti</w:t>
      </w:r>
      <w:r w:rsidRPr="00CD3E0E">
        <w:rPr>
          <w:rFonts w:ascii="Verdana" w:hAnsi="Verdana" w:cs="Arial"/>
          <w:sz w:val="20"/>
          <w:szCs w:val="20"/>
        </w:rPr>
        <w:t>ta</w:t>
      </w:r>
      <w:r w:rsidRPr="00CD3E0E">
        <w:rPr>
          <w:rFonts w:ascii="Verdana" w:eastAsia="Arial" w:hAnsi="Verdana" w:cs="Arial"/>
          <w:sz w:val="20"/>
          <w:szCs w:val="20"/>
        </w:rPr>
        <w:t>ti</w:t>
      </w:r>
      <w:r w:rsidRPr="00CD3E0E">
        <w:rPr>
          <w:rFonts w:ascii="Verdana" w:hAnsi="Verdana" w:cs="Arial"/>
          <w:sz w:val="20"/>
          <w:szCs w:val="20"/>
        </w:rPr>
        <w:t>vo inicialmente informado pelo órgão ou pela en</w:t>
      </w:r>
      <w:r w:rsidRPr="00CD3E0E">
        <w:rPr>
          <w:rFonts w:ascii="Verdana" w:eastAsia="Arial" w:hAnsi="Verdana" w:cs="Arial"/>
          <w:sz w:val="20"/>
          <w:szCs w:val="20"/>
        </w:rPr>
        <w:t>ti</w:t>
      </w:r>
      <w:r w:rsidRPr="00CD3E0E">
        <w:rPr>
          <w:rFonts w:ascii="Verdana" w:hAnsi="Verdana" w:cs="Arial"/>
          <w:sz w:val="20"/>
          <w:szCs w:val="20"/>
        </w:rPr>
        <w:t>dade par</w:t>
      </w:r>
      <w:r w:rsidRPr="00CD3E0E">
        <w:rPr>
          <w:rFonts w:ascii="Verdana" w:eastAsia="Arial" w:hAnsi="Verdana" w:cs="Arial"/>
          <w:sz w:val="20"/>
          <w:szCs w:val="20"/>
        </w:rPr>
        <w:t>ti</w:t>
      </w:r>
      <w:r w:rsidRPr="00CD3E0E">
        <w:rPr>
          <w:rFonts w:ascii="Verdana" w:hAnsi="Verdana" w:cs="Arial"/>
          <w:sz w:val="20"/>
          <w:szCs w:val="20"/>
        </w:rPr>
        <w:t>cipante, desde que haja prévia anuência do órgão ou da en</w:t>
      </w:r>
      <w:r w:rsidRPr="00CD3E0E">
        <w:rPr>
          <w:rFonts w:ascii="Verdana" w:eastAsia="Arial" w:hAnsi="Verdana" w:cs="Arial"/>
          <w:sz w:val="20"/>
          <w:szCs w:val="20"/>
        </w:rPr>
        <w:t>ti</w:t>
      </w:r>
      <w:r w:rsidRPr="00CD3E0E">
        <w:rPr>
          <w:rFonts w:ascii="Verdana" w:hAnsi="Verdana" w:cs="Arial"/>
          <w:sz w:val="20"/>
          <w:szCs w:val="20"/>
        </w:rPr>
        <w:t>dade que sofrer redução dos quantitativos informados.</w:t>
      </w:r>
    </w:p>
    <w:p w14:paraId="49E46EB2"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8.6. Caso o remanejamento seja feito entre órgãos ou en</w:t>
      </w:r>
      <w:r w:rsidRPr="00CD3E0E">
        <w:rPr>
          <w:rFonts w:ascii="Verdana" w:eastAsia="Arial" w:hAnsi="Verdana" w:cs="Arial"/>
          <w:sz w:val="20"/>
          <w:szCs w:val="20"/>
        </w:rPr>
        <w:t>ti</w:t>
      </w:r>
      <w:r w:rsidRPr="00CD3E0E">
        <w:rPr>
          <w:rFonts w:ascii="Verdana" w:hAnsi="Verdana" w:cs="Arial"/>
          <w:sz w:val="20"/>
          <w:szCs w:val="20"/>
        </w:rPr>
        <w:t>dades dos Estados, do Distrito Federal ou de Municípios dis</w:t>
      </w:r>
      <w:r w:rsidRPr="00CD3E0E">
        <w:rPr>
          <w:rFonts w:ascii="Verdana" w:eastAsia="Arial" w:hAnsi="Verdana" w:cs="Arial"/>
          <w:sz w:val="20"/>
          <w:szCs w:val="20"/>
        </w:rPr>
        <w:t>ti</w:t>
      </w:r>
      <w:r w:rsidRPr="00CD3E0E">
        <w:rPr>
          <w:rFonts w:ascii="Verdana" w:hAnsi="Verdana" w:cs="Arial"/>
          <w:sz w:val="20"/>
          <w:szCs w:val="20"/>
        </w:rPr>
        <w:t>ntos, caberá ao fornecedor beneficiário da ata de registro de preços, observadas as condições nela estabelecidas, optar pela aceitação ou não do fornecimento decorrente do remanejamento dos itens.</w:t>
      </w:r>
    </w:p>
    <w:p w14:paraId="5B779215" w14:textId="6581F000"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8.7. Na hipótese da compra centralizada, não havendo indicação pelo órgão ou pela en</w:t>
      </w:r>
      <w:r w:rsidRPr="00CD3E0E">
        <w:rPr>
          <w:rFonts w:ascii="Verdana" w:eastAsia="Arial" w:hAnsi="Verdana" w:cs="Arial"/>
          <w:sz w:val="20"/>
          <w:szCs w:val="20"/>
        </w:rPr>
        <w:t>ti</w:t>
      </w:r>
      <w:r w:rsidRPr="00CD3E0E">
        <w:rPr>
          <w:rFonts w:ascii="Verdana" w:hAnsi="Verdana" w:cs="Arial"/>
          <w:sz w:val="20"/>
          <w:szCs w:val="20"/>
        </w:rPr>
        <w:t>dade gerenciadora, dos quan</w:t>
      </w:r>
      <w:r w:rsidRPr="00CD3E0E">
        <w:rPr>
          <w:rFonts w:ascii="Verdana" w:eastAsia="Arial" w:hAnsi="Verdana" w:cs="Arial"/>
          <w:sz w:val="20"/>
          <w:szCs w:val="20"/>
        </w:rPr>
        <w:t>ti</w:t>
      </w:r>
      <w:r w:rsidRPr="00CD3E0E">
        <w:rPr>
          <w:rFonts w:ascii="Verdana" w:hAnsi="Verdana" w:cs="Arial"/>
          <w:sz w:val="20"/>
          <w:szCs w:val="20"/>
        </w:rPr>
        <w:t>ta</w:t>
      </w:r>
      <w:r w:rsidRPr="00CD3E0E">
        <w:rPr>
          <w:rFonts w:ascii="Verdana" w:eastAsia="Arial" w:hAnsi="Verdana" w:cs="Arial"/>
          <w:sz w:val="20"/>
          <w:szCs w:val="20"/>
        </w:rPr>
        <w:t>ti</w:t>
      </w:r>
      <w:r w:rsidRPr="00CD3E0E">
        <w:rPr>
          <w:rFonts w:ascii="Verdana" w:hAnsi="Verdana" w:cs="Arial"/>
          <w:sz w:val="20"/>
          <w:szCs w:val="20"/>
        </w:rPr>
        <w:t>vos dos par</w:t>
      </w:r>
      <w:r w:rsidRPr="00CD3E0E">
        <w:rPr>
          <w:rFonts w:ascii="Verdana" w:eastAsia="Arial" w:hAnsi="Verdana" w:cs="Arial"/>
          <w:sz w:val="20"/>
          <w:szCs w:val="20"/>
        </w:rPr>
        <w:t>ti</w:t>
      </w:r>
      <w:r w:rsidRPr="00CD3E0E">
        <w:rPr>
          <w:rFonts w:ascii="Verdana" w:hAnsi="Verdana" w:cs="Arial"/>
          <w:sz w:val="20"/>
          <w:szCs w:val="20"/>
        </w:rPr>
        <w:t>cipantes da compra centralizada, a distribuição das quantidades para a execução descentralizada será por meio do remanejamento.</w:t>
      </w:r>
    </w:p>
    <w:p w14:paraId="5606ABAB"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rPr>
      </w:pPr>
      <w:r w:rsidRPr="00CD3E0E">
        <w:rPr>
          <w:rFonts w:ascii="Verdana" w:hAnsi="Verdana" w:cs="Arial"/>
          <w:b/>
          <w:bCs/>
          <w:color w:val="0F4761" w:themeColor="accent1" w:themeShade="BF"/>
          <w:sz w:val="20"/>
          <w:szCs w:val="20"/>
        </w:rPr>
        <w:t>9. CANCELAMENTO DO REGISTRO DO LICITANTE VENCEDOR E DOS PREÇOS REGISTRADOS</w:t>
      </w:r>
      <w:bookmarkStart w:id="46" w:name="cancelamento"/>
      <w:bookmarkEnd w:id="46"/>
    </w:p>
    <w:p w14:paraId="58F4AC8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9.1. O registro do fornecedor será cancelado pelo gerenciador, quando o fornecedor:</w:t>
      </w:r>
      <w:bookmarkStart w:id="47" w:name="cancelamento_do_fornecedor"/>
      <w:bookmarkEnd w:id="47"/>
    </w:p>
    <w:p w14:paraId="3D8B2549"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9.1.1. Descumprir as condições da ata de registro de preços, sem motivo justificado;</w:t>
      </w:r>
    </w:p>
    <w:p w14:paraId="1E22397D"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9.1.2. Não re</w:t>
      </w:r>
      <w:r w:rsidRPr="00CD3E0E">
        <w:rPr>
          <w:rFonts w:ascii="Verdana" w:eastAsia="Arial" w:hAnsi="Verdana" w:cs="Arial"/>
          <w:sz w:val="20"/>
          <w:szCs w:val="20"/>
        </w:rPr>
        <w:t>ti</w:t>
      </w:r>
      <w:r w:rsidRPr="00CD3E0E">
        <w:rPr>
          <w:rFonts w:ascii="Verdana" w:hAnsi="Verdana" w:cs="Arial"/>
          <w:sz w:val="20"/>
          <w:szCs w:val="20"/>
        </w:rPr>
        <w:t>rar a nota de empenho, ou instrumento equivalente, no prazo estabelecido pela Administração sem justificativa razoável;</w:t>
      </w:r>
    </w:p>
    <w:p w14:paraId="22042D5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9.1.3. Não aceitar manter seu preço registrado, na hipótese prevista §2º do art. 27 do Decreto nº 11.462, de 2023; ou</w:t>
      </w:r>
    </w:p>
    <w:p w14:paraId="154BBCD8"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9.1.4. Sofrer sanção prevista nos incisos III ou IV do </w:t>
      </w:r>
      <w:r w:rsidRPr="00CD3E0E">
        <w:rPr>
          <w:rFonts w:ascii="Verdana" w:hAnsi="Verdana" w:cs="Arial"/>
          <w:i/>
          <w:iCs/>
          <w:sz w:val="20"/>
          <w:szCs w:val="20"/>
        </w:rPr>
        <w:t xml:space="preserve">caput </w:t>
      </w:r>
      <w:r w:rsidRPr="00CD3E0E">
        <w:rPr>
          <w:rFonts w:ascii="Verdana" w:hAnsi="Verdana" w:cs="Arial"/>
          <w:sz w:val="20"/>
          <w:szCs w:val="20"/>
        </w:rPr>
        <w:t>do art. 156 da Lei nº 14.133, de 2021.</w:t>
      </w:r>
    </w:p>
    <w:p w14:paraId="15986F5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9.1.4.1. Na hipótese de aplicação de sanção prevista nos incisos III ou IV do </w:t>
      </w:r>
      <w:r w:rsidRPr="00CD3E0E">
        <w:rPr>
          <w:rFonts w:ascii="Verdana" w:hAnsi="Verdana" w:cs="Arial"/>
          <w:i/>
          <w:iCs/>
          <w:sz w:val="20"/>
          <w:szCs w:val="20"/>
        </w:rPr>
        <w:t xml:space="preserve">caput </w:t>
      </w:r>
      <w:r w:rsidRPr="00CD3E0E">
        <w:rPr>
          <w:rFonts w:ascii="Verdana" w:hAnsi="Verdana" w:cs="Arial"/>
          <w:sz w:val="20"/>
          <w:szCs w:val="20"/>
        </w:rPr>
        <w:t xml:space="preserve">do </w:t>
      </w:r>
      <w:r w:rsidRPr="00CD3E0E">
        <w:rPr>
          <w:rFonts w:ascii="Verdana" w:hAnsi="Verdana" w:cs="Arial"/>
          <w:sz w:val="20"/>
          <w:szCs w:val="20"/>
        </w:rPr>
        <w:lastRenderedPageBreak/>
        <w:t>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13F3C096" w14:textId="43EA113A"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9.2. O cancelamento de registros nas hipóteses prev</w:t>
      </w:r>
      <w:r w:rsidR="001E0469">
        <w:rPr>
          <w:rFonts w:ascii="Verdana" w:hAnsi="Verdana" w:cs="Arial"/>
          <w:sz w:val="20"/>
          <w:szCs w:val="20"/>
        </w:rPr>
        <w:t>istas no edital</w:t>
      </w:r>
      <w:r w:rsidRPr="00CD3E0E">
        <w:rPr>
          <w:rFonts w:ascii="Verdana" w:hAnsi="Verdana" w:cs="Arial"/>
          <w:sz w:val="20"/>
          <w:szCs w:val="20"/>
        </w:rPr>
        <w:t xml:space="preserve"> será formalizado por despacho do órgão ou da entidade gerenciadora, garantidos os princípios do contraditório e da ampla defesa.</w:t>
      </w:r>
    </w:p>
    <w:p w14:paraId="092FF08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9.3. Na hipótese de cancelamento do registro do fornecedor, o órgão ou a entidade gerenciadora poderá convocar os licitantes que compõem o cadastro de reserva, observada a ordem de classificação.</w:t>
      </w:r>
    </w:p>
    <w:p w14:paraId="0F2AD05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9.4. O cancelamento dos preços registrados poderá ser realizado pelo gerenciador, em determinada ata de registro de preços, total ou parcialmente, nas seguintes hipóteses, desde que devidamente comprovadas e justificadas:</w:t>
      </w:r>
      <w:bookmarkStart w:id="48" w:name="cancelamento_da_ata"/>
      <w:bookmarkEnd w:id="48"/>
      <w:r w:rsidRPr="00CD3E0E">
        <w:rPr>
          <w:rFonts w:ascii="Verdana" w:hAnsi="Verdana" w:cs="Arial"/>
          <w:sz w:val="20"/>
          <w:szCs w:val="20"/>
        </w:rPr>
        <w:t xml:space="preserve"> </w:t>
      </w:r>
    </w:p>
    <w:p w14:paraId="78888CD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9.4.1. Por razão de interesse público;</w:t>
      </w:r>
    </w:p>
    <w:p w14:paraId="29914857"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9.4.2. A pedido do fornecedor, decorrente de caso fortuito ou força maior; ou</w:t>
      </w:r>
    </w:p>
    <w:p w14:paraId="4590F8B6"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9.4.3. Se não houver êxito nas negociações, nas hipóteses em que o preço de mercado se tornar superior ou inferior ao preço registrado, nos termos §3º do art. 26 e §4º do art. 27, ambos do Decreto nº 11.462, de 2023. </w:t>
      </w:r>
    </w:p>
    <w:p w14:paraId="1D744AB8"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rPr>
      </w:pPr>
      <w:r w:rsidRPr="00CD3E0E">
        <w:rPr>
          <w:rFonts w:ascii="Verdana" w:hAnsi="Verdana" w:cs="Arial"/>
          <w:b/>
          <w:bCs/>
          <w:color w:val="0F4761" w:themeColor="accent1" w:themeShade="BF"/>
          <w:sz w:val="20"/>
          <w:szCs w:val="20"/>
        </w:rPr>
        <w:t>10. DAS PENALIDADES</w:t>
      </w:r>
    </w:p>
    <w:p w14:paraId="11633223"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10.1. O descumprimento da Ata de Registro de Preços ensejará aplicação das penalidades estabelecidas no Edital.</w:t>
      </w:r>
    </w:p>
    <w:p w14:paraId="2587328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10.1.1. As sanções também se aplicam aos integrantes do cadastro de reserva no registro de preços que, convocados, não honrarem o compromisso assumido injustificadamente após terem assinado a ata. </w:t>
      </w:r>
    </w:p>
    <w:p w14:paraId="4EA9EEE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10.2. 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68401FC3"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10.3. O órgão ou entidade participante deverá comunicar ao órgão gerenciador qualquer das ocorrências previstas no item 9.1, dada a necessidade de instauração de procedimento para cancelamento do registro do fornecedor.</w:t>
      </w:r>
    </w:p>
    <w:p w14:paraId="0DD4BDAA"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rPr>
      </w:pPr>
      <w:r w:rsidRPr="00CD3E0E">
        <w:rPr>
          <w:rFonts w:ascii="Verdana" w:hAnsi="Verdana" w:cs="Arial"/>
          <w:b/>
          <w:bCs/>
          <w:color w:val="0F4761" w:themeColor="accent1" w:themeShade="BF"/>
          <w:sz w:val="20"/>
          <w:szCs w:val="20"/>
        </w:rPr>
        <w:t>11. CONDIÇÕES GERAIS</w:t>
      </w:r>
    </w:p>
    <w:p w14:paraId="357CEC90"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11.1. As condições gerais de execução do objeto, tais como os prazos para entrega e recebimento, as obrigações da Administração e do fornecedor registrado, penalidades e </w:t>
      </w:r>
      <w:r w:rsidRPr="00CD3E0E">
        <w:rPr>
          <w:rFonts w:ascii="Verdana" w:hAnsi="Verdana" w:cs="Arial"/>
          <w:sz w:val="20"/>
          <w:szCs w:val="20"/>
        </w:rPr>
        <w:lastRenderedPageBreak/>
        <w:t>demais condições do ajuste, encontram-se definidos no Termo de Referência, ANEXO ao Edital.</w:t>
      </w:r>
    </w:p>
    <w:p w14:paraId="148C26E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 11.2. No caso de adjudicação por preço global de grupo de itens, só será admitida a contratação de parte de itens do grupo se houver prévia pesquisa de mercado e demonstração de sua vantagem para o órgão ou a entidade.</w:t>
      </w:r>
    </w:p>
    <w:p w14:paraId="2345A733"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Para firmeza e validade do pactuado, a presente Ata foi lavrada em </w:t>
      </w:r>
      <w:r w:rsidRPr="00CD3E0E">
        <w:rPr>
          <w:rFonts w:ascii="Verdana" w:hAnsi="Verdana" w:cs="Arial"/>
          <w:bCs/>
          <w:iCs/>
          <w:sz w:val="20"/>
          <w:szCs w:val="20"/>
        </w:rPr>
        <w:t>02</w:t>
      </w:r>
      <w:r w:rsidRPr="00CD3E0E">
        <w:rPr>
          <w:rFonts w:ascii="Verdana" w:hAnsi="Verdana" w:cs="Arial"/>
          <w:b/>
          <w:bCs/>
          <w:i/>
          <w:iCs/>
          <w:color w:val="FF0000"/>
          <w:sz w:val="20"/>
          <w:szCs w:val="20"/>
        </w:rPr>
        <w:t xml:space="preserve"> </w:t>
      </w:r>
      <w:r w:rsidRPr="00CD3E0E">
        <w:rPr>
          <w:rFonts w:ascii="Verdana" w:hAnsi="Verdana" w:cs="Arial"/>
          <w:sz w:val="20"/>
          <w:szCs w:val="20"/>
        </w:rPr>
        <w:t xml:space="preserve">vias de igual teor, que, depois de lida e achada em ordem, vai assinada pelas partes e encaminhada cópia aos demais órgãos participantes caso houver. </w:t>
      </w:r>
    </w:p>
    <w:p w14:paraId="422C0DA5" w14:textId="77777777" w:rsidR="002B5BFA" w:rsidRPr="00CD3E0E" w:rsidRDefault="002B5BFA" w:rsidP="00CD3E0E">
      <w:pPr>
        <w:tabs>
          <w:tab w:val="left" w:pos="284"/>
        </w:tabs>
        <w:spacing w:line="360" w:lineRule="auto"/>
        <w:rPr>
          <w:rFonts w:ascii="Verdana" w:hAnsi="Verdana" w:cs="Arial"/>
          <w:sz w:val="20"/>
          <w:szCs w:val="20"/>
        </w:rPr>
      </w:pPr>
    </w:p>
    <w:p w14:paraId="2F143CAC" w14:textId="3CEBAFCC" w:rsidR="002B5BFA" w:rsidRPr="00CD3E0E" w:rsidRDefault="002B5BFA" w:rsidP="00CD3E0E">
      <w:pPr>
        <w:tabs>
          <w:tab w:val="left" w:pos="284"/>
        </w:tabs>
        <w:spacing w:line="360" w:lineRule="auto"/>
        <w:ind w:right="-15"/>
        <w:jc w:val="center"/>
        <w:rPr>
          <w:rFonts w:ascii="Verdana" w:hAnsi="Verdana" w:cs="Arial"/>
          <w:sz w:val="20"/>
          <w:szCs w:val="20"/>
        </w:rPr>
      </w:pPr>
      <w:r w:rsidRPr="00CD3E0E">
        <w:rPr>
          <w:rFonts w:ascii="Verdana" w:hAnsi="Verdana" w:cs="Arial"/>
          <w:b/>
          <w:i/>
          <w:sz w:val="20"/>
          <w:szCs w:val="20"/>
        </w:rPr>
        <w:t>Correntina</w:t>
      </w:r>
      <w:r w:rsidRPr="00CD3E0E">
        <w:rPr>
          <w:rFonts w:ascii="Verdana" w:hAnsi="Verdana" w:cs="Arial"/>
          <w:sz w:val="20"/>
          <w:szCs w:val="20"/>
        </w:rPr>
        <w:t xml:space="preserve">, </w:t>
      </w:r>
      <w:r w:rsidRPr="00CD3E0E">
        <w:rPr>
          <w:rFonts w:ascii="Verdana" w:hAnsi="Verdana" w:cs="Arial"/>
          <w:b/>
          <w:i/>
          <w:sz w:val="20"/>
          <w:szCs w:val="20"/>
        </w:rPr>
        <w:t>XX</w:t>
      </w:r>
      <w:r w:rsidRPr="00CD3E0E">
        <w:rPr>
          <w:rFonts w:ascii="Verdana" w:hAnsi="Verdana" w:cs="Arial"/>
          <w:i/>
          <w:sz w:val="20"/>
          <w:szCs w:val="20"/>
        </w:rPr>
        <w:t xml:space="preserve"> (dia)</w:t>
      </w:r>
      <w:r w:rsidRPr="00CD3E0E">
        <w:rPr>
          <w:rFonts w:ascii="Verdana" w:hAnsi="Verdana" w:cs="Arial"/>
          <w:sz w:val="20"/>
          <w:szCs w:val="20"/>
        </w:rPr>
        <w:t xml:space="preserve"> de </w:t>
      </w:r>
      <w:r w:rsidRPr="00CD3E0E">
        <w:rPr>
          <w:rFonts w:ascii="Verdana" w:hAnsi="Verdana" w:cs="Arial"/>
          <w:b/>
          <w:i/>
          <w:sz w:val="20"/>
          <w:szCs w:val="20"/>
        </w:rPr>
        <w:t>XXX</w:t>
      </w:r>
      <w:r w:rsidRPr="00CD3E0E">
        <w:rPr>
          <w:rFonts w:ascii="Verdana" w:hAnsi="Verdana" w:cs="Arial"/>
          <w:i/>
          <w:sz w:val="20"/>
          <w:szCs w:val="20"/>
        </w:rPr>
        <w:t xml:space="preserve"> (mês)</w:t>
      </w:r>
      <w:r w:rsidRPr="00CD3E0E">
        <w:rPr>
          <w:rFonts w:ascii="Verdana" w:hAnsi="Verdana" w:cs="Arial"/>
          <w:sz w:val="20"/>
          <w:szCs w:val="20"/>
        </w:rPr>
        <w:t xml:space="preserve"> de 202</w:t>
      </w:r>
      <w:r w:rsidR="00C277A1">
        <w:rPr>
          <w:rFonts w:ascii="Verdana" w:hAnsi="Verdana" w:cs="Arial"/>
          <w:sz w:val="20"/>
          <w:szCs w:val="20"/>
        </w:rPr>
        <w:t>6</w:t>
      </w:r>
    </w:p>
    <w:p w14:paraId="36686222" w14:textId="77777777" w:rsidR="002B5BFA" w:rsidRPr="00CD3E0E" w:rsidRDefault="002B5BFA" w:rsidP="00CD3E0E">
      <w:pPr>
        <w:tabs>
          <w:tab w:val="left" w:pos="284"/>
        </w:tabs>
        <w:spacing w:line="360" w:lineRule="auto"/>
        <w:ind w:right="-15"/>
        <w:jc w:val="center"/>
        <w:rPr>
          <w:rFonts w:ascii="Verdana" w:hAnsi="Verdana" w:cs="Arial"/>
          <w:sz w:val="20"/>
          <w:szCs w:val="20"/>
        </w:rPr>
      </w:pPr>
    </w:p>
    <w:p w14:paraId="5D898F69" w14:textId="77777777" w:rsidR="002B5BFA" w:rsidRPr="00CD3E0E" w:rsidRDefault="002B5BFA" w:rsidP="00CD3E0E">
      <w:pPr>
        <w:tabs>
          <w:tab w:val="left" w:pos="284"/>
        </w:tabs>
        <w:spacing w:line="360" w:lineRule="auto"/>
        <w:ind w:right="-15"/>
        <w:jc w:val="center"/>
        <w:rPr>
          <w:rFonts w:ascii="Verdana" w:hAnsi="Verdana" w:cs="Arial"/>
          <w:sz w:val="20"/>
          <w:szCs w:val="20"/>
        </w:rPr>
      </w:pPr>
    </w:p>
    <w:p w14:paraId="014F9FEA" w14:textId="77777777" w:rsidR="002B5BFA" w:rsidRPr="00CD3E0E" w:rsidRDefault="002B5BFA" w:rsidP="00CD3E0E">
      <w:pPr>
        <w:tabs>
          <w:tab w:val="left" w:pos="284"/>
        </w:tabs>
        <w:spacing w:line="360" w:lineRule="auto"/>
        <w:ind w:right="-15"/>
        <w:jc w:val="center"/>
        <w:rPr>
          <w:rFonts w:ascii="Verdana" w:hAnsi="Verdana" w:cstheme="minorHAnsi"/>
          <w:sz w:val="20"/>
          <w:szCs w:val="20"/>
        </w:rPr>
      </w:pPr>
      <w:r w:rsidRPr="00CD3E0E">
        <w:rPr>
          <w:rFonts w:ascii="Verdana" w:hAnsi="Verdana" w:cs="Arial"/>
          <w:sz w:val="20"/>
          <w:szCs w:val="20"/>
        </w:rPr>
        <w:t>_______________________________________</w:t>
      </w:r>
    </w:p>
    <w:p w14:paraId="66B695A5" w14:textId="77777777" w:rsidR="002B5BFA" w:rsidRPr="00CD3E0E" w:rsidRDefault="002B5BFA" w:rsidP="00CD3E0E">
      <w:pPr>
        <w:tabs>
          <w:tab w:val="left" w:pos="284"/>
        </w:tabs>
        <w:adjustRightInd w:val="0"/>
        <w:spacing w:line="360" w:lineRule="auto"/>
        <w:ind w:right="-30"/>
        <w:jc w:val="center"/>
        <w:rPr>
          <w:rFonts w:ascii="Verdana" w:hAnsi="Verdana" w:cs="Arial"/>
          <w:color w:val="000000" w:themeColor="text1"/>
          <w:sz w:val="20"/>
          <w:szCs w:val="20"/>
        </w:rPr>
      </w:pPr>
      <w:r w:rsidRPr="00CD3E0E">
        <w:rPr>
          <w:rFonts w:ascii="Verdana" w:hAnsi="Verdana" w:cs="Arial"/>
          <w:color w:val="000000" w:themeColor="text1"/>
          <w:sz w:val="20"/>
          <w:szCs w:val="20"/>
        </w:rPr>
        <w:t>Prefeitura Municipal de Correntina</w:t>
      </w:r>
    </w:p>
    <w:p w14:paraId="0597B948" w14:textId="77777777" w:rsidR="002B5BFA" w:rsidRPr="00CD3E0E" w:rsidRDefault="002B5BFA" w:rsidP="00CD3E0E">
      <w:pPr>
        <w:tabs>
          <w:tab w:val="left" w:pos="284"/>
        </w:tabs>
        <w:adjustRightInd w:val="0"/>
        <w:spacing w:line="360" w:lineRule="auto"/>
        <w:ind w:right="-30"/>
        <w:jc w:val="center"/>
        <w:rPr>
          <w:rFonts w:ascii="Verdana" w:hAnsi="Verdana" w:cs="Arial"/>
          <w:color w:val="000000" w:themeColor="text1"/>
          <w:sz w:val="20"/>
          <w:szCs w:val="20"/>
        </w:rPr>
      </w:pPr>
      <w:r w:rsidRPr="00CD3E0E">
        <w:rPr>
          <w:rFonts w:ascii="Verdana" w:hAnsi="Verdana" w:cs="Arial"/>
          <w:color w:val="000000" w:themeColor="text1"/>
          <w:sz w:val="20"/>
          <w:szCs w:val="20"/>
        </w:rPr>
        <w:t>CNPJ: 14.221.741/0001-07</w:t>
      </w:r>
    </w:p>
    <w:p w14:paraId="28ABB209" w14:textId="77777777" w:rsidR="002B5BFA" w:rsidRPr="00CD3E0E" w:rsidRDefault="002B5BFA" w:rsidP="00CD3E0E">
      <w:pPr>
        <w:tabs>
          <w:tab w:val="left" w:pos="284"/>
        </w:tabs>
        <w:adjustRightInd w:val="0"/>
        <w:spacing w:line="360" w:lineRule="auto"/>
        <w:ind w:right="-30"/>
        <w:jc w:val="center"/>
        <w:rPr>
          <w:rFonts w:ascii="Verdana" w:hAnsi="Verdana" w:cs="Arial"/>
          <w:color w:val="000000" w:themeColor="text1"/>
          <w:sz w:val="20"/>
          <w:szCs w:val="20"/>
        </w:rPr>
      </w:pPr>
    </w:p>
    <w:p w14:paraId="5DD9C38E" w14:textId="77777777" w:rsidR="002B5BFA" w:rsidRPr="00CD3E0E" w:rsidRDefault="002B5BFA" w:rsidP="00CD3E0E">
      <w:pPr>
        <w:tabs>
          <w:tab w:val="left" w:pos="284"/>
        </w:tabs>
        <w:adjustRightInd w:val="0"/>
        <w:spacing w:line="360" w:lineRule="auto"/>
        <w:ind w:right="-30"/>
        <w:jc w:val="center"/>
        <w:rPr>
          <w:rFonts w:ascii="Verdana" w:hAnsi="Verdana" w:cstheme="minorHAnsi"/>
          <w:color w:val="000000"/>
          <w:sz w:val="20"/>
          <w:szCs w:val="20"/>
        </w:rPr>
      </w:pPr>
    </w:p>
    <w:p w14:paraId="063018F3" w14:textId="77777777" w:rsidR="002B5BFA" w:rsidRPr="00CD3E0E" w:rsidRDefault="002B5BFA" w:rsidP="00CD3E0E">
      <w:pPr>
        <w:tabs>
          <w:tab w:val="left" w:pos="284"/>
        </w:tabs>
        <w:spacing w:line="360" w:lineRule="auto"/>
        <w:ind w:right="-15"/>
        <w:jc w:val="center"/>
        <w:rPr>
          <w:rFonts w:ascii="Verdana" w:hAnsi="Verdana" w:cstheme="minorHAnsi"/>
          <w:sz w:val="20"/>
          <w:szCs w:val="20"/>
        </w:rPr>
      </w:pPr>
      <w:r w:rsidRPr="00CD3E0E">
        <w:rPr>
          <w:rFonts w:ascii="Verdana" w:hAnsi="Verdana" w:cs="Arial"/>
          <w:sz w:val="20"/>
          <w:szCs w:val="20"/>
        </w:rPr>
        <w:t>_______________________________________</w:t>
      </w:r>
    </w:p>
    <w:p w14:paraId="7E39C723" w14:textId="77777777" w:rsidR="002B5BFA" w:rsidRPr="00CD3E0E" w:rsidRDefault="002B5BFA" w:rsidP="00CD3E0E">
      <w:pPr>
        <w:tabs>
          <w:tab w:val="left" w:pos="284"/>
        </w:tabs>
        <w:adjustRightInd w:val="0"/>
        <w:spacing w:line="360" w:lineRule="auto"/>
        <w:ind w:right="-30"/>
        <w:jc w:val="center"/>
        <w:rPr>
          <w:rFonts w:ascii="Verdana" w:hAnsi="Verdana" w:cs="Arial"/>
          <w:color w:val="000000" w:themeColor="text1"/>
          <w:sz w:val="20"/>
          <w:szCs w:val="20"/>
        </w:rPr>
      </w:pPr>
      <w:r w:rsidRPr="00CD3E0E">
        <w:rPr>
          <w:rFonts w:ascii="Verdana" w:hAnsi="Verdana" w:cs="Arial"/>
          <w:color w:val="000000" w:themeColor="text1"/>
          <w:sz w:val="20"/>
          <w:szCs w:val="20"/>
        </w:rPr>
        <w:t>Empresa Vencedora</w:t>
      </w:r>
    </w:p>
    <w:p w14:paraId="09999802" w14:textId="77777777" w:rsidR="002B5BFA" w:rsidRPr="00CD3E0E" w:rsidRDefault="002B5BFA" w:rsidP="00CD3E0E">
      <w:pPr>
        <w:tabs>
          <w:tab w:val="left" w:pos="284"/>
        </w:tabs>
        <w:adjustRightInd w:val="0"/>
        <w:spacing w:line="360" w:lineRule="auto"/>
        <w:ind w:right="-30"/>
        <w:jc w:val="center"/>
        <w:rPr>
          <w:rFonts w:ascii="Verdana" w:hAnsi="Verdana" w:cs="Arial"/>
          <w:color w:val="000000"/>
          <w:sz w:val="20"/>
          <w:szCs w:val="20"/>
        </w:rPr>
      </w:pPr>
      <w:r w:rsidRPr="00CD3E0E">
        <w:rPr>
          <w:rFonts w:ascii="Verdana" w:hAnsi="Verdana" w:cs="Arial"/>
          <w:color w:val="000000" w:themeColor="text1"/>
          <w:sz w:val="20"/>
          <w:szCs w:val="20"/>
        </w:rPr>
        <w:t>CNPJ: xxxxxxxxxx</w:t>
      </w:r>
    </w:p>
    <w:p w14:paraId="646935CD" w14:textId="77777777" w:rsidR="002B5BFA" w:rsidRPr="00CD3E0E" w:rsidRDefault="002B5BFA" w:rsidP="00CD3E0E">
      <w:pPr>
        <w:tabs>
          <w:tab w:val="left" w:pos="284"/>
        </w:tabs>
        <w:spacing w:line="360" w:lineRule="auto"/>
        <w:rPr>
          <w:rFonts w:ascii="Verdana" w:hAnsi="Verdana" w:cstheme="minorHAnsi"/>
          <w:b/>
          <w:color w:val="000000"/>
          <w:sz w:val="20"/>
          <w:szCs w:val="20"/>
        </w:rPr>
      </w:pPr>
    </w:p>
    <w:p w14:paraId="3341F8B4" w14:textId="77777777" w:rsidR="002B5BFA" w:rsidRPr="00CD3E0E" w:rsidRDefault="002B5BFA" w:rsidP="00CD3E0E">
      <w:pPr>
        <w:tabs>
          <w:tab w:val="left" w:pos="284"/>
        </w:tabs>
        <w:spacing w:line="360" w:lineRule="auto"/>
        <w:rPr>
          <w:rFonts w:ascii="Verdana" w:hAnsi="Verdana" w:cstheme="minorHAnsi"/>
          <w:b/>
          <w:color w:val="000000"/>
          <w:sz w:val="20"/>
          <w:szCs w:val="20"/>
        </w:rPr>
      </w:pPr>
    </w:p>
    <w:p w14:paraId="04EED534" w14:textId="77777777" w:rsidR="002B5BFA" w:rsidRPr="00CD3E0E" w:rsidRDefault="002B5BFA" w:rsidP="00CD3E0E">
      <w:pPr>
        <w:tabs>
          <w:tab w:val="left" w:pos="284"/>
        </w:tabs>
        <w:spacing w:line="360" w:lineRule="auto"/>
        <w:rPr>
          <w:rFonts w:ascii="Verdana" w:hAnsi="Verdana" w:cstheme="minorHAnsi"/>
          <w:b/>
          <w:color w:val="000000"/>
          <w:sz w:val="20"/>
          <w:szCs w:val="20"/>
        </w:rPr>
      </w:pPr>
    </w:p>
    <w:p w14:paraId="5975EE20" w14:textId="77777777" w:rsidR="002B5BFA" w:rsidRPr="00CD3E0E" w:rsidRDefault="002B5BFA" w:rsidP="00CD3E0E">
      <w:pPr>
        <w:tabs>
          <w:tab w:val="left" w:pos="284"/>
        </w:tabs>
        <w:spacing w:line="360" w:lineRule="auto"/>
        <w:rPr>
          <w:rFonts w:ascii="Verdana" w:hAnsi="Verdana" w:cstheme="minorHAnsi"/>
          <w:b/>
          <w:color w:val="000000"/>
          <w:sz w:val="20"/>
          <w:szCs w:val="20"/>
        </w:rPr>
      </w:pPr>
    </w:p>
    <w:p w14:paraId="3FD9B287"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1DA2C793"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08CF26C6"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0E0F41A4"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7A55DD88"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4B20AA02"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3F26F574"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54A33E1A"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159258EB"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1C3D3158" w14:textId="77777777" w:rsidR="002B5BFA" w:rsidRPr="00CD3E0E" w:rsidRDefault="002B5BFA" w:rsidP="00CD3E0E">
      <w:pPr>
        <w:tabs>
          <w:tab w:val="left" w:pos="284"/>
        </w:tabs>
        <w:adjustRightInd w:val="0"/>
        <w:spacing w:line="360" w:lineRule="auto"/>
        <w:ind w:right="-30"/>
        <w:jc w:val="center"/>
        <w:rPr>
          <w:rFonts w:ascii="Verdana" w:hAnsi="Verdana" w:cs="Arial"/>
          <w:color w:val="000000"/>
          <w:sz w:val="20"/>
          <w:szCs w:val="20"/>
        </w:rPr>
      </w:pPr>
      <w:r w:rsidRPr="00CD3E0E">
        <w:rPr>
          <w:rFonts w:ascii="Verdana" w:hAnsi="Verdana" w:cs="Arial"/>
          <w:b/>
          <w:color w:val="000000"/>
          <w:sz w:val="20"/>
          <w:szCs w:val="20"/>
        </w:rPr>
        <w:t>ANEXO</w:t>
      </w:r>
    </w:p>
    <w:p w14:paraId="729AD023" w14:textId="77777777" w:rsidR="002B5BFA" w:rsidRPr="00CD3E0E" w:rsidRDefault="002B5BFA" w:rsidP="00CD3E0E">
      <w:pPr>
        <w:tabs>
          <w:tab w:val="left" w:pos="284"/>
        </w:tabs>
        <w:adjustRightInd w:val="0"/>
        <w:spacing w:line="360" w:lineRule="auto"/>
        <w:ind w:right="-30"/>
        <w:rPr>
          <w:rFonts w:ascii="Verdana" w:hAnsi="Verdana" w:cstheme="minorHAnsi"/>
          <w:b/>
          <w:bCs/>
          <w:color w:val="000000"/>
          <w:sz w:val="20"/>
          <w:szCs w:val="20"/>
        </w:rPr>
      </w:pPr>
    </w:p>
    <w:p w14:paraId="382FC062" w14:textId="77777777" w:rsidR="002B5BFA" w:rsidRPr="00CD3E0E" w:rsidRDefault="002B5BFA" w:rsidP="00CD3E0E">
      <w:pPr>
        <w:tabs>
          <w:tab w:val="left" w:pos="284"/>
        </w:tabs>
        <w:adjustRightInd w:val="0"/>
        <w:spacing w:line="360" w:lineRule="auto"/>
        <w:ind w:right="-30"/>
        <w:jc w:val="center"/>
        <w:rPr>
          <w:rFonts w:ascii="Verdana" w:hAnsi="Verdana" w:cs="Arial"/>
          <w:b/>
          <w:bCs/>
          <w:color w:val="000000"/>
          <w:sz w:val="20"/>
          <w:szCs w:val="20"/>
        </w:rPr>
      </w:pPr>
      <w:r w:rsidRPr="00CD3E0E">
        <w:rPr>
          <w:rFonts w:ascii="Verdana" w:hAnsi="Verdana" w:cs="Arial"/>
          <w:b/>
          <w:bCs/>
          <w:color w:val="000000"/>
          <w:sz w:val="20"/>
          <w:szCs w:val="20"/>
        </w:rPr>
        <w:t>CADASTRO RESERVA</w:t>
      </w:r>
    </w:p>
    <w:p w14:paraId="1AF43836" w14:textId="77777777" w:rsidR="002B5BFA" w:rsidRPr="00CD3E0E" w:rsidRDefault="002B5BFA" w:rsidP="00CD3E0E">
      <w:pPr>
        <w:tabs>
          <w:tab w:val="left" w:pos="284"/>
        </w:tabs>
        <w:adjustRightInd w:val="0"/>
        <w:spacing w:line="360" w:lineRule="auto"/>
        <w:ind w:right="-30"/>
        <w:rPr>
          <w:rFonts w:ascii="Verdana" w:hAnsi="Verdana" w:cs="Arial"/>
          <w:color w:val="000000"/>
          <w:sz w:val="20"/>
          <w:szCs w:val="20"/>
        </w:rPr>
      </w:pPr>
    </w:p>
    <w:p w14:paraId="261D2378" w14:textId="77777777" w:rsidR="002B5BFA" w:rsidRPr="00CD3E0E" w:rsidRDefault="002B5BFA" w:rsidP="00CD3E0E">
      <w:pPr>
        <w:tabs>
          <w:tab w:val="left" w:pos="284"/>
        </w:tabs>
        <w:adjustRightInd w:val="0"/>
        <w:spacing w:line="360" w:lineRule="auto"/>
        <w:ind w:right="-30"/>
        <w:rPr>
          <w:rFonts w:ascii="Verdana" w:hAnsi="Verdana" w:cs="Arial"/>
          <w:color w:val="000000"/>
          <w:sz w:val="20"/>
          <w:szCs w:val="20"/>
        </w:rPr>
      </w:pPr>
      <w:r w:rsidRPr="00CD3E0E">
        <w:rPr>
          <w:rFonts w:ascii="Verdana" w:hAnsi="Verdana" w:cs="Arial"/>
          <w:color w:val="000000"/>
          <w:sz w:val="20"/>
          <w:szCs w:val="20"/>
        </w:rPr>
        <w:lastRenderedPageBreak/>
        <w:t xml:space="preserve">Seguindo a ordem de classificação, segue </w:t>
      </w:r>
      <w:r w:rsidRPr="00CD3E0E">
        <w:rPr>
          <w:rFonts w:ascii="Verdana" w:hAnsi="Verdana" w:cs="Arial"/>
          <w:b/>
          <w:bCs/>
          <w:color w:val="000000"/>
          <w:sz w:val="20"/>
          <w:szCs w:val="20"/>
        </w:rPr>
        <w:t>relação de fornecedores que aceitaram cotar os itens com preços iguais ao adjudicatário</w:t>
      </w:r>
      <w:r w:rsidRPr="00CD3E0E">
        <w:rPr>
          <w:rFonts w:ascii="Verdana" w:hAnsi="Verdana" w:cs="Arial"/>
          <w:color w:val="000000"/>
          <w:sz w:val="20"/>
          <w:szCs w:val="20"/>
        </w:rPr>
        <w:t>:</w:t>
      </w:r>
    </w:p>
    <w:p w14:paraId="46E680BE" w14:textId="77777777" w:rsidR="002B5BFA" w:rsidRPr="00CD3E0E" w:rsidRDefault="002B5BFA" w:rsidP="00CD3E0E">
      <w:pPr>
        <w:tabs>
          <w:tab w:val="left" w:pos="284"/>
        </w:tabs>
        <w:adjustRightInd w:val="0"/>
        <w:spacing w:line="360" w:lineRule="auto"/>
        <w:ind w:right="-30"/>
        <w:rPr>
          <w:rFonts w:ascii="Verdana" w:hAnsi="Verdana" w:cs="Arial"/>
          <w:color w:val="000000"/>
          <w:sz w:val="20"/>
          <w:szCs w:val="20"/>
        </w:rPr>
      </w:pPr>
    </w:p>
    <w:tbl>
      <w:tblPr>
        <w:tblW w:w="9396" w:type="dxa"/>
        <w:tblInd w:w="10" w:type="dxa"/>
        <w:tblLayout w:type="fixed"/>
        <w:tblCellMar>
          <w:left w:w="10" w:type="dxa"/>
          <w:right w:w="10" w:type="dxa"/>
        </w:tblCellMar>
        <w:tblLook w:val="04A0" w:firstRow="1" w:lastRow="0" w:firstColumn="1" w:lastColumn="0" w:noHBand="0" w:noVBand="1"/>
      </w:tblPr>
      <w:tblGrid>
        <w:gridCol w:w="498"/>
        <w:gridCol w:w="2611"/>
        <w:gridCol w:w="1519"/>
        <w:gridCol w:w="1121"/>
        <w:gridCol w:w="1121"/>
        <w:gridCol w:w="841"/>
        <w:gridCol w:w="841"/>
        <w:gridCol w:w="844"/>
      </w:tblGrid>
      <w:tr w:rsidR="002B5BFA" w:rsidRPr="00CD3E0E" w14:paraId="540EB65C" w14:textId="77777777" w:rsidTr="002B5BFA">
        <w:trPr>
          <w:trHeight w:val="511"/>
        </w:trPr>
        <w:tc>
          <w:tcPr>
            <w:tcW w:w="497" w:type="dxa"/>
            <w:vMerge w:val="restart"/>
            <w:tcBorders>
              <w:top w:val="single" w:sz="2" w:space="0" w:color="000000"/>
              <w:left w:val="single" w:sz="2" w:space="0" w:color="000000"/>
              <w:bottom w:val="single" w:sz="2" w:space="0" w:color="000000"/>
              <w:right w:val="single" w:sz="2" w:space="0" w:color="000000"/>
            </w:tcBorders>
            <w:vAlign w:val="center"/>
            <w:hideMark/>
          </w:tcPr>
          <w:p w14:paraId="13E5E42D" w14:textId="77777777" w:rsidR="002B5BFA" w:rsidRPr="00CD3E0E" w:rsidRDefault="002B5BFA" w:rsidP="00CD3E0E">
            <w:pPr>
              <w:tabs>
                <w:tab w:val="left" w:pos="284"/>
              </w:tabs>
              <w:adjustRightInd w:val="0"/>
              <w:spacing w:line="360" w:lineRule="auto"/>
              <w:ind w:right="-30"/>
              <w:rPr>
                <w:rFonts w:ascii="Verdana" w:eastAsia="Times New Roman" w:hAnsi="Verdana" w:cs="Arial"/>
                <w:b/>
                <w:bCs/>
                <w:sz w:val="20"/>
                <w:szCs w:val="20"/>
              </w:rPr>
            </w:pPr>
            <w:r w:rsidRPr="00CD3E0E">
              <w:rPr>
                <w:rFonts w:ascii="Verdana" w:hAnsi="Verdana" w:cs="Arial"/>
                <w:b/>
                <w:bCs/>
                <w:sz w:val="20"/>
                <w:szCs w:val="20"/>
              </w:rPr>
              <w:t>Item</w:t>
            </w:r>
          </w:p>
          <w:p w14:paraId="756F3C14" w14:textId="77777777" w:rsidR="002B5BFA" w:rsidRPr="00CD3E0E" w:rsidRDefault="002B5BFA" w:rsidP="00CD3E0E">
            <w:pPr>
              <w:tabs>
                <w:tab w:val="left" w:pos="284"/>
              </w:tabs>
              <w:adjustRightInd w:val="0"/>
              <w:spacing w:line="360" w:lineRule="auto"/>
              <w:ind w:right="-30"/>
              <w:rPr>
                <w:rFonts w:ascii="Verdana" w:hAnsi="Verdana" w:cs="Arial"/>
                <w:b/>
                <w:bCs/>
                <w:sz w:val="20"/>
                <w:szCs w:val="20"/>
              </w:rPr>
            </w:pPr>
            <w:r w:rsidRPr="00CD3E0E">
              <w:rPr>
                <w:rFonts w:ascii="Verdana" w:hAnsi="Verdana" w:cs="Arial"/>
                <w:b/>
                <w:bCs/>
                <w:sz w:val="20"/>
                <w:szCs w:val="20"/>
              </w:rPr>
              <w:t>do</w:t>
            </w:r>
          </w:p>
          <w:p w14:paraId="4760D223" w14:textId="77777777" w:rsidR="002B5BFA" w:rsidRPr="00CD3E0E" w:rsidRDefault="002B5BFA" w:rsidP="00CD3E0E">
            <w:pPr>
              <w:tabs>
                <w:tab w:val="left" w:pos="284"/>
              </w:tabs>
              <w:adjustRightInd w:val="0"/>
              <w:spacing w:line="360" w:lineRule="auto"/>
              <w:ind w:right="-30"/>
              <w:jc w:val="both"/>
              <w:rPr>
                <w:rFonts w:ascii="Verdana" w:eastAsia="Times New Roman" w:hAnsi="Verdana" w:cs="Arial"/>
                <w:b/>
                <w:bCs/>
                <w:sz w:val="20"/>
                <w:szCs w:val="20"/>
              </w:rPr>
            </w:pPr>
            <w:r w:rsidRPr="00CD3E0E">
              <w:rPr>
                <w:rFonts w:ascii="Verdana" w:hAnsi="Verdana" w:cs="Arial"/>
                <w:b/>
                <w:bCs/>
                <w:sz w:val="20"/>
                <w:szCs w:val="20"/>
              </w:rPr>
              <w:t>TR</w:t>
            </w:r>
          </w:p>
        </w:tc>
        <w:tc>
          <w:tcPr>
            <w:tcW w:w="8895" w:type="dxa"/>
            <w:gridSpan w:val="7"/>
            <w:tcBorders>
              <w:top w:val="single" w:sz="2" w:space="0" w:color="000000"/>
              <w:left w:val="single" w:sz="2" w:space="0" w:color="000000"/>
              <w:bottom w:val="single" w:sz="2" w:space="0" w:color="000000"/>
              <w:right w:val="single" w:sz="2" w:space="0" w:color="000000"/>
            </w:tcBorders>
            <w:hideMark/>
          </w:tcPr>
          <w:p w14:paraId="686A60C1" w14:textId="77777777" w:rsidR="002B5BFA" w:rsidRPr="00CD3E0E" w:rsidRDefault="002B5BFA" w:rsidP="00CD3E0E">
            <w:pPr>
              <w:tabs>
                <w:tab w:val="left" w:pos="284"/>
              </w:tabs>
              <w:adjustRightInd w:val="0"/>
              <w:spacing w:line="360" w:lineRule="auto"/>
              <w:ind w:right="-30"/>
              <w:jc w:val="both"/>
              <w:rPr>
                <w:rFonts w:ascii="Verdana" w:eastAsia="Times New Roman" w:hAnsi="Verdana" w:cs="Arial"/>
                <w:b/>
                <w:bCs/>
                <w:sz w:val="20"/>
                <w:szCs w:val="20"/>
              </w:rPr>
            </w:pPr>
            <w:r w:rsidRPr="00CD3E0E">
              <w:rPr>
                <w:rFonts w:ascii="Verdana" w:hAnsi="Verdana" w:cs="Arial"/>
                <w:b/>
                <w:bCs/>
                <w:sz w:val="20"/>
                <w:szCs w:val="20"/>
              </w:rPr>
              <w:t xml:space="preserve">Fornecedor </w:t>
            </w:r>
            <w:r w:rsidRPr="00CD3E0E">
              <w:rPr>
                <w:rFonts w:ascii="Verdana" w:hAnsi="Verdana" w:cs="Arial"/>
                <w:b/>
                <w:bCs/>
                <w:i/>
                <w:sz w:val="20"/>
                <w:szCs w:val="20"/>
              </w:rPr>
              <w:t>(razão social XXX, CNPJ/MF XXX, endereço XXX, contatos XXX, representante XXX)</w:t>
            </w:r>
          </w:p>
        </w:tc>
      </w:tr>
      <w:tr w:rsidR="002B5BFA" w:rsidRPr="00CD3E0E" w14:paraId="3BF91C43" w14:textId="77777777" w:rsidTr="002B5BFA">
        <w:trPr>
          <w:trHeight w:val="674"/>
        </w:trPr>
        <w:tc>
          <w:tcPr>
            <w:tcW w:w="497" w:type="dxa"/>
            <w:vMerge/>
            <w:tcBorders>
              <w:top w:val="single" w:sz="2" w:space="0" w:color="000000"/>
              <w:left w:val="single" w:sz="2" w:space="0" w:color="000000"/>
              <w:bottom w:val="single" w:sz="2" w:space="0" w:color="000000"/>
              <w:right w:val="single" w:sz="2" w:space="0" w:color="000000"/>
            </w:tcBorders>
            <w:vAlign w:val="center"/>
            <w:hideMark/>
          </w:tcPr>
          <w:p w14:paraId="5376D6FD" w14:textId="77777777" w:rsidR="002B5BFA" w:rsidRPr="00CD3E0E" w:rsidRDefault="002B5BFA" w:rsidP="00CD3E0E">
            <w:pPr>
              <w:spacing w:line="360" w:lineRule="auto"/>
              <w:rPr>
                <w:rFonts w:ascii="Verdana" w:eastAsia="Times New Roman" w:hAnsi="Verdana" w:cs="Arial"/>
                <w:b/>
                <w:bCs/>
                <w:sz w:val="20"/>
                <w:szCs w:val="20"/>
              </w:rPr>
            </w:pPr>
          </w:p>
        </w:tc>
        <w:tc>
          <w:tcPr>
            <w:tcW w:w="2609" w:type="dxa"/>
            <w:tcBorders>
              <w:top w:val="nil"/>
              <w:left w:val="single" w:sz="2" w:space="0" w:color="000000"/>
              <w:bottom w:val="single" w:sz="2" w:space="0" w:color="000000"/>
              <w:right w:val="nil"/>
            </w:tcBorders>
            <w:hideMark/>
          </w:tcPr>
          <w:p w14:paraId="11229383"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Especificação</w:t>
            </w:r>
          </w:p>
        </w:tc>
        <w:tc>
          <w:tcPr>
            <w:tcW w:w="1518" w:type="dxa"/>
            <w:tcBorders>
              <w:top w:val="nil"/>
              <w:left w:val="single" w:sz="2" w:space="0" w:color="000000"/>
              <w:bottom w:val="single" w:sz="2" w:space="0" w:color="000000"/>
              <w:right w:val="nil"/>
            </w:tcBorders>
            <w:hideMark/>
          </w:tcPr>
          <w:p w14:paraId="7681B5C5"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Marca</w:t>
            </w:r>
          </w:p>
          <w:p w14:paraId="692734B5"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(se exigida no edital)</w:t>
            </w:r>
          </w:p>
        </w:tc>
        <w:tc>
          <w:tcPr>
            <w:tcW w:w="1121" w:type="dxa"/>
            <w:tcBorders>
              <w:top w:val="nil"/>
              <w:left w:val="single" w:sz="2" w:space="0" w:color="000000"/>
              <w:bottom w:val="single" w:sz="2" w:space="0" w:color="000000"/>
              <w:right w:val="nil"/>
            </w:tcBorders>
            <w:hideMark/>
          </w:tcPr>
          <w:p w14:paraId="201E0468"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Unidade</w:t>
            </w:r>
          </w:p>
        </w:tc>
        <w:tc>
          <w:tcPr>
            <w:tcW w:w="1121" w:type="dxa"/>
            <w:tcBorders>
              <w:top w:val="nil"/>
              <w:left w:val="single" w:sz="2" w:space="0" w:color="000000"/>
              <w:bottom w:val="single" w:sz="2" w:space="0" w:color="000000"/>
              <w:right w:val="nil"/>
            </w:tcBorders>
            <w:hideMark/>
          </w:tcPr>
          <w:p w14:paraId="3A9BDEE7"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Quantidade máxima</w:t>
            </w:r>
          </w:p>
        </w:tc>
        <w:tc>
          <w:tcPr>
            <w:tcW w:w="841" w:type="dxa"/>
            <w:tcBorders>
              <w:top w:val="nil"/>
              <w:left w:val="single" w:sz="2" w:space="0" w:color="000000"/>
              <w:bottom w:val="single" w:sz="2" w:space="0" w:color="000000"/>
              <w:right w:val="single" w:sz="2" w:space="0" w:color="000000"/>
            </w:tcBorders>
            <w:hideMark/>
          </w:tcPr>
          <w:p w14:paraId="08C30496"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Quantidade Mínima</w:t>
            </w:r>
          </w:p>
        </w:tc>
        <w:tc>
          <w:tcPr>
            <w:tcW w:w="841" w:type="dxa"/>
            <w:tcBorders>
              <w:top w:val="nil"/>
              <w:left w:val="single" w:sz="2" w:space="0" w:color="000000"/>
              <w:bottom w:val="single" w:sz="2" w:space="0" w:color="000000"/>
              <w:right w:val="nil"/>
            </w:tcBorders>
            <w:hideMark/>
          </w:tcPr>
          <w:p w14:paraId="3C93989A"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Valor unitário</w:t>
            </w:r>
          </w:p>
        </w:tc>
        <w:tc>
          <w:tcPr>
            <w:tcW w:w="844" w:type="dxa"/>
            <w:tcBorders>
              <w:top w:val="nil"/>
              <w:left w:val="single" w:sz="2" w:space="0" w:color="000000"/>
              <w:bottom w:val="single" w:sz="2" w:space="0" w:color="000000"/>
              <w:right w:val="single" w:sz="2" w:space="0" w:color="000000"/>
            </w:tcBorders>
            <w:hideMark/>
          </w:tcPr>
          <w:p w14:paraId="055228EF"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Prazo garantia ou validade</w:t>
            </w:r>
          </w:p>
        </w:tc>
      </w:tr>
      <w:tr w:rsidR="002B5BFA" w:rsidRPr="00CD3E0E" w14:paraId="11F72F8A" w14:textId="77777777" w:rsidTr="002B5BFA">
        <w:trPr>
          <w:trHeight w:val="174"/>
        </w:trPr>
        <w:tc>
          <w:tcPr>
            <w:tcW w:w="497" w:type="dxa"/>
            <w:tcBorders>
              <w:top w:val="nil"/>
              <w:left w:val="single" w:sz="2" w:space="0" w:color="000000"/>
              <w:bottom w:val="single" w:sz="2" w:space="0" w:color="000000"/>
              <w:right w:val="nil"/>
            </w:tcBorders>
            <w:hideMark/>
          </w:tcPr>
          <w:p w14:paraId="5EBDFC19"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2609" w:type="dxa"/>
            <w:tcBorders>
              <w:top w:val="nil"/>
              <w:left w:val="single" w:sz="2" w:space="0" w:color="000000"/>
              <w:bottom w:val="single" w:sz="2" w:space="0" w:color="000000"/>
              <w:right w:val="nil"/>
            </w:tcBorders>
            <w:hideMark/>
          </w:tcPr>
          <w:p w14:paraId="397D290B"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518" w:type="dxa"/>
            <w:tcBorders>
              <w:top w:val="nil"/>
              <w:left w:val="single" w:sz="2" w:space="0" w:color="000000"/>
              <w:bottom w:val="single" w:sz="2" w:space="0" w:color="000000"/>
              <w:right w:val="nil"/>
            </w:tcBorders>
            <w:hideMark/>
          </w:tcPr>
          <w:p w14:paraId="119C5C4C"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368D8628"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6E608F5C"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1" w:type="dxa"/>
            <w:tcBorders>
              <w:top w:val="nil"/>
              <w:left w:val="single" w:sz="2" w:space="0" w:color="000000"/>
              <w:bottom w:val="single" w:sz="2" w:space="0" w:color="000000"/>
              <w:right w:val="single" w:sz="2" w:space="0" w:color="000000"/>
            </w:tcBorders>
            <w:hideMark/>
          </w:tcPr>
          <w:p w14:paraId="0968ACAB"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1" w:type="dxa"/>
            <w:tcBorders>
              <w:top w:val="nil"/>
              <w:left w:val="single" w:sz="2" w:space="0" w:color="000000"/>
              <w:bottom w:val="single" w:sz="2" w:space="0" w:color="000000"/>
              <w:right w:val="nil"/>
            </w:tcBorders>
            <w:hideMark/>
          </w:tcPr>
          <w:p w14:paraId="0FB4D359"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4" w:type="dxa"/>
            <w:tcBorders>
              <w:top w:val="nil"/>
              <w:left w:val="single" w:sz="2" w:space="0" w:color="000000"/>
              <w:bottom w:val="single" w:sz="2" w:space="0" w:color="000000"/>
              <w:right w:val="single" w:sz="2" w:space="0" w:color="000000"/>
            </w:tcBorders>
            <w:hideMark/>
          </w:tcPr>
          <w:p w14:paraId="271CABCA"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r>
    </w:tbl>
    <w:p w14:paraId="52E77BBA" w14:textId="77777777" w:rsidR="002B5BFA" w:rsidRPr="00CD3E0E" w:rsidRDefault="002B5BFA" w:rsidP="00CD3E0E">
      <w:pPr>
        <w:tabs>
          <w:tab w:val="left" w:pos="284"/>
        </w:tabs>
        <w:adjustRightInd w:val="0"/>
        <w:spacing w:line="360" w:lineRule="auto"/>
        <w:ind w:right="-28"/>
        <w:rPr>
          <w:rFonts w:ascii="Verdana" w:eastAsia="Times New Roman" w:hAnsi="Verdana" w:cs="Arial"/>
          <w:sz w:val="20"/>
          <w:szCs w:val="20"/>
        </w:rPr>
      </w:pPr>
    </w:p>
    <w:p w14:paraId="15826A10" w14:textId="77777777" w:rsidR="002B5BFA" w:rsidRPr="00CD3E0E" w:rsidRDefault="002B5BFA" w:rsidP="00CD3E0E">
      <w:pPr>
        <w:tabs>
          <w:tab w:val="left" w:pos="284"/>
        </w:tabs>
        <w:adjustRightInd w:val="0"/>
        <w:spacing w:line="360" w:lineRule="auto"/>
        <w:ind w:right="-28"/>
        <w:rPr>
          <w:rFonts w:ascii="Verdana" w:hAnsi="Verdana" w:cs="Arial"/>
          <w:b/>
          <w:bCs/>
          <w:color w:val="000000"/>
          <w:sz w:val="20"/>
          <w:szCs w:val="20"/>
        </w:rPr>
      </w:pPr>
      <w:r w:rsidRPr="00CD3E0E">
        <w:rPr>
          <w:rFonts w:ascii="Verdana" w:hAnsi="Verdana" w:cs="Arial"/>
          <w:color w:val="000000"/>
          <w:sz w:val="20"/>
          <w:szCs w:val="20"/>
        </w:rPr>
        <w:t xml:space="preserve">Seguindo a ordem de classificação, segue </w:t>
      </w:r>
      <w:r w:rsidRPr="00CD3E0E">
        <w:rPr>
          <w:rFonts w:ascii="Verdana" w:hAnsi="Verdana" w:cs="Arial"/>
          <w:b/>
          <w:bCs/>
          <w:color w:val="000000"/>
          <w:sz w:val="20"/>
          <w:szCs w:val="20"/>
        </w:rPr>
        <w:t>relação de fornecedores que mantiveram sua proposta original:</w:t>
      </w:r>
    </w:p>
    <w:p w14:paraId="472B92F9" w14:textId="77777777" w:rsidR="002B5BFA" w:rsidRPr="00CD3E0E" w:rsidRDefault="002B5BFA" w:rsidP="00CD3E0E">
      <w:pPr>
        <w:tabs>
          <w:tab w:val="left" w:pos="284"/>
        </w:tabs>
        <w:adjustRightInd w:val="0"/>
        <w:spacing w:line="360" w:lineRule="auto"/>
        <w:ind w:right="-28"/>
        <w:rPr>
          <w:rFonts w:ascii="Verdana" w:hAnsi="Verdana" w:cs="Arial"/>
          <w:color w:val="000000"/>
          <w:sz w:val="20"/>
          <w:szCs w:val="20"/>
        </w:rPr>
      </w:pPr>
    </w:p>
    <w:tbl>
      <w:tblPr>
        <w:tblW w:w="9396" w:type="dxa"/>
        <w:tblInd w:w="10" w:type="dxa"/>
        <w:tblLayout w:type="fixed"/>
        <w:tblCellMar>
          <w:left w:w="10" w:type="dxa"/>
          <w:right w:w="10" w:type="dxa"/>
        </w:tblCellMar>
        <w:tblLook w:val="04A0" w:firstRow="1" w:lastRow="0" w:firstColumn="1" w:lastColumn="0" w:noHBand="0" w:noVBand="1"/>
      </w:tblPr>
      <w:tblGrid>
        <w:gridCol w:w="498"/>
        <w:gridCol w:w="2611"/>
        <w:gridCol w:w="1519"/>
        <w:gridCol w:w="1121"/>
        <w:gridCol w:w="1121"/>
        <w:gridCol w:w="841"/>
        <w:gridCol w:w="841"/>
        <w:gridCol w:w="844"/>
      </w:tblGrid>
      <w:tr w:rsidR="002B5BFA" w:rsidRPr="00CD3E0E" w14:paraId="38BA0DE6" w14:textId="77777777" w:rsidTr="002B5BFA">
        <w:trPr>
          <w:trHeight w:val="511"/>
        </w:trPr>
        <w:tc>
          <w:tcPr>
            <w:tcW w:w="497" w:type="dxa"/>
            <w:vMerge w:val="restart"/>
            <w:tcBorders>
              <w:top w:val="single" w:sz="2" w:space="0" w:color="000000"/>
              <w:left w:val="single" w:sz="2" w:space="0" w:color="000000"/>
              <w:bottom w:val="single" w:sz="2" w:space="0" w:color="000000"/>
              <w:right w:val="single" w:sz="2" w:space="0" w:color="000000"/>
            </w:tcBorders>
            <w:vAlign w:val="center"/>
            <w:hideMark/>
          </w:tcPr>
          <w:p w14:paraId="6DB225E8" w14:textId="77777777" w:rsidR="002B5BFA" w:rsidRPr="00CD3E0E" w:rsidRDefault="002B5BFA" w:rsidP="00CD3E0E">
            <w:pPr>
              <w:tabs>
                <w:tab w:val="left" w:pos="284"/>
              </w:tabs>
              <w:adjustRightInd w:val="0"/>
              <w:spacing w:line="360" w:lineRule="auto"/>
              <w:ind w:right="-30"/>
              <w:rPr>
                <w:rFonts w:ascii="Verdana" w:eastAsia="Times New Roman" w:hAnsi="Verdana" w:cs="Arial"/>
                <w:b/>
                <w:bCs/>
                <w:sz w:val="20"/>
                <w:szCs w:val="20"/>
              </w:rPr>
            </w:pPr>
            <w:r w:rsidRPr="00CD3E0E">
              <w:rPr>
                <w:rFonts w:ascii="Verdana" w:hAnsi="Verdana" w:cs="Arial"/>
                <w:b/>
                <w:bCs/>
                <w:sz w:val="20"/>
                <w:szCs w:val="20"/>
              </w:rPr>
              <w:t>Item</w:t>
            </w:r>
          </w:p>
          <w:p w14:paraId="6665321C" w14:textId="77777777" w:rsidR="002B5BFA" w:rsidRPr="00CD3E0E" w:rsidRDefault="002B5BFA" w:rsidP="00CD3E0E">
            <w:pPr>
              <w:tabs>
                <w:tab w:val="left" w:pos="284"/>
              </w:tabs>
              <w:adjustRightInd w:val="0"/>
              <w:spacing w:line="360" w:lineRule="auto"/>
              <w:ind w:right="-30"/>
              <w:rPr>
                <w:rFonts w:ascii="Verdana" w:hAnsi="Verdana" w:cs="Arial"/>
                <w:b/>
                <w:bCs/>
                <w:sz w:val="20"/>
                <w:szCs w:val="20"/>
              </w:rPr>
            </w:pPr>
            <w:r w:rsidRPr="00CD3E0E">
              <w:rPr>
                <w:rFonts w:ascii="Verdana" w:hAnsi="Verdana" w:cs="Arial"/>
                <w:b/>
                <w:bCs/>
                <w:sz w:val="20"/>
                <w:szCs w:val="20"/>
              </w:rPr>
              <w:t>do</w:t>
            </w:r>
          </w:p>
          <w:p w14:paraId="53404D8A" w14:textId="77777777" w:rsidR="002B5BFA" w:rsidRPr="00CD3E0E" w:rsidRDefault="002B5BFA" w:rsidP="00CD3E0E">
            <w:pPr>
              <w:tabs>
                <w:tab w:val="left" w:pos="284"/>
              </w:tabs>
              <w:adjustRightInd w:val="0"/>
              <w:spacing w:line="360" w:lineRule="auto"/>
              <w:ind w:right="-30"/>
              <w:jc w:val="both"/>
              <w:rPr>
                <w:rFonts w:ascii="Verdana" w:eastAsia="Times New Roman" w:hAnsi="Verdana" w:cs="Arial"/>
                <w:b/>
                <w:bCs/>
                <w:sz w:val="20"/>
                <w:szCs w:val="20"/>
              </w:rPr>
            </w:pPr>
            <w:r w:rsidRPr="00CD3E0E">
              <w:rPr>
                <w:rFonts w:ascii="Verdana" w:hAnsi="Verdana" w:cs="Arial"/>
                <w:b/>
                <w:bCs/>
                <w:sz w:val="20"/>
                <w:szCs w:val="20"/>
              </w:rPr>
              <w:t>TR</w:t>
            </w:r>
          </w:p>
        </w:tc>
        <w:tc>
          <w:tcPr>
            <w:tcW w:w="8895" w:type="dxa"/>
            <w:gridSpan w:val="7"/>
            <w:tcBorders>
              <w:top w:val="single" w:sz="2" w:space="0" w:color="000000"/>
              <w:left w:val="single" w:sz="2" w:space="0" w:color="000000"/>
              <w:bottom w:val="single" w:sz="2" w:space="0" w:color="000000"/>
              <w:right w:val="single" w:sz="2" w:space="0" w:color="000000"/>
            </w:tcBorders>
            <w:hideMark/>
          </w:tcPr>
          <w:p w14:paraId="64EB7A27" w14:textId="77777777" w:rsidR="002B5BFA" w:rsidRPr="00CD3E0E" w:rsidRDefault="002B5BFA" w:rsidP="00CD3E0E">
            <w:pPr>
              <w:tabs>
                <w:tab w:val="left" w:pos="284"/>
              </w:tabs>
              <w:adjustRightInd w:val="0"/>
              <w:spacing w:line="360" w:lineRule="auto"/>
              <w:ind w:right="-30"/>
              <w:jc w:val="both"/>
              <w:rPr>
                <w:rFonts w:ascii="Verdana" w:eastAsia="Times New Roman" w:hAnsi="Verdana" w:cs="Arial"/>
                <w:b/>
                <w:bCs/>
                <w:sz w:val="20"/>
                <w:szCs w:val="20"/>
              </w:rPr>
            </w:pPr>
            <w:r w:rsidRPr="00CD3E0E">
              <w:rPr>
                <w:rFonts w:ascii="Verdana" w:hAnsi="Verdana" w:cs="Arial"/>
                <w:b/>
                <w:bCs/>
                <w:sz w:val="20"/>
                <w:szCs w:val="20"/>
              </w:rPr>
              <w:t xml:space="preserve">Fornecedor </w:t>
            </w:r>
            <w:r w:rsidRPr="00CD3E0E">
              <w:rPr>
                <w:rFonts w:ascii="Verdana" w:hAnsi="Verdana" w:cs="Arial"/>
                <w:b/>
                <w:bCs/>
                <w:i/>
                <w:sz w:val="20"/>
                <w:szCs w:val="20"/>
              </w:rPr>
              <w:t>(razão social XXX, CNPJ/MF XXX, endereço XXX, contatos XXX, representante XXX)</w:t>
            </w:r>
          </w:p>
        </w:tc>
      </w:tr>
      <w:tr w:rsidR="002B5BFA" w:rsidRPr="00CD3E0E" w14:paraId="38699A57" w14:textId="77777777" w:rsidTr="002B5BFA">
        <w:trPr>
          <w:trHeight w:val="674"/>
        </w:trPr>
        <w:tc>
          <w:tcPr>
            <w:tcW w:w="497" w:type="dxa"/>
            <w:vMerge/>
            <w:tcBorders>
              <w:top w:val="single" w:sz="2" w:space="0" w:color="000000"/>
              <w:left w:val="single" w:sz="2" w:space="0" w:color="000000"/>
              <w:bottom w:val="single" w:sz="2" w:space="0" w:color="000000"/>
              <w:right w:val="single" w:sz="2" w:space="0" w:color="000000"/>
            </w:tcBorders>
            <w:vAlign w:val="center"/>
            <w:hideMark/>
          </w:tcPr>
          <w:p w14:paraId="54B40154" w14:textId="77777777" w:rsidR="002B5BFA" w:rsidRPr="00CD3E0E" w:rsidRDefault="002B5BFA" w:rsidP="00CD3E0E">
            <w:pPr>
              <w:spacing w:line="360" w:lineRule="auto"/>
              <w:rPr>
                <w:rFonts w:ascii="Verdana" w:eastAsia="Times New Roman" w:hAnsi="Verdana" w:cs="Arial"/>
                <w:b/>
                <w:bCs/>
                <w:sz w:val="20"/>
                <w:szCs w:val="20"/>
              </w:rPr>
            </w:pPr>
          </w:p>
        </w:tc>
        <w:tc>
          <w:tcPr>
            <w:tcW w:w="2609" w:type="dxa"/>
            <w:tcBorders>
              <w:top w:val="nil"/>
              <w:left w:val="single" w:sz="2" w:space="0" w:color="000000"/>
              <w:bottom w:val="single" w:sz="2" w:space="0" w:color="000000"/>
              <w:right w:val="nil"/>
            </w:tcBorders>
            <w:hideMark/>
          </w:tcPr>
          <w:p w14:paraId="18A3C604"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Especificação</w:t>
            </w:r>
          </w:p>
        </w:tc>
        <w:tc>
          <w:tcPr>
            <w:tcW w:w="1518" w:type="dxa"/>
            <w:tcBorders>
              <w:top w:val="nil"/>
              <w:left w:val="single" w:sz="2" w:space="0" w:color="000000"/>
              <w:bottom w:val="single" w:sz="2" w:space="0" w:color="000000"/>
              <w:right w:val="nil"/>
            </w:tcBorders>
            <w:hideMark/>
          </w:tcPr>
          <w:p w14:paraId="5DF03A67"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Marca</w:t>
            </w:r>
          </w:p>
          <w:p w14:paraId="63FD6F09"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(se exigida no edital)</w:t>
            </w:r>
          </w:p>
        </w:tc>
        <w:tc>
          <w:tcPr>
            <w:tcW w:w="1121" w:type="dxa"/>
            <w:tcBorders>
              <w:top w:val="nil"/>
              <w:left w:val="single" w:sz="2" w:space="0" w:color="000000"/>
              <w:bottom w:val="single" w:sz="2" w:space="0" w:color="000000"/>
              <w:right w:val="nil"/>
            </w:tcBorders>
            <w:hideMark/>
          </w:tcPr>
          <w:p w14:paraId="0C99A283"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Unidade</w:t>
            </w:r>
          </w:p>
        </w:tc>
        <w:tc>
          <w:tcPr>
            <w:tcW w:w="1121" w:type="dxa"/>
            <w:tcBorders>
              <w:top w:val="nil"/>
              <w:left w:val="single" w:sz="2" w:space="0" w:color="000000"/>
              <w:bottom w:val="single" w:sz="2" w:space="0" w:color="000000"/>
              <w:right w:val="nil"/>
            </w:tcBorders>
            <w:hideMark/>
          </w:tcPr>
          <w:p w14:paraId="7CFC20D3"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Quantidade máxima</w:t>
            </w:r>
          </w:p>
        </w:tc>
        <w:tc>
          <w:tcPr>
            <w:tcW w:w="841" w:type="dxa"/>
            <w:tcBorders>
              <w:top w:val="nil"/>
              <w:left w:val="single" w:sz="2" w:space="0" w:color="000000"/>
              <w:bottom w:val="single" w:sz="2" w:space="0" w:color="000000"/>
              <w:right w:val="single" w:sz="2" w:space="0" w:color="000000"/>
            </w:tcBorders>
            <w:hideMark/>
          </w:tcPr>
          <w:p w14:paraId="6F84496B"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Quantidade Mínima</w:t>
            </w:r>
          </w:p>
        </w:tc>
        <w:tc>
          <w:tcPr>
            <w:tcW w:w="841" w:type="dxa"/>
            <w:tcBorders>
              <w:top w:val="nil"/>
              <w:left w:val="single" w:sz="2" w:space="0" w:color="000000"/>
              <w:bottom w:val="single" w:sz="2" w:space="0" w:color="000000"/>
              <w:right w:val="nil"/>
            </w:tcBorders>
            <w:hideMark/>
          </w:tcPr>
          <w:p w14:paraId="410176FF"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Valor unitário</w:t>
            </w:r>
          </w:p>
        </w:tc>
        <w:tc>
          <w:tcPr>
            <w:tcW w:w="844" w:type="dxa"/>
            <w:tcBorders>
              <w:top w:val="nil"/>
              <w:left w:val="single" w:sz="2" w:space="0" w:color="000000"/>
              <w:bottom w:val="single" w:sz="2" w:space="0" w:color="000000"/>
              <w:right w:val="single" w:sz="2" w:space="0" w:color="000000"/>
            </w:tcBorders>
            <w:hideMark/>
          </w:tcPr>
          <w:p w14:paraId="703EE87B"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Prazo garantia ou validade</w:t>
            </w:r>
          </w:p>
        </w:tc>
      </w:tr>
      <w:tr w:rsidR="002B5BFA" w:rsidRPr="00CD3E0E" w14:paraId="038882DE" w14:textId="77777777" w:rsidTr="002B5BFA">
        <w:trPr>
          <w:trHeight w:val="174"/>
        </w:trPr>
        <w:tc>
          <w:tcPr>
            <w:tcW w:w="497" w:type="dxa"/>
            <w:tcBorders>
              <w:top w:val="nil"/>
              <w:left w:val="single" w:sz="2" w:space="0" w:color="000000"/>
              <w:bottom w:val="single" w:sz="2" w:space="0" w:color="000000"/>
              <w:right w:val="nil"/>
            </w:tcBorders>
            <w:hideMark/>
          </w:tcPr>
          <w:p w14:paraId="4652C569"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2609" w:type="dxa"/>
            <w:tcBorders>
              <w:top w:val="nil"/>
              <w:left w:val="single" w:sz="2" w:space="0" w:color="000000"/>
              <w:bottom w:val="single" w:sz="2" w:space="0" w:color="000000"/>
              <w:right w:val="nil"/>
            </w:tcBorders>
            <w:hideMark/>
          </w:tcPr>
          <w:p w14:paraId="706C23C2"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518" w:type="dxa"/>
            <w:tcBorders>
              <w:top w:val="nil"/>
              <w:left w:val="single" w:sz="2" w:space="0" w:color="000000"/>
              <w:bottom w:val="single" w:sz="2" w:space="0" w:color="000000"/>
              <w:right w:val="nil"/>
            </w:tcBorders>
            <w:hideMark/>
          </w:tcPr>
          <w:p w14:paraId="7FA4C8C7"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6FB76B82"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6AA445BF"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1" w:type="dxa"/>
            <w:tcBorders>
              <w:top w:val="nil"/>
              <w:left w:val="single" w:sz="2" w:space="0" w:color="000000"/>
              <w:bottom w:val="single" w:sz="2" w:space="0" w:color="000000"/>
              <w:right w:val="single" w:sz="2" w:space="0" w:color="000000"/>
            </w:tcBorders>
            <w:hideMark/>
          </w:tcPr>
          <w:p w14:paraId="3B14A367"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1" w:type="dxa"/>
            <w:tcBorders>
              <w:top w:val="nil"/>
              <w:left w:val="single" w:sz="2" w:space="0" w:color="000000"/>
              <w:bottom w:val="single" w:sz="2" w:space="0" w:color="000000"/>
              <w:right w:val="nil"/>
            </w:tcBorders>
            <w:hideMark/>
          </w:tcPr>
          <w:p w14:paraId="21CD794A"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4" w:type="dxa"/>
            <w:tcBorders>
              <w:top w:val="nil"/>
              <w:left w:val="single" w:sz="2" w:space="0" w:color="000000"/>
              <w:bottom w:val="single" w:sz="2" w:space="0" w:color="000000"/>
              <w:right w:val="single" w:sz="2" w:space="0" w:color="000000"/>
            </w:tcBorders>
            <w:hideMark/>
          </w:tcPr>
          <w:p w14:paraId="62B2E1AD"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r>
    </w:tbl>
    <w:p w14:paraId="27112A09" w14:textId="77777777" w:rsidR="002B5BFA" w:rsidRPr="00CD3E0E" w:rsidRDefault="002B5BFA" w:rsidP="00CD3E0E">
      <w:pPr>
        <w:tabs>
          <w:tab w:val="left" w:pos="284"/>
        </w:tabs>
        <w:adjustRightInd w:val="0"/>
        <w:spacing w:line="360" w:lineRule="auto"/>
        <w:ind w:right="-30"/>
        <w:rPr>
          <w:rFonts w:ascii="Verdana" w:eastAsia="Times New Roman" w:hAnsi="Verdana" w:cstheme="minorHAnsi"/>
          <w:color w:val="000000"/>
          <w:sz w:val="20"/>
          <w:szCs w:val="20"/>
        </w:rPr>
      </w:pPr>
    </w:p>
    <w:p w14:paraId="58865543" w14:textId="77777777" w:rsidR="002B5BFA" w:rsidRPr="00CD3E0E" w:rsidRDefault="002B5BFA" w:rsidP="00CD3E0E">
      <w:pPr>
        <w:tabs>
          <w:tab w:val="left" w:pos="284"/>
        </w:tabs>
        <w:adjustRightInd w:val="0"/>
        <w:spacing w:line="360" w:lineRule="auto"/>
        <w:ind w:right="-30"/>
        <w:rPr>
          <w:rFonts w:ascii="Verdana" w:hAnsi="Verdana" w:cstheme="minorHAnsi"/>
          <w:color w:val="000000"/>
          <w:sz w:val="20"/>
          <w:szCs w:val="20"/>
        </w:rPr>
      </w:pPr>
    </w:p>
    <w:p w14:paraId="0B816647" w14:textId="77777777" w:rsidR="0063108E" w:rsidRDefault="0063108E" w:rsidP="0063108E">
      <w:pPr>
        <w:rPr>
          <w:rFonts w:ascii="Verdana" w:hAnsi="Verdana"/>
          <w:szCs w:val="20"/>
        </w:rPr>
      </w:pPr>
    </w:p>
    <w:p w14:paraId="748BE94B" w14:textId="48CA4FF3" w:rsidR="00CE1F07" w:rsidRPr="00CD3E0E" w:rsidRDefault="0063108E" w:rsidP="00686F65">
      <w:pPr>
        <w:rPr>
          <w:rFonts w:ascii="Verdana" w:hAnsi="Verdana"/>
          <w:sz w:val="20"/>
          <w:szCs w:val="20"/>
        </w:rPr>
      </w:pPr>
      <w:r>
        <w:rPr>
          <w:rFonts w:ascii="Verdana" w:hAnsi="Verdana"/>
          <w:szCs w:val="20"/>
        </w:rPr>
        <w:t>OBS: AS EMPRESAS INTERESSADAS TEM QUE MANISFESTAR O INTERESSE VIA EMAIL OU SISTEMA SUA VAGA NO CADASTRO RESERVA.</w:t>
      </w:r>
    </w:p>
    <w:sectPr w:rsidR="00CE1F07" w:rsidRPr="00CD3E0E" w:rsidSect="00F851E6">
      <w:headerReference w:type="default" r:id="rId14"/>
      <w:footerReference w:type="default" r:id="rId15"/>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A1412B" w14:textId="77777777" w:rsidR="002C4295" w:rsidRDefault="002C4295" w:rsidP="008D2EFD">
      <w:r>
        <w:separator/>
      </w:r>
    </w:p>
  </w:endnote>
  <w:endnote w:type="continuationSeparator" w:id="0">
    <w:p w14:paraId="27C7D4F5" w14:textId="77777777" w:rsidR="002C4295" w:rsidRDefault="002C4295" w:rsidP="008D2E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Ecofont_Spranq_eco_Sans">
    <w:altName w:val="Malgun Gothic"/>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F3758E" w14:textId="4DD7E093" w:rsidR="002C4295" w:rsidRDefault="002C4295">
    <w:pPr>
      <w:pStyle w:val="Rodap"/>
    </w:pPr>
    <w:r>
      <w:rPr>
        <w:noProof/>
        <w:lang w:val="pt-BR" w:eastAsia="pt-BR"/>
      </w:rPr>
      <w:drawing>
        <wp:anchor distT="114300" distB="114300" distL="114300" distR="114300" simplePos="0" relativeHeight="251660288" behindDoc="0" locked="0" layoutInCell="1" allowOverlap="1" wp14:anchorId="75A8942F" wp14:editId="4B635A09">
          <wp:simplePos x="0" y="0"/>
          <wp:positionH relativeFrom="margin">
            <wp:posOffset>-965835</wp:posOffset>
          </wp:positionH>
          <wp:positionV relativeFrom="paragraph">
            <wp:posOffset>-294640</wp:posOffset>
          </wp:positionV>
          <wp:extent cx="7663180" cy="902335"/>
          <wp:effectExtent l="0" t="0" r="0" b="0"/>
          <wp:wrapNone/>
          <wp:docPr id="9" name="Imagem 3"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Uma imagem contendo Padrão do plano de fund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l="140" t="84219" r="-140" b="2081"/>
                  <a:stretch>
                    <a:fillRect/>
                  </a:stretch>
                </pic:blipFill>
                <pic:spPr bwMode="auto">
                  <a:xfrm>
                    <a:off x="0" y="0"/>
                    <a:ext cx="7663180" cy="90233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867144" w14:textId="77777777" w:rsidR="002C4295" w:rsidRDefault="002C4295" w:rsidP="008D2EFD">
      <w:r>
        <w:separator/>
      </w:r>
    </w:p>
  </w:footnote>
  <w:footnote w:type="continuationSeparator" w:id="0">
    <w:p w14:paraId="4BBEDAC6" w14:textId="77777777" w:rsidR="002C4295" w:rsidRDefault="002C4295" w:rsidP="008D2E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A1A0D0" w14:textId="61AB3B82" w:rsidR="002C4295" w:rsidRDefault="002C4295">
    <w:pPr>
      <w:pStyle w:val="Cabealho"/>
    </w:pPr>
    <w:r>
      <w:rPr>
        <w:noProof/>
        <w:lang w:val="pt-BR" w:eastAsia="pt-BR"/>
      </w:rPr>
      <w:drawing>
        <wp:anchor distT="0" distB="0" distL="114300" distR="114300" simplePos="0" relativeHeight="251658240" behindDoc="0" locked="0" layoutInCell="1" allowOverlap="1" wp14:anchorId="5F86C60F" wp14:editId="56082737">
          <wp:simplePos x="0" y="0"/>
          <wp:positionH relativeFrom="margin">
            <wp:posOffset>497840</wp:posOffset>
          </wp:positionH>
          <wp:positionV relativeFrom="paragraph">
            <wp:posOffset>-412075</wp:posOffset>
          </wp:positionV>
          <wp:extent cx="8572107" cy="1417320"/>
          <wp:effectExtent l="0" t="0" r="635" b="0"/>
          <wp:wrapNone/>
          <wp:docPr id="2101214546" name="Imagem 2"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214546" name="Imagem 2" descr="Uma imagem contendo Padrão do plano de fundo&#10;&#10;Descrição gerada automaticamente"/>
                  <pic:cNvPicPr>
                    <a:picLocks noChangeAspect="1"/>
                  </pic:cNvPicPr>
                </pic:nvPicPr>
                <pic:blipFill>
                  <a:blip r:embed="rId1">
                    <a:extLst>
                      <a:ext uri="{28A0092B-C50C-407E-A947-70E740481C1C}">
                        <a14:useLocalDpi xmlns:a14="http://schemas.microsoft.com/office/drawing/2010/main" val="0"/>
                      </a:ext>
                    </a:extLst>
                  </a:blip>
                  <a:srcRect t="2676" b="88350"/>
                  <a:stretch>
                    <a:fillRect/>
                  </a:stretch>
                </pic:blipFill>
                <pic:spPr bwMode="auto">
                  <a:xfrm>
                    <a:off x="0" y="0"/>
                    <a:ext cx="8572107" cy="14173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FAF1EB" w14:textId="77777777" w:rsidR="002C4295" w:rsidRDefault="002C4295">
    <w:pPr>
      <w:pStyle w:val="Cabealho"/>
    </w:pPr>
  </w:p>
  <w:p w14:paraId="7508D885" w14:textId="77777777" w:rsidR="002C4295" w:rsidRDefault="002C4295">
    <w:pPr>
      <w:pStyle w:val="Cabealho"/>
    </w:pPr>
  </w:p>
  <w:p w14:paraId="68AD3DE9" w14:textId="77777777" w:rsidR="002C4295" w:rsidRDefault="002C4295">
    <w:pPr>
      <w:pStyle w:val="Cabealho"/>
    </w:pPr>
  </w:p>
  <w:p w14:paraId="30E682F0" w14:textId="77777777" w:rsidR="002C4295" w:rsidRDefault="002C4295">
    <w:pPr>
      <w:pStyle w:val="Cabealho"/>
    </w:pPr>
  </w:p>
  <w:p w14:paraId="48E5FE52" w14:textId="77777777" w:rsidR="002C4295" w:rsidRDefault="002C429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983857"/>
    <w:multiLevelType w:val="multilevel"/>
    <w:tmpl w:val="736EE57C"/>
    <w:lvl w:ilvl="0">
      <w:start w:val="1"/>
      <w:numFmt w:val="decimal"/>
      <w:lvlText w:val="%1."/>
      <w:lvlJc w:val="left"/>
      <w:pPr>
        <w:ind w:left="360" w:hanging="360"/>
      </w:pPr>
      <w:rPr>
        <w:b/>
        <w:i w:val="0"/>
        <w:iCs/>
        <w:color w:val="0F4761" w:themeColor="accent1" w:themeShade="BF"/>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D5C100D"/>
    <w:multiLevelType w:val="multilevel"/>
    <w:tmpl w:val="B8C62052"/>
    <w:lvl w:ilvl="0">
      <w:start w:val="1"/>
      <w:numFmt w:val="decimal"/>
      <w:pStyle w:val="Nvel3-R"/>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46A65D9"/>
    <w:multiLevelType w:val="hybridMultilevel"/>
    <w:tmpl w:val="1EFE48F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46921DA5"/>
    <w:multiLevelType w:val="hybridMultilevel"/>
    <w:tmpl w:val="7B5E412C"/>
    <w:lvl w:ilvl="0" w:tplc="22660A54">
      <w:start w:val="1"/>
      <w:numFmt w:val="decimal"/>
      <w:lvlText w:val="%1)"/>
      <w:lvlJc w:val="left"/>
      <w:pPr>
        <w:ind w:left="1215" w:hanging="360"/>
      </w:pPr>
      <w:rPr>
        <w:rFonts w:hint="default"/>
      </w:rPr>
    </w:lvl>
    <w:lvl w:ilvl="1" w:tplc="04160019" w:tentative="1">
      <w:start w:val="1"/>
      <w:numFmt w:val="lowerLetter"/>
      <w:lvlText w:val="%2."/>
      <w:lvlJc w:val="left"/>
      <w:pPr>
        <w:ind w:left="1935" w:hanging="360"/>
      </w:pPr>
    </w:lvl>
    <w:lvl w:ilvl="2" w:tplc="0416001B" w:tentative="1">
      <w:start w:val="1"/>
      <w:numFmt w:val="lowerRoman"/>
      <w:lvlText w:val="%3."/>
      <w:lvlJc w:val="right"/>
      <w:pPr>
        <w:ind w:left="2655" w:hanging="180"/>
      </w:pPr>
    </w:lvl>
    <w:lvl w:ilvl="3" w:tplc="0416000F" w:tentative="1">
      <w:start w:val="1"/>
      <w:numFmt w:val="decimal"/>
      <w:lvlText w:val="%4."/>
      <w:lvlJc w:val="left"/>
      <w:pPr>
        <w:ind w:left="3375" w:hanging="360"/>
      </w:pPr>
    </w:lvl>
    <w:lvl w:ilvl="4" w:tplc="04160019" w:tentative="1">
      <w:start w:val="1"/>
      <w:numFmt w:val="lowerLetter"/>
      <w:lvlText w:val="%5."/>
      <w:lvlJc w:val="left"/>
      <w:pPr>
        <w:ind w:left="4095" w:hanging="360"/>
      </w:pPr>
    </w:lvl>
    <w:lvl w:ilvl="5" w:tplc="0416001B" w:tentative="1">
      <w:start w:val="1"/>
      <w:numFmt w:val="lowerRoman"/>
      <w:lvlText w:val="%6."/>
      <w:lvlJc w:val="right"/>
      <w:pPr>
        <w:ind w:left="4815" w:hanging="180"/>
      </w:pPr>
    </w:lvl>
    <w:lvl w:ilvl="6" w:tplc="0416000F" w:tentative="1">
      <w:start w:val="1"/>
      <w:numFmt w:val="decimal"/>
      <w:lvlText w:val="%7."/>
      <w:lvlJc w:val="left"/>
      <w:pPr>
        <w:ind w:left="5535" w:hanging="360"/>
      </w:pPr>
    </w:lvl>
    <w:lvl w:ilvl="7" w:tplc="04160019" w:tentative="1">
      <w:start w:val="1"/>
      <w:numFmt w:val="lowerLetter"/>
      <w:lvlText w:val="%8."/>
      <w:lvlJc w:val="left"/>
      <w:pPr>
        <w:ind w:left="6255" w:hanging="360"/>
      </w:pPr>
    </w:lvl>
    <w:lvl w:ilvl="8" w:tplc="0416001B" w:tentative="1">
      <w:start w:val="1"/>
      <w:numFmt w:val="lowerRoman"/>
      <w:lvlText w:val="%9."/>
      <w:lvlJc w:val="right"/>
      <w:pPr>
        <w:ind w:left="6975" w:hanging="180"/>
      </w:pPr>
    </w:lvl>
  </w:abstractNum>
  <w:abstractNum w:abstractNumId="4" w15:restartNumberingAfterBreak="0">
    <w:nsid w:val="58C70088"/>
    <w:multiLevelType w:val="multilevel"/>
    <w:tmpl w:val="2334FDA2"/>
    <w:lvl w:ilvl="0">
      <w:start w:val="1"/>
      <w:numFmt w:val="decimal"/>
      <w:pStyle w:val="Nivel1"/>
      <w:lvlText w:val="%1."/>
      <w:lvlJc w:val="left"/>
      <w:pPr>
        <w:ind w:left="502" w:hanging="360"/>
      </w:pPr>
      <w:rPr>
        <w:b/>
        <w:i w:val="0"/>
        <w:strike w:val="0"/>
        <w:dstrike w:val="0"/>
        <w:u w:val="none"/>
        <w:effect w:val="none"/>
      </w:rPr>
    </w:lvl>
    <w:lvl w:ilvl="1">
      <w:start w:val="1"/>
      <w:numFmt w:val="decimal"/>
      <w:pStyle w:val="Nivel2"/>
      <w:lvlText w:val="%1.%2."/>
      <w:lvlJc w:val="left"/>
      <w:pPr>
        <w:ind w:left="858" w:hanging="432"/>
      </w:pPr>
      <w:rPr>
        <w:b w:val="0"/>
        <w:strike w:val="0"/>
        <w:dstrike w:val="0"/>
        <w:u w:val="none"/>
        <w:effect w:val="none"/>
      </w:rPr>
    </w:lvl>
    <w:lvl w:ilvl="2">
      <w:start w:val="1"/>
      <w:numFmt w:val="decimal"/>
      <w:pStyle w:val="Nivel1"/>
      <w:lvlText w:val="%1.%2.%3."/>
      <w:lvlJc w:val="left"/>
      <w:pPr>
        <w:ind w:left="1224" w:hanging="504"/>
      </w:pPr>
      <w:rPr>
        <w:i w:val="0"/>
        <w:strike w:val="0"/>
        <w:dstrike w:val="0"/>
        <w:u w:val="none"/>
        <w:effect w:val="none"/>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1DD361E"/>
    <w:multiLevelType w:val="multilevel"/>
    <w:tmpl w:val="AB9AA196"/>
    <w:lvl w:ilvl="0">
      <w:start w:val="1"/>
      <w:numFmt w:val="decimal"/>
      <w:pStyle w:val="Nivel01Titulo"/>
      <w:lvlText w:val="%1."/>
      <w:lvlJc w:val="left"/>
      <w:pPr>
        <w:ind w:left="360" w:hanging="360"/>
      </w:pPr>
      <w:rPr>
        <w:b/>
        <w:i w:val="0"/>
        <w:color w:val="auto"/>
      </w:rPr>
    </w:lvl>
    <w:lvl w:ilvl="1">
      <w:start w:val="1"/>
      <w:numFmt w:val="decimal"/>
      <w:suff w:val="space"/>
      <w:lvlText w:val="%1.%2."/>
      <w:lvlJc w:val="left"/>
      <w:pPr>
        <w:ind w:left="567" w:firstLine="0"/>
      </w:pPr>
      <w:rPr>
        <w:rFonts w:asciiTheme="minorHAnsi" w:hAnsiTheme="minorHAnsi" w:cstheme="minorHAnsi" w:hint="default"/>
        <w:b w:val="0"/>
        <w:bCs w:val="0"/>
        <w:i w:val="0"/>
        <w:color w:val="auto"/>
        <w:sz w:val="20"/>
        <w:szCs w:val="20"/>
      </w:rPr>
    </w:lvl>
    <w:lvl w:ilvl="2">
      <w:start w:val="1"/>
      <w:numFmt w:val="decimal"/>
      <w:suff w:val="space"/>
      <w:lvlText w:val="%1.%2.%3."/>
      <w:lvlJc w:val="left"/>
      <w:pPr>
        <w:ind w:left="710" w:firstLine="0"/>
      </w:pPr>
      <w:rPr>
        <w:b w:val="0"/>
        <w:i w:val="0"/>
        <w:color w:val="auto"/>
        <w:sz w:val="20"/>
        <w:szCs w:val="20"/>
      </w:rPr>
    </w:lvl>
    <w:lvl w:ilvl="3">
      <w:start w:val="1"/>
      <w:numFmt w:val="decimal"/>
      <w:suff w:val="space"/>
      <w:lvlText w:val="%1.%2.%3.%4."/>
      <w:lvlJc w:val="left"/>
      <w:pPr>
        <w:ind w:left="1985" w:firstLine="0"/>
      </w:pPr>
      <w:rPr>
        <w:b w:val="0"/>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2"/>
  </w:num>
  <w:num w:numId="2">
    <w:abstractNumId w:val="3"/>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9"/>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2EFD"/>
    <w:rsid w:val="000400FA"/>
    <w:rsid w:val="0009350C"/>
    <w:rsid w:val="000A59D9"/>
    <w:rsid w:val="000B47E8"/>
    <w:rsid w:val="000C56EA"/>
    <w:rsid w:val="000E4181"/>
    <w:rsid w:val="000E52ED"/>
    <w:rsid w:val="000F6A94"/>
    <w:rsid w:val="0010474E"/>
    <w:rsid w:val="00113B27"/>
    <w:rsid w:val="00142C55"/>
    <w:rsid w:val="00150206"/>
    <w:rsid w:val="001A2B38"/>
    <w:rsid w:val="001C13B2"/>
    <w:rsid w:val="001E0469"/>
    <w:rsid w:val="00201F2A"/>
    <w:rsid w:val="00220067"/>
    <w:rsid w:val="002225D0"/>
    <w:rsid w:val="002378EF"/>
    <w:rsid w:val="00237F34"/>
    <w:rsid w:val="002444B6"/>
    <w:rsid w:val="00263715"/>
    <w:rsid w:val="00263885"/>
    <w:rsid w:val="002B0E40"/>
    <w:rsid w:val="002B5BFA"/>
    <w:rsid w:val="002C4295"/>
    <w:rsid w:val="002E2F31"/>
    <w:rsid w:val="002F6AFC"/>
    <w:rsid w:val="00327210"/>
    <w:rsid w:val="003413E5"/>
    <w:rsid w:val="00342852"/>
    <w:rsid w:val="00343515"/>
    <w:rsid w:val="00343C06"/>
    <w:rsid w:val="00355884"/>
    <w:rsid w:val="00377C9A"/>
    <w:rsid w:val="0039640C"/>
    <w:rsid w:val="003C628C"/>
    <w:rsid w:val="003E4C1B"/>
    <w:rsid w:val="003F4EDA"/>
    <w:rsid w:val="00402F12"/>
    <w:rsid w:val="00430CED"/>
    <w:rsid w:val="00466F4F"/>
    <w:rsid w:val="004827D2"/>
    <w:rsid w:val="00485D09"/>
    <w:rsid w:val="004911F9"/>
    <w:rsid w:val="004A1682"/>
    <w:rsid w:val="004A4F5C"/>
    <w:rsid w:val="004A5444"/>
    <w:rsid w:val="004B15AD"/>
    <w:rsid w:val="004D69BE"/>
    <w:rsid w:val="00510D4E"/>
    <w:rsid w:val="0051511E"/>
    <w:rsid w:val="005300EE"/>
    <w:rsid w:val="0057179F"/>
    <w:rsid w:val="005723BF"/>
    <w:rsid w:val="00580887"/>
    <w:rsid w:val="005A66F3"/>
    <w:rsid w:val="005C6F58"/>
    <w:rsid w:val="005D5F68"/>
    <w:rsid w:val="005E3C06"/>
    <w:rsid w:val="005F64F4"/>
    <w:rsid w:val="006008ED"/>
    <w:rsid w:val="00603CE8"/>
    <w:rsid w:val="00604CBF"/>
    <w:rsid w:val="006111DB"/>
    <w:rsid w:val="0063108E"/>
    <w:rsid w:val="00686F65"/>
    <w:rsid w:val="006C1A58"/>
    <w:rsid w:val="006C42EB"/>
    <w:rsid w:val="006C5514"/>
    <w:rsid w:val="006F57F2"/>
    <w:rsid w:val="0070494B"/>
    <w:rsid w:val="007138C5"/>
    <w:rsid w:val="00764894"/>
    <w:rsid w:val="007B668E"/>
    <w:rsid w:val="007E791E"/>
    <w:rsid w:val="007F37FC"/>
    <w:rsid w:val="0080619F"/>
    <w:rsid w:val="00821AEF"/>
    <w:rsid w:val="008404DE"/>
    <w:rsid w:val="00847360"/>
    <w:rsid w:val="008577F6"/>
    <w:rsid w:val="008626E1"/>
    <w:rsid w:val="00864B9C"/>
    <w:rsid w:val="00893F7F"/>
    <w:rsid w:val="008B495E"/>
    <w:rsid w:val="008C5333"/>
    <w:rsid w:val="008D2EFD"/>
    <w:rsid w:val="008D7EEA"/>
    <w:rsid w:val="008F71C9"/>
    <w:rsid w:val="00907B90"/>
    <w:rsid w:val="009137AD"/>
    <w:rsid w:val="00922869"/>
    <w:rsid w:val="00927BDF"/>
    <w:rsid w:val="009465AB"/>
    <w:rsid w:val="00952E33"/>
    <w:rsid w:val="00956E2C"/>
    <w:rsid w:val="00985EBE"/>
    <w:rsid w:val="009C6865"/>
    <w:rsid w:val="009D1351"/>
    <w:rsid w:val="009D204B"/>
    <w:rsid w:val="009F2351"/>
    <w:rsid w:val="00A17180"/>
    <w:rsid w:val="00A61FEC"/>
    <w:rsid w:val="00A9291D"/>
    <w:rsid w:val="00A93859"/>
    <w:rsid w:val="00AC4F71"/>
    <w:rsid w:val="00AF2CAA"/>
    <w:rsid w:val="00B4146A"/>
    <w:rsid w:val="00B5103C"/>
    <w:rsid w:val="00BB3283"/>
    <w:rsid w:val="00BE79C0"/>
    <w:rsid w:val="00C037E5"/>
    <w:rsid w:val="00C2062F"/>
    <w:rsid w:val="00C24E3A"/>
    <w:rsid w:val="00C277A1"/>
    <w:rsid w:val="00C65DF7"/>
    <w:rsid w:val="00CA0B5D"/>
    <w:rsid w:val="00CC71D7"/>
    <w:rsid w:val="00CD3E0E"/>
    <w:rsid w:val="00CD7B42"/>
    <w:rsid w:val="00CE1F07"/>
    <w:rsid w:val="00CE48D1"/>
    <w:rsid w:val="00CF7EDF"/>
    <w:rsid w:val="00D042B7"/>
    <w:rsid w:val="00D12227"/>
    <w:rsid w:val="00D22D73"/>
    <w:rsid w:val="00D46A84"/>
    <w:rsid w:val="00D634AD"/>
    <w:rsid w:val="00D90BF6"/>
    <w:rsid w:val="00DA724F"/>
    <w:rsid w:val="00DC2301"/>
    <w:rsid w:val="00DD21D7"/>
    <w:rsid w:val="00DD351D"/>
    <w:rsid w:val="00DF0FA8"/>
    <w:rsid w:val="00E5072A"/>
    <w:rsid w:val="00EA0BDF"/>
    <w:rsid w:val="00EB6003"/>
    <w:rsid w:val="00ED6810"/>
    <w:rsid w:val="00EE2A27"/>
    <w:rsid w:val="00F002EC"/>
    <w:rsid w:val="00F2266D"/>
    <w:rsid w:val="00F36033"/>
    <w:rsid w:val="00F413C7"/>
    <w:rsid w:val="00F74EB4"/>
    <w:rsid w:val="00F815D1"/>
    <w:rsid w:val="00F851E6"/>
    <w:rsid w:val="00FA40A3"/>
    <w:rsid w:val="00FA7F63"/>
    <w:rsid w:val="00FB567D"/>
    <w:rsid w:val="00FC401E"/>
    <w:rsid w:val="00FD520B"/>
    <w:rsid w:val="00FF4E1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7D576"/>
  <w15:docId w15:val="{02FD1C6C-486C-44E4-BDC8-5E03E8DE3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062F"/>
    <w:pPr>
      <w:widowControl w:val="0"/>
      <w:autoSpaceDE w:val="0"/>
      <w:autoSpaceDN w:val="0"/>
      <w:spacing w:after="0" w:line="240" w:lineRule="auto"/>
    </w:pPr>
    <w:rPr>
      <w:kern w:val="0"/>
      <w:sz w:val="22"/>
      <w:szCs w:val="22"/>
      <w:lang w:val="pt-PT"/>
      <w14:ligatures w14:val="none"/>
    </w:rPr>
  </w:style>
  <w:style w:type="paragraph" w:styleId="Ttulo1">
    <w:name w:val="heading 1"/>
    <w:aliases w:val="CEP título"/>
    <w:basedOn w:val="Normal"/>
    <w:next w:val="Normal"/>
    <w:link w:val="Ttulo1Char"/>
    <w:uiPriority w:val="99"/>
    <w:qFormat/>
    <w:rsid w:val="008D2E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semiHidden/>
    <w:unhideWhenUsed/>
    <w:qFormat/>
    <w:rsid w:val="008D2E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semiHidden/>
    <w:unhideWhenUsed/>
    <w:qFormat/>
    <w:rsid w:val="008D2EF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semiHidden/>
    <w:unhideWhenUsed/>
    <w:qFormat/>
    <w:rsid w:val="008D2EF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9"/>
    <w:semiHidden/>
    <w:unhideWhenUsed/>
    <w:qFormat/>
    <w:rsid w:val="008D2EF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9"/>
    <w:semiHidden/>
    <w:unhideWhenUsed/>
    <w:qFormat/>
    <w:rsid w:val="008D2EF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semiHidden/>
    <w:unhideWhenUsed/>
    <w:qFormat/>
    <w:rsid w:val="008D2EF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semiHidden/>
    <w:unhideWhenUsed/>
    <w:qFormat/>
    <w:rsid w:val="008D2EF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8D2EF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CEP título Char"/>
    <w:basedOn w:val="Fontepargpadro"/>
    <w:link w:val="Ttulo1"/>
    <w:uiPriority w:val="99"/>
    <w:rsid w:val="008D2EF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semiHidden/>
    <w:rsid w:val="008D2EF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semiHidden/>
    <w:rsid w:val="008D2EFD"/>
    <w:rPr>
      <w:rFonts w:eastAsiaTheme="majorEastAsia" w:cstheme="majorBidi"/>
      <w:color w:val="0F4761" w:themeColor="accent1" w:themeShade="BF"/>
      <w:sz w:val="28"/>
      <w:szCs w:val="28"/>
    </w:rPr>
  </w:style>
  <w:style w:type="character" w:customStyle="1" w:styleId="Ttulo4Char">
    <w:name w:val="Título 4 Char"/>
    <w:basedOn w:val="Fontepargpadro"/>
    <w:link w:val="Ttulo4"/>
    <w:semiHidden/>
    <w:rsid w:val="008D2EFD"/>
    <w:rPr>
      <w:rFonts w:eastAsiaTheme="majorEastAsia" w:cstheme="majorBidi"/>
      <w:i/>
      <w:iCs/>
      <w:color w:val="0F4761" w:themeColor="accent1" w:themeShade="BF"/>
    </w:rPr>
  </w:style>
  <w:style w:type="character" w:customStyle="1" w:styleId="Ttulo5Char">
    <w:name w:val="Título 5 Char"/>
    <w:basedOn w:val="Fontepargpadro"/>
    <w:link w:val="Ttulo5"/>
    <w:uiPriority w:val="99"/>
    <w:semiHidden/>
    <w:rsid w:val="008D2EFD"/>
    <w:rPr>
      <w:rFonts w:eastAsiaTheme="majorEastAsia" w:cstheme="majorBidi"/>
      <w:color w:val="0F4761" w:themeColor="accent1" w:themeShade="BF"/>
    </w:rPr>
  </w:style>
  <w:style w:type="character" w:customStyle="1" w:styleId="Ttulo6Char">
    <w:name w:val="Título 6 Char"/>
    <w:basedOn w:val="Fontepargpadro"/>
    <w:link w:val="Ttulo6"/>
    <w:uiPriority w:val="99"/>
    <w:semiHidden/>
    <w:rsid w:val="008D2EFD"/>
    <w:rPr>
      <w:rFonts w:eastAsiaTheme="majorEastAsia" w:cstheme="majorBidi"/>
      <w:i/>
      <w:iCs/>
      <w:color w:val="595959" w:themeColor="text1" w:themeTint="A6"/>
    </w:rPr>
  </w:style>
  <w:style w:type="character" w:customStyle="1" w:styleId="Ttulo7Char">
    <w:name w:val="Título 7 Char"/>
    <w:basedOn w:val="Fontepargpadro"/>
    <w:link w:val="Ttulo7"/>
    <w:semiHidden/>
    <w:rsid w:val="008D2EFD"/>
    <w:rPr>
      <w:rFonts w:eastAsiaTheme="majorEastAsia" w:cstheme="majorBidi"/>
      <w:color w:val="595959" w:themeColor="text1" w:themeTint="A6"/>
    </w:rPr>
  </w:style>
  <w:style w:type="character" w:customStyle="1" w:styleId="Ttulo8Char">
    <w:name w:val="Título 8 Char"/>
    <w:basedOn w:val="Fontepargpadro"/>
    <w:link w:val="Ttulo8"/>
    <w:semiHidden/>
    <w:rsid w:val="008D2EF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8D2EFD"/>
    <w:rPr>
      <w:rFonts w:eastAsiaTheme="majorEastAsia" w:cstheme="majorBidi"/>
      <w:color w:val="272727" w:themeColor="text1" w:themeTint="D8"/>
    </w:rPr>
  </w:style>
  <w:style w:type="paragraph" w:styleId="Ttulo">
    <w:name w:val="Title"/>
    <w:basedOn w:val="Normal"/>
    <w:next w:val="Normal"/>
    <w:link w:val="TtuloChar"/>
    <w:qFormat/>
    <w:rsid w:val="008D2EF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8D2EF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8D2EF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8D2EFD"/>
    <w:rPr>
      <w:rFonts w:eastAsiaTheme="majorEastAsia" w:cstheme="majorBidi"/>
      <w:color w:val="595959" w:themeColor="text1" w:themeTint="A6"/>
      <w:spacing w:val="15"/>
      <w:sz w:val="28"/>
      <w:szCs w:val="28"/>
    </w:rPr>
  </w:style>
  <w:style w:type="paragraph" w:styleId="Citao">
    <w:name w:val="Quote"/>
    <w:basedOn w:val="Normal"/>
    <w:next w:val="Normal"/>
    <w:link w:val="CitaoChar"/>
    <w:qFormat/>
    <w:rsid w:val="008D2EFD"/>
    <w:pPr>
      <w:spacing w:before="160"/>
      <w:jc w:val="center"/>
    </w:pPr>
    <w:rPr>
      <w:i/>
      <w:iCs/>
      <w:color w:val="404040" w:themeColor="text1" w:themeTint="BF"/>
    </w:rPr>
  </w:style>
  <w:style w:type="character" w:customStyle="1" w:styleId="CitaoChar">
    <w:name w:val="Citação Char"/>
    <w:basedOn w:val="Fontepargpadro"/>
    <w:link w:val="Citao"/>
    <w:rsid w:val="008D2EFD"/>
    <w:rPr>
      <w:i/>
      <w:iCs/>
      <w:color w:val="404040" w:themeColor="text1" w:themeTint="BF"/>
    </w:rPr>
  </w:style>
  <w:style w:type="paragraph" w:styleId="PargrafodaLista">
    <w:name w:val="List Paragraph"/>
    <w:basedOn w:val="Normal"/>
    <w:link w:val="PargrafodaListaChar"/>
    <w:uiPriority w:val="34"/>
    <w:qFormat/>
    <w:rsid w:val="008D2EFD"/>
    <w:pPr>
      <w:ind w:left="720"/>
      <w:contextualSpacing/>
    </w:pPr>
  </w:style>
  <w:style w:type="character" w:styleId="nfaseIntensa">
    <w:name w:val="Intense Emphasis"/>
    <w:basedOn w:val="Fontepargpadro"/>
    <w:uiPriority w:val="21"/>
    <w:qFormat/>
    <w:rsid w:val="008D2EFD"/>
    <w:rPr>
      <w:i/>
      <w:iCs/>
      <w:color w:val="0F4761" w:themeColor="accent1" w:themeShade="BF"/>
    </w:rPr>
  </w:style>
  <w:style w:type="paragraph" w:styleId="CitaoIntensa">
    <w:name w:val="Intense Quote"/>
    <w:basedOn w:val="Normal"/>
    <w:next w:val="Normal"/>
    <w:link w:val="CitaoIntensaChar"/>
    <w:uiPriority w:val="30"/>
    <w:qFormat/>
    <w:rsid w:val="008D2E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8D2EFD"/>
    <w:rPr>
      <w:i/>
      <w:iCs/>
      <w:color w:val="0F4761" w:themeColor="accent1" w:themeShade="BF"/>
    </w:rPr>
  </w:style>
  <w:style w:type="character" w:styleId="RefernciaIntensa">
    <w:name w:val="Intense Reference"/>
    <w:basedOn w:val="Fontepargpadro"/>
    <w:uiPriority w:val="32"/>
    <w:qFormat/>
    <w:rsid w:val="008D2EFD"/>
    <w:rPr>
      <w:b/>
      <w:bCs/>
      <w:smallCaps/>
      <w:color w:val="0F4761" w:themeColor="accent1" w:themeShade="BF"/>
      <w:spacing w:val="5"/>
    </w:rPr>
  </w:style>
  <w:style w:type="paragraph" w:styleId="Cabealho">
    <w:name w:val="header"/>
    <w:aliases w:val="Cabeçalho superior,encabezado,Heading 1a,Char,Char Char"/>
    <w:basedOn w:val="Normal"/>
    <w:link w:val="CabealhoChar"/>
    <w:unhideWhenUsed/>
    <w:rsid w:val="008D2EFD"/>
    <w:pPr>
      <w:tabs>
        <w:tab w:val="center" w:pos="4252"/>
        <w:tab w:val="right" w:pos="8504"/>
      </w:tabs>
    </w:pPr>
  </w:style>
  <w:style w:type="character" w:customStyle="1" w:styleId="CabealhoChar">
    <w:name w:val="Cabeçalho Char"/>
    <w:aliases w:val="Cabeçalho superior Char,encabezado Char,Heading 1a Char,Char Char1,Char Char Char"/>
    <w:basedOn w:val="Fontepargpadro"/>
    <w:link w:val="Cabealho"/>
    <w:uiPriority w:val="99"/>
    <w:rsid w:val="008D2EFD"/>
  </w:style>
  <w:style w:type="paragraph" w:styleId="Rodap">
    <w:name w:val="footer"/>
    <w:basedOn w:val="Normal"/>
    <w:link w:val="RodapChar"/>
    <w:unhideWhenUsed/>
    <w:rsid w:val="008D2EFD"/>
    <w:pPr>
      <w:tabs>
        <w:tab w:val="center" w:pos="4252"/>
        <w:tab w:val="right" w:pos="8504"/>
      </w:tabs>
    </w:pPr>
  </w:style>
  <w:style w:type="character" w:customStyle="1" w:styleId="RodapChar">
    <w:name w:val="Rodapé Char"/>
    <w:basedOn w:val="Fontepargpadro"/>
    <w:link w:val="Rodap"/>
    <w:rsid w:val="008D2EFD"/>
  </w:style>
  <w:style w:type="paragraph" w:styleId="SemEspaamento">
    <w:name w:val="No Spacing"/>
    <w:uiPriority w:val="1"/>
    <w:qFormat/>
    <w:rsid w:val="00C2062F"/>
    <w:pPr>
      <w:spacing w:after="0" w:line="240" w:lineRule="auto"/>
    </w:pPr>
    <w:rPr>
      <w:rFonts w:ascii="Calibri" w:eastAsia="Calibri" w:hAnsi="Calibri" w:cs="Times New Roman"/>
      <w:kern w:val="0"/>
      <w:sz w:val="22"/>
      <w:szCs w:val="22"/>
      <w14:ligatures w14:val="none"/>
    </w:rPr>
  </w:style>
  <w:style w:type="paragraph" w:styleId="Corpodetexto">
    <w:name w:val="Body Text"/>
    <w:basedOn w:val="Normal"/>
    <w:link w:val="CorpodetextoChar"/>
    <w:uiPriority w:val="99"/>
    <w:qFormat/>
    <w:rsid w:val="00C2062F"/>
    <w:pPr>
      <w:widowControl/>
      <w:autoSpaceDE/>
      <w:autoSpaceDN/>
    </w:pPr>
    <w:rPr>
      <w:rFonts w:ascii="Times New Roman" w:eastAsia="Calibri" w:hAnsi="Times New Roman" w:cs="Times New Roman"/>
      <w:b/>
      <w:sz w:val="28"/>
      <w:szCs w:val="20"/>
      <w:lang w:val="pt-BR" w:eastAsia="pt-BR"/>
    </w:rPr>
  </w:style>
  <w:style w:type="character" w:customStyle="1" w:styleId="CorpodetextoChar">
    <w:name w:val="Corpo de texto Char"/>
    <w:basedOn w:val="Fontepargpadro"/>
    <w:link w:val="Corpodetexto"/>
    <w:uiPriority w:val="99"/>
    <w:rsid w:val="00C2062F"/>
    <w:rPr>
      <w:rFonts w:ascii="Times New Roman" w:eastAsia="Calibri" w:hAnsi="Times New Roman" w:cs="Times New Roman"/>
      <w:b/>
      <w:kern w:val="0"/>
      <w:sz w:val="28"/>
      <w:szCs w:val="20"/>
      <w:lang w:eastAsia="pt-BR"/>
      <w14:ligatures w14:val="none"/>
    </w:rPr>
  </w:style>
  <w:style w:type="table" w:customStyle="1" w:styleId="TableGrid">
    <w:name w:val="TableGrid"/>
    <w:rsid w:val="008404DE"/>
    <w:pPr>
      <w:spacing w:after="0" w:line="240" w:lineRule="auto"/>
    </w:pPr>
    <w:rPr>
      <w:rFonts w:eastAsiaTheme="minorEastAsia"/>
      <w:lang w:eastAsia="pt-BR"/>
    </w:rPr>
    <w:tblPr>
      <w:tblCellMar>
        <w:top w:w="0" w:type="dxa"/>
        <w:left w:w="0" w:type="dxa"/>
        <w:bottom w:w="0" w:type="dxa"/>
        <w:right w:w="0" w:type="dxa"/>
      </w:tblCellMar>
    </w:tblPr>
  </w:style>
  <w:style w:type="table" w:styleId="Tabelacomgrade">
    <w:name w:val="Table Grid"/>
    <w:basedOn w:val="Tabelanormal"/>
    <w:uiPriority w:val="39"/>
    <w:rsid w:val="00142C55"/>
    <w:pPr>
      <w:spacing w:after="0" w:line="240" w:lineRule="auto"/>
    </w:pPr>
    <w:rPr>
      <w:rFonts w:ascii="Calibri" w:eastAsia="Calibri" w:hAnsi="Calibri"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balo">
    <w:name w:val="Balloon Text"/>
    <w:basedOn w:val="Normal"/>
    <w:link w:val="TextodebaloChar"/>
    <w:uiPriority w:val="99"/>
    <w:semiHidden/>
    <w:unhideWhenUsed/>
    <w:rsid w:val="002B5BFA"/>
    <w:rPr>
      <w:rFonts w:ascii="Tahoma" w:hAnsi="Tahoma" w:cs="Tahoma"/>
      <w:sz w:val="16"/>
      <w:szCs w:val="16"/>
    </w:rPr>
  </w:style>
  <w:style w:type="character" w:customStyle="1" w:styleId="TextodebaloChar">
    <w:name w:val="Texto de balão Char"/>
    <w:basedOn w:val="Fontepargpadro"/>
    <w:link w:val="Textodebalo"/>
    <w:uiPriority w:val="99"/>
    <w:semiHidden/>
    <w:rsid w:val="002B5BFA"/>
    <w:rPr>
      <w:rFonts w:ascii="Tahoma" w:hAnsi="Tahoma" w:cs="Tahoma"/>
      <w:kern w:val="0"/>
      <w:sz w:val="16"/>
      <w:szCs w:val="16"/>
      <w:lang w:val="pt-PT"/>
      <w14:ligatures w14:val="none"/>
    </w:rPr>
  </w:style>
  <w:style w:type="character" w:styleId="Hyperlink">
    <w:name w:val="Hyperlink"/>
    <w:semiHidden/>
    <w:unhideWhenUsed/>
    <w:rsid w:val="002B5BFA"/>
    <w:rPr>
      <w:color w:val="000080"/>
      <w:u w:val="single"/>
    </w:rPr>
  </w:style>
  <w:style w:type="character" w:styleId="HiperlinkVisitado">
    <w:name w:val="FollowedHyperlink"/>
    <w:basedOn w:val="Fontepargpadro"/>
    <w:semiHidden/>
    <w:unhideWhenUsed/>
    <w:rsid w:val="002B5BFA"/>
    <w:rPr>
      <w:color w:val="96607D" w:themeColor="followedHyperlink"/>
      <w:u w:val="single"/>
    </w:rPr>
  </w:style>
  <w:style w:type="character" w:customStyle="1" w:styleId="Ttulo1Char1">
    <w:name w:val="Título 1 Char1"/>
    <w:aliases w:val="CEP título Char1"/>
    <w:basedOn w:val="Fontepargpadro"/>
    <w:uiPriority w:val="99"/>
    <w:rsid w:val="002B5BFA"/>
    <w:rPr>
      <w:rFonts w:asciiTheme="majorHAnsi" w:eastAsiaTheme="majorEastAsia" w:hAnsiTheme="majorHAnsi" w:cstheme="majorBidi"/>
      <w:b/>
      <w:bCs/>
      <w:color w:val="0F4761" w:themeColor="accent1" w:themeShade="BF"/>
      <w:sz w:val="28"/>
      <w:szCs w:val="28"/>
      <w:lang w:eastAsia="pt-BR"/>
    </w:rPr>
  </w:style>
  <w:style w:type="paragraph" w:styleId="NormalWeb">
    <w:name w:val="Normal (Web)"/>
    <w:basedOn w:val="Normal"/>
    <w:semiHidden/>
    <w:unhideWhenUsed/>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paragraph" w:styleId="Sumrio1">
    <w:name w:val="toc 1"/>
    <w:basedOn w:val="Normal"/>
    <w:next w:val="Normal"/>
    <w:autoRedefine/>
    <w:uiPriority w:val="39"/>
    <w:semiHidden/>
    <w:unhideWhenUsed/>
    <w:rsid w:val="002B5BFA"/>
    <w:pPr>
      <w:widowControl/>
      <w:autoSpaceDE/>
      <w:autoSpaceDN/>
      <w:spacing w:after="100" w:line="360" w:lineRule="auto"/>
      <w:jc w:val="both"/>
    </w:pPr>
    <w:rPr>
      <w:rFonts w:ascii="Arial" w:eastAsia="Times New Roman" w:hAnsi="Arial" w:cs="Tahoma"/>
      <w:sz w:val="20"/>
      <w:szCs w:val="24"/>
      <w:lang w:val="pt-BR" w:eastAsia="pt-BR"/>
    </w:rPr>
  </w:style>
  <w:style w:type="paragraph" w:styleId="Textodenotaderodap">
    <w:name w:val="footnote text"/>
    <w:basedOn w:val="Normal"/>
    <w:link w:val="TextodenotaderodapChar"/>
    <w:semiHidden/>
    <w:unhideWhenUsed/>
    <w:rsid w:val="002B5BFA"/>
    <w:pPr>
      <w:widowControl/>
      <w:autoSpaceDE/>
      <w:autoSpaceDN/>
      <w:jc w:val="both"/>
    </w:pPr>
    <w:rPr>
      <w:rFonts w:ascii="Arial" w:eastAsia="Times New Roman" w:hAnsi="Arial" w:cs="Tahoma"/>
      <w:sz w:val="20"/>
      <w:szCs w:val="20"/>
      <w:lang w:val="pt-BR" w:eastAsia="pt-BR"/>
    </w:rPr>
  </w:style>
  <w:style w:type="character" w:customStyle="1" w:styleId="TextodenotaderodapChar">
    <w:name w:val="Texto de nota de rodapé Char"/>
    <w:basedOn w:val="Fontepargpadro"/>
    <w:link w:val="Textodenotaderodap"/>
    <w:semiHidden/>
    <w:rsid w:val="002B5BFA"/>
    <w:rPr>
      <w:rFonts w:ascii="Arial" w:eastAsia="Times New Roman" w:hAnsi="Arial" w:cs="Tahoma"/>
      <w:kern w:val="0"/>
      <w:sz w:val="20"/>
      <w:szCs w:val="20"/>
      <w:lang w:eastAsia="pt-BR"/>
      <w14:ligatures w14:val="none"/>
    </w:rPr>
  </w:style>
  <w:style w:type="paragraph" w:styleId="Textodecomentrio">
    <w:name w:val="annotation text"/>
    <w:basedOn w:val="Normal"/>
    <w:link w:val="TextodecomentrioChar"/>
    <w:semiHidden/>
    <w:unhideWhenUsed/>
    <w:qFormat/>
    <w:rsid w:val="002B5BFA"/>
    <w:pPr>
      <w:widowControl/>
      <w:autoSpaceDE/>
      <w:autoSpaceDN/>
      <w:spacing w:line="360" w:lineRule="auto"/>
      <w:jc w:val="both"/>
    </w:pPr>
    <w:rPr>
      <w:rFonts w:ascii="Arial" w:eastAsia="Times New Roman" w:hAnsi="Arial" w:cs="Tahoma"/>
      <w:sz w:val="20"/>
      <w:szCs w:val="20"/>
      <w:lang w:val="pt-BR" w:eastAsia="pt-BR"/>
    </w:rPr>
  </w:style>
  <w:style w:type="character" w:customStyle="1" w:styleId="TextodecomentrioChar">
    <w:name w:val="Texto de comentário Char"/>
    <w:basedOn w:val="Fontepargpadro"/>
    <w:link w:val="Textodecomentrio"/>
    <w:semiHidden/>
    <w:qFormat/>
    <w:rsid w:val="002B5BFA"/>
    <w:rPr>
      <w:rFonts w:ascii="Arial" w:eastAsia="Times New Roman" w:hAnsi="Arial" w:cs="Tahoma"/>
      <w:kern w:val="0"/>
      <w:sz w:val="20"/>
      <w:szCs w:val="20"/>
      <w:lang w:eastAsia="pt-BR"/>
      <w14:ligatures w14:val="none"/>
    </w:rPr>
  </w:style>
  <w:style w:type="paragraph" w:styleId="Legenda">
    <w:name w:val="caption"/>
    <w:basedOn w:val="Normal"/>
    <w:next w:val="Normal"/>
    <w:semiHidden/>
    <w:unhideWhenUsed/>
    <w:qFormat/>
    <w:rsid w:val="002B5BFA"/>
    <w:pPr>
      <w:widowControl/>
      <w:autoSpaceDE/>
      <w:autoSpaceDN/>
      <w:ind w:right="51"/>
      <w:jc w:val="both"/>
    </w:pPr>
    <w:rPr>
      <w:rFonts w:ascii="Times New Roman" w:eastAsia="Times New Roman" w:hAnsi="Times New Roman" w:cs="Times New Roman"/>
      <w:sz w:val="24"/>
      <w:szCs w:val="20"/>
      <w:lang w:val="pt-BR" w:eastAsia="pt-BR"/>
    </w:rPr>
  </w:style>
  <w:style w:type="paragraph" w:styleId="Textodenotadefim">
    <w:name w:val="endnote text"/>
    <w:basedOn w:val="Normal"/>
    <w:link w:val="TextodenotadefimChar"/>
    <w:uiPriority w:val="99"/>
    <w:semiHidden/>
    <w:unhideWhenUsed/>
    <w:rsid w:val="002B5BFA"/>
    <w:pPr>
      <w:widowControl/>
      <w:autoSpaceDE/>
      <w:autoSpaceDN/>
      <w:jc w:val="both"/>
    </w:pPr>
    <w:rPr>
      <w:rFonts w:ascii="Arial" w:eastAsia="Times New Roman" w:hAnsi="Arial" w:cs="Tahoma"/>
      <w:sz w:val="20"/>
      <w:szCs w:val="20"/>
      <w:lang w:val="pt-BR" w:eastAsia="pt-BR"/>
    </w:rPr>
  </w:style>
  <w:style w:type="character" w:customStyle="1" w:styleId="TextodenotadefimChar">
    <w:name w:val="Texto de nota de fim Char"/>
    <w:basedOn w:val="Fontepargpadro"/>
    <w:link w:val="Textodenotadefim"/>
    <w:uiPriority w:val="99"/>
    <w:semiHidden/>
    <w:rsid w:val="002B5BFA"/>
    <w:rPr>
      <w:rFonts w:ascii="Arial" w:eastAsia="Times New Roman" w:hAnsi="Arial" w:cs="Tahoma"/>
      <w:kern w:val="0"/>
      <w:sz w:val="20"/>
      <w:szCs w:val="20"/>
      <w:lang w:eastAsia="pt-BR"/>
      <w14:ligatures w14:val="none"/>
    </w:rPr>
  </w:style>
  <w:style w:type="paragraph" w:styleId="Lista">
    <w:name w:val="List"/>
    <w:basedOn w:val="Normal"/>
    <w:semiHidden/>
    <w:unhideWhenUsed/>
    <w:rsid w:val="002B5BFA"/>
    <w:pPr>
      <w:widowControl/>
      <w:autoSpaceDE/>
      <w:autoSpaceDN/>
      <w:ind w:left="283" w:hanging="283"/>
    </w:pPr>
    <w:rPr>
      <w:rFonts w:ascii="Times New Roman" w:eastAsia="Times New Roman" w:hAnsi="Times New Roman" w:cs="Times New Roman"/>
      <w:sz w:val="24"/>
      <w:szCs w:val="24"/>
      <w:lang w:val="pt-BR" w:eastAsia="pt-BR"/>
    </w:rPr>
  </w:style>
  <w:style w:type="paragraph" w:styleId="Lista2">
    <w:name w:val="List 2"/>
    <w:basedOn w:val="Normal"/>
    <w:semiHidden/>
    <w:unhideWhenUsed/>
    <w:rsid w:val="002B5BFA"/>
    <w:pPr>
      <w:widowControl/>
      <w:autoSpaceDE/>
      <w:autoSpaceDN/>
      <w:ind w:left="566" w:hanging="283"/>
    </w:pPr>
    <w:rPr>
      <w:rFonts w:ascii="Times New Roman" w:eastAsia="Times New Roman" w:hAnsi="Times New Roman" w:cs="Times New Roman"/>
      <w:sz w:val="24"/>
      <w:szCs w:val="24"/>
      <w:lang w:val="pt-BR" w:eastAsia="pt-BR"/>
    </w:rPr>
  </w:style>
  <w:style w:type="paragraph" w:styleId="Commarcadores2">
    <w:name w:val="List Bullet 2"/>
    <w:basedOn w:val="Normal"/>
    <w:autoRedefine/>
    <w:semiHidden/>
    <w:unhideWhenUsed/>
    <w:rsid w:val="002B5BFA"/>
    <w:pPr>
      <w:widowControl/>
      <w:autoSpaceDE/>
      <w:autoSpaceDN/>
      <w:spacing w:line="276" w:lineRule="auto"/>
      <w:jc w:val="both"/>
    </w:pPr>
    <w:rPr>
      <w:rFonts w:ascii="Book Antiqua" w:eastAsia="Times New Roman" w:hAnsi="Book Antiqua" w:cs="Times New Roman"/>
      <w:lang w:val="pt-BR" w:eastAsia="pt-BR"/>
    </w:rPr>
  </w:style>
  <w:style w:type="paragraph" w:styleId="Recuodecorpodetexto">
    <w:name w:val="Body Text Indent"/>
    <w:basedOn w:val="Normal"/>
    <w:link w:val="RecuodecorpodetextoChar"/>
    <w:uiPriority w:val="99"/>
    <w:semiHidden/>
    <w:unhideWhenUsed/>
    <w:rsid w:val="002B5BFA"/>
    <w:pPr>
      <w:widowControl/>
      <w:autoSpaceDE/>
      <w:autoSpaceDN/>
      <w:spacing w:after="120" w:line="276" w:lineRule="auto"/>
      <w:ind w:left="283"/>
    </w:pPr>
    <w:rPr>
      <w:rFonts w:ascii="Calibri" w:eastAsia="Calibri" w:hAnsi="Calibri" w:cs="Times New Roman"/>
      <w:sz w:val="20"/>
      <w:szCs w:val="20"/>
      <w:lang w:val="x-none" w:eastAsia="x-none"/>
    </w:rPr>
  </w:style>
  <w:style w:type="character" w:customStyle="1" w:styleId="RecuodecorpodetextoChar">
    <w:name w:val="Recuo de corpo de texto Char"/>
    <w:basedOn w:val="Fontepargpadro"/>
    <w:link w:val="Recuodecorpodetexto"/>
    <w:uiPriority w:val="99"/>
    <w:semiHidden/>
    <w:rsid w:val="002B5BFA"/>
    <w:rPr>
      <w:rFonts w:ascii="Calibri" w:eastAsia="Calibri" w:hAnsi="Calibri" w:cs="Times New Roman"/>
      <w:kern w:val="0"/>
      <w:sz w:val="20"/>
      <w:szCs w:val="20"/>
      <w:lang w:val="x-none" w:eastAsia="x-none"/>
      <w14:ligatures w14:val="none"/>
    </w:rPr>
  </w:style>
  <w:style w:type="paragraph" w:styleId="Corpodetexto2">
    <w:name w:val="Body Text 2"/>
    <w:basedOn w:val="Normal"/>
    <w:link w:val="Corpodetexto2Char"/>
    <w:semiHidden/>
    <w:unhideWhenUsed/>
    <w:rsid w:val="002B5BFA"/>
    <w:pPr>
      <w:widowControl/>
      <w:autoSpaceDE/>
      <w:autoSpaceDN/>
      <w:jc w:val="both"/>
    </w:pPr>
    <w:rPr>
      <w:rFonts w:ascii="Arial" w:eastAsia="Times New Roman" w:hAnsi="Arial" w:cs="Times New Roman"/>
      <w:color w:val="000000"/>
      <w:sz w:val="24"/>
      <w:szCs w:val="20"/>
      <w:lang w:val="pt-BR" w:eastAsia="pt-BR"/>
    </w:rPr>
  </w:style>
  <w:style w:type="character" w:customStyle="1" w:styleId="Corpodetexto2Char">
    <w:name w:val="Corpo de texto 2 Char"/>
    <w:basedOn w:val="Fontepargpadro"/>
    <w:link w:val="Corpodetexto2"/>
    <w:semiHidden/>
    <w:rsid w:val="002B5BFA"/>
    <w:rPr>
      <w:rFonts w:ascii="Arial" w:eastAsia="Times New Roman" w:hAnsi="Arial" w:cs="Times New Roman"/>
      <w:color w:val="000000"/>
      <w:kern w:val="0"/>
      <w:szCs w:val="20"/>
      <w:lang w:eastAsia="pt-BR"/>
      <w14:ligatures w14:val="none"/>
    </w:rPr>
  </w:style>
  <w:style w:type="paragraph" w:styleId="Corpodetexto3">
    <w:name w:val="Body Text 3"/>
    <w:basedOn w:val="Normal"/>
    <w:link w:val="Corpodetexto3Char"/>
    <w:semiHidden/>
    <w:unhideWhenUsed/>
    <w:rsid w:val="002B5BFA"/>
    <w:pPr>
      <w:widowControl/>
      <w:autoSpaceDE/>
      <w:autoSpaceDN/>
      <w:spacing w:after="120"/>
      <w:jc w:val="both"/>
    </w:pPr>
    <w:rPr>
      <w:rFonts w:ascii="Arial" w:eastAsia="Times New Roman" w:hAnsi="Arial" w:cs="Times New Roman"/>
      <w:szCs w:val="20"/>
      <w:lang w:val="pt-BR" w:eastAsia="pt-BR"/>
    </w:rPr>
  </w:style>
  <w:style w:type="character" w:customStyle="1" w:styleId="Corpodetexto3Char">
    <w:name w:val="Corpo de texto 3 Char"/>
    <w:basedOn w:val="Fontepargpadro"/>
    <w:link w:val="Corpodetexto3"/>
    <w:semiHidden/>
    <w:rsid w:val="002B5BFA"/>
    <w:rPr>
      <w:rFonts w:ascii="Arial" w:eastAsia="Times New Roman" w:hAnsi="Arial" w:cs="Times New Roman"/>
      <w:kern w:val="0"/>
      <w:sz w:val="22"/>
      <w:szCs w:val="20"/>
      <w:lang w:eastAsia="pt-BR"/>
      <w14:ligatures w14:val="none"/>
    </w:rPr>
  </w:style>
  <w:style w:type="paragraph" w:styleId="Recuodecorpodetexto2">
    <w:name w:val="Body Text Indent 2"/>
    <w:basedOn w:val="Normal"/>
    <w:link w:val="Recuodecorpodetexto2Char"/>
    <w:semiHidden/>
    <w:unhideWhenUsed/>
    <w:rsid w:val="002B5BFA"/>
    <w:pPr>
      <w:widowControl/>
      <w:autoSpaceDE/>
      <w:autoSpaceDN/>
      <w:spacing w:after="120" w:line="480" w:lineRule="auto"/>
      <w:ind w:left="283"/>
    </w:pPr>
    <w:rPr>
      <w:rFonts w:ascii="Calibri" w:eastAsia="Calibri" w:hAnsi="Calibri" w:cs="Times New Roman"/>
      <w:sz w:val="20"/>
      <w:szCs w:val="20"/>
      <w:lang w:val="x-none" w:eastAsia="x-none"/>
    </w:rPr>
  </w:style>
  <w:style w:type="character" w:customStyle="1" w:styleId="Recuodecorpodetexto2Char">
    <w:name w:val="Recuo de corpo de texto 2 Char"/>
    <w:basedOn w:val="Fontepargpadro"/>
    <w:link w:val="Recuodecorpodetexto2"/>
    <w:semiHidden/>
    <w:rsid w:val="002B5BFA"/>
    <w:rPr>
      <w:rFonts w:ascii="Calibri" w:eastAsia="Calibri" w:hAnsi="Calibri" w:cs="Times New Roman"/>
      <w:kern w:val="0"/>
      <w:sz w:val="20"/>
      <w:szCs w:val="20"/>
      <w:lang w:val="x-none" w:eastAsia="x-none"/>
      <w14:ligatures w14:val="none"/>
    </w:rPr>
  </w:style>
  <w:style w:type="paragraph" w:styleId="Recuodecorpodetexto3">
    <w:name w:val="Body Text Indent 3"/>
    <w:basedOn w:val="Normal"/>
    <w:link w:val="Recuodecorpodetexto3Char"/>
    <w:semiHidden/>
    <w:unhideWhenUsed/>
    <w:rsid w:val="002B5BFA"/>
    <w:pPr>
      <w:widowControl/>
      <w:autoSpaceDE/>
      <w:autoSpaceDN/>
      <w:spacing w:after="120" w:line="276" w:lineRule="auto"/>
      <w:ind w:left="283"/>
    </w:pPr>
    <w:rPr>
      <w:rFonts w:ascii="Calibri" w:eastAsia="Calibri" w:hAnsi="Calibri" w:cs="Times New Roman"/>
      <w:sz w:val="16"/>
      <w:szCs w:val="16"/>
      <w:lang w:val="x-none" w:eastAsia="x-none"/>
    </w:rPr>
  </w:style>
  <w:style w:type="character" w:customStyle="1" w:styleId="Recuodecorpodetexto3Char">
    <w:name w:val="Recuo de corpo de texto 3 Char"/>
    <w:basedOn w:val="Fontepargpadro"/>
    <w:link w:val="Recuodecorpodetexto3"/>
    <w:semiHidden/>
    <w:rsid w:val="002B5BFA"/>
    <w:rPr>
      <w:rFonts w:ascii="Calibri" w:eastAsia="Calibri" w:hAnsi="Calibri" w:cs="Times New Roman"/>
      <w:kern w:val="0"/>
      <w:sz w:val="16"/>
      <w:szCs w:val="16"/>
      <w:lang w:val="x-none" w:eastAsia="x-none"/>
      <w14:ligatures w14:val="none"/>
    </w:rPr>
  </w:style>
  <w:style w:type="paragraph" w:styleId="Textoembloco">
    <w:name w:val="Block Text"/>
    <w:basedOn w:val="Normal"/>
    <w:semiHidden/>
    <w:unhideWhenUsed/>
    <w:rsid w:val="002B5BFA"/>
    <w:pPr>
      <w:widowControl/>
      <w:autoSpaceDE/>
      <w:autoSpaceDN/>
      <w:ind w:left="567" w:right="51" w:hanging="567"/>
      <w:jc w:val="both"/>
    </w:pPr>
    <w:rPr>
      <w:rFonts w:ascii="Times New Roman" w:eastAsia="Times New Roman" w:hAnsi="Times New Roman" w:cs="Times New Roman"/>
      <w:sz w:val="24"/>
      <w:szCs w:val="20"/>
      <w:lang w:val="pt-BR" w:eastAsia="pt-BR"/>
    </w:rPr>
  </w:style>
  <w:style w:type="paragraph" w:styleId="MapadoDocumento">
    <w:name w:val="Document Map"/>
    <w:basedOn w:val="Normal"/>
    <w:link w:val="MapadoDocumentoChar"/>
    <w:semiHidden/>
    <w:unhideWhenUsed/>
    <w:rsid w:val="002B5BFA"/>
    <w:pPr>
      <w:widowControl/>
      <w:shd w:val="clear" w:color="auto" w:fill="000080"/>
      <w:autoSpaceDE/>
      <w:autoSpaceDN/>
    </w:pPr>
    <w:rPr>
      <w:rFonts w:ascii="Tahoma" w:eastAsia="Times New Roman" w:hAnsi="Tahoma"/>
      <w:lang w:val="pt-BR"/>
    </w:rPr>
  </w:style>
  <w:style w:type="character" w:customStyle="1" w:styleId="MapadoDocumentoChar">
    <w:name w:val="Mapa do Documento Char"/>
    <w:basedOn w:val="Fontepargpadro"/>
    <w:link w:val="MapadoDocumento"/>
    <w:semiHidden/>
    <w:rsid w:val="002B5BFA"/>
    <w:rPr>
      <w:rFonts w:ascii="Tahoma" w:eastAsia="Times New Roman" w:hAnsi="Tahoma"/>
      <w:kern w:val="0"/>
      <w:sz w:val="22"/>
      <w:szCs w:val="22"/>
      <w:shd w:val="clear" w:color="auto" w:fill="000080"/>
      <w14:ligatures w14:val="none"/>
    </w:rPr>
  </w:style>
  <w:style w:type="paragraph" w:styleId="TextosemFormatao">
    <w:name w:val="Plain Text"/>
    <w:basedOn w:val="Normal"/>
    <w:link w:val="TextosemFormataoChar"/>
    <w:semiHidden/>
    <w:unhideWhenUsed/>
    <w:rsid w:val="002B5BFA"/>
    <w:pPr>
      <w:widowControl/>
      <w:autoSpaceDE/>
      <w:autoSpaceDN/>
      <w:spacing w:before="100" w:after="100"/>
    </w:pPr>
    <w:rPr>
      <w:rFonts w:ascii="Times New Roman" w:eastAsia="Times New Roman" w:hAnsi="Times New Roman" w:cs="Times New Roman"/>
      <w:sz w:val="24"/>
      <w:szCs w:val="20"/>
      <w:lang w:val="pt-BR" w:eastAsia="pt-BR"/>
    </w:rPr>
  </w:style>
  <w:style w:type="character" w:customStyle="1" w:styleId="TextosemFormataoChar">
    <w:name w:val="Texto sem Formatação Char"/>
    <w:basedOn w:val="Fontepargpadro"/>
    <w:link w:val="TextosemFormatao"/>
    <w:semiHidden/>
    <w:rsid w:val="002B5BFA"/>
    <w:rPr>
      <w:rFonts w:ascii="Times New Roman" w:eastAsia="Times New Roman" w:hAnsi="Times New Roman" w:cs="Times New Roman"/>
      <w:kern w:val="0"/>
      <w:szCs w:val="20"/>
      <w:lang w:eastAsia="pt-BR"/>
      <w14:ligatures w14:val="none"/>
    </w:rPr>
  </w:style>
  <w:style w:type="paragraph" w:styleId="Assuntodocomentrio">
    <w:name w:val="annotation subject"/>
    <w:basedOn w:val="Textodecomentrio"/>
    <w:next w:val="Textodecomentrio"/>
    <w:link w:val="AssuntodocomentrioChar"/>
    <w:semiHidden/>
    <w:unhideWhenUsed/>
    <w:rsid w:val="002B5BFA"/>
    <w:rPr>
      <w:b/>
      <w:bCs/>
    </w:rPr>
  </w:style>
  <w:style w:type="character" w:customStyle="1" w:styleId="AssuntodocomentrioChar">
    <w:name w:val="Assunto do comentário Char"/>
    <w:basedOn w:val="TextodecomentrioChar"/>
    <w:link w:val="Assuntodocomentrio"/>
    <w:semiHidden/>
    <w:rsid w:val="002B5BFA"/>
    <w:rPr>
      <w:rFonts w:ascii="Arial" w:eastAsia="Times New Roman" w:hAnsi="Arial" w:cs="Tahoma"/>
      <w:b/>
      <w:bCs/>
      <w:kern w:val="0"/>
      <w:sz w:val="20"/>
      <w:szCs w:val="20"/>
      <w:lang w:eastAsia="pt-BR"/>
      <w14:ligatures w14:val="none"/>
    </w:rPr>
  </w:style>
  <w:style w:type="character" w:customStyle="1" w:styleId="PargrafodaListaChar">
    <w:name w:val="Parágrafo da Lista Char"/>
    <w:basedOn w:val="Fontepargpadro"/>
    <w:link w:val="PargrafodaLista"/>
    <w:uiPriority w:val="34"/>
    <w:locked/>
    <w:rsid w:val="002B5BFA"/>
    <w:rPr>
      <w:kern w:val="0"/>
      <w:sz w:val="22"/>
      <w:szCs w:val="22"/>
      <w:lang w:val="pt-PT"/>
      <w14:ligatures w14:val="none"/>
    </w:rPr>
  </w:style>
  <w:style w:type="paragraph" w:styleId="CabealhodoSumrio">
    <w:name w:val="TOC Heading"/>
    <w:basedOn w:val="Ttulo1"/>
    <w:next w:val="Normal"/>
    <w:uiPriority w:val="39"/>
    <w:semiHidden/>
    <w:unhideWhenUsed/>
    <w:qFormat/>
    <w:rsid w:val="002B5BFA"/>
    <w:pPr>
      <w:widowControl/>
      <w:autoSpaceDE/>
      <w:autoSpaceDN/>
      <w:spacing w:before="240" w:after="0" w:line="256" w:lineRule="auto"/>
      <w:jc w:val="both"/>
      <w:outlineLvl w:val="9"/>
    </w:pPr>
    <w:rPr>
      <w:rFonts w:ascii="Arial" w:hAnsi="Arial"/>
      <w:b/>
      <w:sz w:val="28"/>
      <w:szCs w:val="32"/>
      <w:lang w:val="pt-BR" w:eastAsia="pt-BR"/>
    </w:rPr>
  </w:style>
  <w:style w:type="character" w:customStyle="1" w:styleId="Nivel01Char">
    <w:name w:val="Nivel 01 Char"/>
    <w:basedOn w:val="Ttulo1Char"/>
    <w:link w:val="Nivel01"/>
    <w:locked/>
    <w:rsid w:val="002B5BFA"/>
    <w:rPr>
      <w:rFonts w:ascii="Arial" w:eastAsiaTheme="majorEastAsia" w:hAnsi="Arial" w:cs="Times New Roman"/>
      <w:color w:val="000000"/>
      <w:kern w:val="0"/>
      <w:sz w:val="20"/>
      <w:szCs w:val="20"/>
      <w:lang w:eastAsia="pt-BR"/>
      <w14:ligatures w14:val="none"/>
    </w:rPr>
  </w:style>
  <w:style w:type="paragraph" w:customStyle="1" w:styleId="Nivel01">
    <w:name w:val="Nivel 01"/>
    <w:basedOn w:val="Ttulo1"/>
    <w:next w:val="Normal"/>
    <w:link w:val="Nivel01Char"/>
    <w:qFormat/>
    <w:rsid w:val="002B5BFA"/>
    <w:pPr>
      <w:widowControl/>
      <w:autoSpaceDE/>
      <w:autoSpaceDN/>
      <w:spacing w:before="480" w:after="120" w:line="276" w:lineRule="auto"/>
      <w:ind w:right="-15"/>
      <w:jc w:val="both"/>
    </w:pPr>
    <w:rPr>
      <w:rFonts w:ascii="Arial" w:hAnsi="Arial" w:cs="Times New Roman"/>
      <w:color w:val="000000"/>
      <w:sz w:val="20"/>
      <w:szCs w:val="20"/>
      <w:lang w:val="pt-BR" w:eastAsia="pt-BR"/>
    </w:rPr>
  </w:style>
  <w:style w:type="paragraph" w:customStyle="1" w:styleId="PADRO">
    <w:name w:val="PADRÃO"/>
    <w:rsid w:val="002B5BFA"/>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kern w:val="0"/>
      <w:sz w:val="20"/>
      <w:lang w:eastAsia="zh-CN" w:bidi="hi-IN"/>
      <w14:ligatures w14:val="none"/>
    </w:rPr>
  </w:style>
  <w:style w:type="character" w:customStyle="1" w:styleId="citao2Char">
    <w:name w:val="citação 2 Char"/>
    <w:basedOn w:val="CitaoChar"/>
    <w:link w:val="citao2"/>
    <w:locked/>
    <w:rsid w:val="002B5BFA"/>
    <w:rPr>
      <w:rFonts w:ascii="Arial" w:eastAsia="Calibri" w:hAnsi="Arial" w:cs="Tahoma"/>
      <w:i/>
      <w:iCs/>
      <w:color w:val="000000"/>
      <w:kern w:val="0"/>
      <w:sz w:val="20"/>
      <w:szCs w:val="20"/>
      <w:shd w:val="clear" w:color="auto" w:fill="FFFFCC"/>
      <w14:ligatures w14:val="none"/>
    </w:rPr>
  </w:style>
  <w:style w:type="paragraph" w:customStyle="1" w:styleId="citao2">
    <w:name w:val="citação 2"/>
    <w:basedOn w:val="Citao"/>
    <w:link w:val="citao2Char"/>
    <w:rsid w:val="002B5BF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line="360" w:lineRule="auto"/>
      <w:jc w:val="both"/>
    </w:pPr>
    <w:rPr>
      <w:rFonts w:ascii="Arial" w:eastAsia="Calibri" w:hAnsi="Arial" w:cs="Tahoma"/>
      <w:color w:val="000000"/>
      <w:sz w:val="20"/>
      <w:szCs w:val="20"/>
      <w:lang w:val="pt-BR"/>
    </w:rPr>
  </w:style>
  <w:style w:type="character" w:customStyle="1" w:styleId="QuoteChar">
    <w:name w:val="Quote Char"/>
    <w:basedOn w:val="Fontepargpadro"/>
    <w:link w:val="Citao1"/>
    <w:locked/>
    <w:rsid w:val="002B5BFA"/>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B5BF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line="360" w:lineRule="auto"/>
      <w:jc w:val="both"/>
    </w:pPr>
    <w:rPr>
      <w:rFonts w:ascii="Ecofont_Spranq_eco_Sans" w:eastAsia="Calibri" w:hAnsi="Ecofont_Spranq_eco_Sans" w:cs="Tahoma"/>
      <w:i/>
      <w:iCs/>
      <w:color w:val="000000"/>
      <w:kern w:val="2"/>
      <w:sz w:val="24"/>
      <w:szCs w:val="24"/>
      <w:lang w:val="pt-BR"/>
      <w14:ligatures w14:val="standardContextual"/>
    </w:rPr>
  </w:style>
  <w:style w:type="paragraph" w:customStyle="1" w:styleId="Nivel10">
    <w:name w:val="Nivel1"/>
    <w:basedOn w:val="Ttulo1"/>
    <w:rsid w:val="002B5BFA"/>
    <w:pPr>
      <w:widowControl/>
      <w:autoSpaceDE/>
      <w:autoSpaceDN/>
      <w:spacing w:before="480" w:after="0" w:line="276" w:lineRule="auto"/>
      <w:ind w:left="644" w:hanging="360"/>
      <w:jc w:val="both"/>
    </w:pPr>
    <w:rPr>
      <w:rFonts w:ascii="Arial" w:hAnsi="Arial" w:cs="Times New Roman"/>
      <w:color w:val="000000"/>
      <w:sz w:val="20"/>
      <w:szCs w:val="20"/>
      <w:lang w:val="pt-BR" w:eastAsia="pt-BR"/>
    </w:rPr>
  </w:style>
  <w:style w:type="character" w:customStyle="1" w:styleId="Nivel2Char">
    <w:name w:val="Nivel 2 Char"/>
    <w:basedOn w:val="Fontepargpadro"/>
    <w:link w:val="Nivel2"/>
    <w:locked/>
    <w:rsid w:val="002B5BFA"/>
    <w:rPr>
      <w:rFonts w:ascii="Ecofont_Spranq_eco_Sans" w:eastAsia="Arial Unicode MS" w:hAnsi="Ecofont_Spranq_eco_Sans" w:cs="Times New Roman"/>
      <w:lang w:eastAsia="pt-BR"/>
    </w:rPr>
  </w:style>
  <w:style w:type="paragraph" w:customStyle="1" w:styleId="Nivel2">
    <w:name w:val="Nivel 2"/>
    <w:link w:val="Nivel2Char"/>
    <w:qFormat/>
    <w:rsid w:val="002B5BFA"/>
    <w:pPr>
      <w:numPr>
        <w:ilvl w:val="1"/>
        <w:numId w:val="3"/>
      </w:numPr>
      <w:spacing w:before="120" w:after="120" w:line="276" w:lineRule="auto"/>
      <w:jc w:val="both"/>
    </w:pPr>
    <w:rPr>
      <w:rFonts w:ascii="Ecofont_Spranq_eco_Sans" w:eastAsia="Arial Unicode MS" w:hAnsi="Ecofont_Spranq_eco_Sans" w:cs="Times New Roman"/>
      <w:lang w:eastAsia="pt-BR"/>
    </w:rPr>
  </w:style>
  <w:style w:type="paragraph" w:customStyle="1" w:styleId="Nivel1">
    <w:name w:val="Nivel 1"/>
    <w:basedOn w:val="Nivel2"/>
    <w:next w:val="Nivel2"/>
    <w:rsid w:val="002B5BFA"/>
    <w:pPr>
      <w:numPr>
        <w:ilvl w:val="2"/>
      </w:numPr>
      <w:tabs>
        <w:tab w:val="num" w:pos="360"/>
      </w:tabs>
      <w:ind w:left="858" w:hanging="432"/>
    </w:pPr>
    <w:rPr>
      <w:rFonts w:cs="Arial"/>
      <w:b/>
    </w:rPr>
  </w:style>
  <w:style w:type="character" w:customStyle="1" w:styleId="Nivel3Char">
    <w:name w:val="Nivel 3 Char"/>
    <w:basedOn w:val="Fontepargpadro"/>
    <w:link w:val="Nivel3"/>
    <w:locked/>
    <w:rsid w:val="002B5BFA"/>
    <w:rPr>
      <w:rFonts w:ascii="Ecofont_Spranq_eco_Sans" w:eastAsia="Arial Unicode MS" w:hAnsi="Ecofont_Spranq_eco_Sans" w:cs="Arial"/>
      <w:color w:val="000000"/>
      <w:sz w:val="20"/>
      <w:szCs w:val="20"/>
      <w:lang w:eastAsia="pt-BR"/>
    </w:rPr>
  </w:style>
  <w:style w:type="paragraph" w:customStyle="1" w:styleId="Nivel3">
    <w:name w:val="Nivel 3"/>
    <w:basedOn w:val="Nivel2"/>
    <w:link w:val="Nivel3Char"/>
    <w:qFormat/>
    <w:rsid w:val="002B5BFA"/>
    <w:pPr>
      <w:numPr>
        <w:ilvl w:val="0"/>
        <w:numId w:val="0"/>
      </w:numPr>
      <w:ind w:left="1224" w:hanging="504"/>
    </w:pPr>
    <w:rPr>
      <w:rFonts w:cs="Arial"/>
      <w:color w:val="000000"/>
      <w:sz w:val="20"/>
      <w:szCs w:val="20"/>
    </w:rPr>
  </w:style>
  <w:style w:type="character" w:customStyle="1" w:styleId="Nivel4Char">
    <w:name w:val="Nivel 4 Char"/>
    <w:basedOn w:val="Fontepargpadro"/>
    <w:link w:val="Nivel4"/>
    <w:locked/>
    <w:rsid w:val="002B5BFA"/>
    <w:rPr>
      <w:rFonts w:ascii="Ecofont_Spranq_eco_Sans" w:eastAsia="Arial Unicode MS" w:hAnsi="Ecofont_Spranq_eco_Sans" w:cs="Arial"/>
      <w:sz w:val="20"/>
      <w:szCs w:val="20"/>
      <w:lang w:eastAsia="pt-BR"/>
    </w:rPr>
  </w:style>
  <w:style w:type="paragraph" w:customStyle="1" w:styleId="Nivel4">
    <w:name w:val="Nivel 4"/>
    <w:basedOn w:val="Nivel3"/>
    <w:link w:val="Nivel4Char"/>
    <w:qFormat/>
    <w:rsid w:val="002B5BFA"/>
    <w:rPr>
      <w:color w:val="auto"/>
    </w:rPr>
  </w:style>
  <w:style w:type="paragraph" w:customStyle="1" w:styleId="Nivel5">
    <w:name w:val="Nivel 5"/>
    <w:basedOn w:val="Nivel4"/>
    <w:qFormat/>
    <w:rsid w:val="002B5BFA"/>
    <w:pPr>
      <w:tabs>
        <w:tab w:val="num" w:pos="360"/>
      </w:tabs>
    </w:pPr>
  </w:style>
  <w:style w:type="character" w:customStyle="1" w:styleId="GradeColorida-nfase1Char">
    <w:name w:val="Grade Colorida - Ênfase 1 Char"/>
    <w:link w:val="GradeColorida-nfase11"/>
    <w:uiPriority w:val="29"/>
    <w:locked/>
    <w:rsid w:val="002B5BFA"/>
    <w:rPr>
      <w:rFonts w:ascii="Arial" w:eastAsia="Calibri" w:hAnsi="Arial" w:cs="Times New Roman"/>
      <w:i/>
      <w:iCs/>
      <w:color w:val="000000"/>
      <w:sz w:val="20"/>
      <w:shd w:val="clear" w:color="auto" w:fill="FFFFCC"/>
      <w:lang w:val="x-none"/>
    </w:rPr>
  </w:style>
  <w:style w:type="paragraph" w:customStyle="1" w:styleId="GradeColorida-nfase11">
    <w:name w:val="Grade Colorida - Ênfase 11"/>
    <w:basedOn w:val="Normal"/>
    <w:next w:val="Normal"/>
    <w:link w:val="GradeColorida-nfase1Char"/>
    <w:uiPriority w:val="29"/>
    <w:rsid w:val="002B5BF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imes New Roman"/>
      <w:i/>
      <w:iCs/>
      <w:color w:val="000000"/>
      <w:kern w:val="2"/>
      <w:sz w:val="20"/>
      <w:szCs w:val="24"/>
      <w:lang w:val="x-none"/>
      <w14:ligatures w14:val="standardContextual"/>
    </w:rPr>
  </w:style>
  <w:style w:type="character" w:customStyle="1" w:styleId="Nivel01TituloChar">
    <w:name w:val="Nivel_01_Titulo Char"/>
    <w:basedOn w:val="Ttulo1Char"/>
    <w:link w:val="Nivel01Titulo"/>
    <w:locked/>
    <w:rsid w:val="002B5BFA"/>
    <w:rPr>
      <w:rFonts w:ascii="Arial" w:eastAsiaTheme="majorEastAsia" w:hAnsi="Arial" w:cs="Times New Roman"/>
      <w:b/>
      <w:color w:val="0F4761" w:themeColor="accent1" w:themeShade="BF"/>
      <w:kern w:val="0"/>
      <w:sz w:val="28"/>
      <w:szCs w:val="32"/>
      <w:lang w:eastAsia="pt-BR"/>
      <w14:ligatures w14:val="none"/>
    </w:rPr>
  </w:style>
  <w:style w:type="paragraph" w:customStyle="1" w:styleId="Nivel01Titulo">
    <w:name w:val="Nivel_01_Titulo"/>
    <w:basedOn w:val="Ttulo1"/>
    <w:next w:val="Normal"/>
    <w:link w:val="Nivel01TituloChar"/>
    <w:rsid w:val="002B5BFA"/>
    <w:pPr>
      <w:widowControl/>
      <w:numPr>
        <w:numId w:val="4"/>
      </w:numPr>
      <w:tabs>
        <w:tab w:val="left" w:pos="567"/>
      </w:tabs>
      <w:autoSpaceDE/>
      <w:autoSpaceDN/>
      <w:spacing w:before="240" w:after="0" w:line="360" w:lineRule="auto"/>
      <w:jc w:val="both"/>
    </w:pPr>
    <w:rPr>
      <w:rFonts w:ascii="Arial" w:hAnsi="Arial" w:cs="Times New Roman"/>
      <w:b/>
      <w:sz w:val="28"/>
      <w:szCs w:val="32"/>
      <w:lang w:val="pt-BR" w:eastAsia="pt-BR"/>
    </w:rPr>
  </w:style>
  <w:style w:type="paragraph" w:customStyle="1" w:styleId="PargrafodaLista1">
    <w:name w:val="Parágrafo da Lista1"/>
    <w:basedOn w:val="Normal"/>
    <w:rsid w:val="002B5BFA"/>
    <w:pPr>
      <w:widowControl/>
      <w:autoSpaceDE/>
      <w:autoSpaceDN/>
      <w:ind w:left="720"/>
      <w:jc w:val="both"/>
    </w:pPr>
    <w:rPr>
      <w:rFonts w:ascii="Ecofont_Spranq_eco_Sans" w:eastAsia="Times New Roman" w:hAnsi="Ecofont_Spranq_eco_Sans" w:cs="Ecofont_Spranq_eco_Sans"/>
      <w:sz w:val="20"/>
      <w:szCs w:val="24"/>
      <w:lang w:val="pt-BR" w:eastAsia="pt-BR"/>
    </w:rPr>
  </w:style>
  <w:style w:type="paragraph" w:customStyle="1" w:styleId="paragraph">
    <w:name w:val="paragraph"/>
    <w:basedOn w:val="Normal"/>
    <w:rsid w:val="002B5BFA"/>
    <w:pPr>
      <w:widowControl/>
      <w:autoSpaceDE/>
      <w:autoSpaceDN/>
      <w:spacing w:before="100" w:beforeAutospacing="1" w:after="100" w:afterAutospacing="1"/>
      <w:jc w:val="both"/>
    </w:pPr>
    <w:rPr>
      <w:rFonts w:ascii="Times New Roman" w:eastAsia="Times New Roman" w:hAnsi="Times New Roman" w:cs="Times New Roman"/>
      <w:sz w:val="20"/>
      <w:szCs w:val="24"/>
      <w:lang w:val="pt-BR" w:eastAsia="pt-BR"/>
    </w:rPr>
  </w:style>
  <w:style w:type="paragraph" w:customStyle="1" w:styleId="citacao">
    <w:name w:val="citacao"/>
    <w:basedOn w:val="Normal"/>
    <w:rsid w:val="002B5BFA"/>
    <w:pPr>
      <w:widowControl/>
      <w:autoSpaceDE/>
      <w:autoSpaceDN/>
      <w:spacing w:before="100" w:beforeAutospacing="1" w:after="100" w:afterAutospacing="1"/>
      <w:jc w:val="both"/>
    </w:pPr>
    <w:rPr>
      <w:rFonts w:ascii="Times New Roman" w:eastAsia="Times New Roman" w:hAnsi="Times New Roman" w:cs="Times New Roman"/>
      <w:sz w:val="20"/>
      <w:szCs w:val="24"/>
      <w:lang w:val="pt-BR" w:eastAsia="pt-BR"/>
    </w:rPr>
  </w:style>
  <w:style w:type="paragraph" w:customStyle="1" w:styleId="textojustificadorecuoprimeiralinha">
    <w:name w:val="texto_justificado_recuo_primeira_linha"/>
    <w:basedOn w:val="Normal"/>
    <w:rsid w:val="002B5BFA"/>
    <w:pPr>
      <w:widowControl/>
      <w:autoSpaceDE/>
      <w:autoSpaceDN/>
      <w:spacing w:before="100" w:beforeAutospacing="1" w:after="100" w:afterAutospacing="1"/>
      <w:jc w:val="both"/>
    </w:pPr>
    <w:rPr>
      <w:rFonts w:ascii="Times New Roman" w:eastAsia="Times New Roman" w:hAnsi="Times New Roman" w:cs="Times New Roman"/>
      <w:sz w:val="20"/>
      <w:szCs w:val="24"/>
      <w:lang w:val="pt-BR" w:eastAsia="pt-BR"/>
    </w:rPr>
  </w:style>
  <w:style w:type="character" w:customStyle="1" w:styleId="TTULOChar0">
    <w:name w:val="TÍTULO Char"/>
    <w:basedOn w:val="Nivel01TituloChar"/>
    <w:link w:val="TTULO0"/>
    <w:locked/>
    <w:rsid w:val="002B5BFA"/>
    <w:rPr>
      <w:rFonts w:ascii="Arial" w:eastAsiaTheme="majorEastAsia" w:hAnsi="Arial" w:cstheme="minorHAnsi"/>
      <w:b/>
      <w:color w:val="0F4761" w:themeColor="accent1" w:themeShade="BF"/>
      <w:kern w:val="0"/>
      <w:sz w:val="28"/>
      <w:szCs w:val="20"/>
      <w:lang w:eastAsia="pt-BR"/>
      <w14:ligatures w14:val="none"/>
    </w:rPr>
  </w:style>
  <w:style w:type="paragraph" w:customStyle="1" w:styleId="TTULO0">
    <w:name w:val="TÍTULO"/>
    <w:basedOn w:val="Nivel01Titulo"/>
    <w:link w:val="TTULOChar0"/>
    <w:qFormat/>
    <w:rsid w:val="002B5BFA"/>
    <w:pPr>
      <w:numPr>
        <w:numId w:val="0"/>
      </w:numPr>
    </w:pPr>
    <w:rPr>
      <w:rFonts w:cstheme="minorHAnsi"/>
      <w:szCs w:val="20"/>
    </w:rPr>
  </w:style>
  <w:style w:type="character" w:customStyle="1" w:styleId="NotasexplicativasChar">
    <w:name w:val="Notas explicativas Char"/>
    <w:basedOn w:val="Fontepargpadro"/>
    <w:link w:val="Notasexplicativas"/>
    <w:locked/>
    <w:rsid w:val="002B5BFA"/>
    <w:rPr>
      <w:rFonts w:ascii="Arial" w:eastAsia="Times New Roman" w:hAnsi="Arial" w:cs="Tahoma"/>
      <w:sz w:val="20"/>
      <w:szCs w:val="20"/>
      <w:lang w:eastAsia="pt-BR"/>
    </w:rPr>
  </w:style>
  <w:style w:type="paragraph" w:customStyle="1" w:styleId="Notasexplicativas">
    <w:name w:val="Notas explicativas"/>
    <w:basedOn w:val="Normal"/>
    <w:link w:val="NotasexplicativasChar"/>
    <w:qFormat/>
    <w:rsid w:val="002B5BFA"/>
    <w:pPr>
      <w:widowControl/>
      <w:autoSpaceDE/>
      <w:autoSpaceDN/>
      <w:jc w:val="both"/>
    </w:pPr>
    <w:rPr>
      <w:rFonts w:ascii="Arial" w:eastAsia="Times New Roman" w:hAnsi="Arial" w:cs="Tahoma"/>
      <w:kern w:val="2"/>
      <w:sz w:val="20"/>
      <w:szCs w:val="20"/>
      <w:lang w:val="pt-BR" w:eastAsia="pt-BR"/>
      <w14:ligatures w14:val="standardContextual"/>
    </w:rPr>
  </w:style>
  <w:style w:type="paragraph" w:customStyle="1" w:styleId="tabelatextocentralizado">
    <w:name w:val="tabela_texto_centralizado"/>
    <w:basedOn w:val="Normal"/>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paragraph" w:customStyle="1" w:styleId="tabelatextojustificado">
    <w:name w:val="tabela_texto_justificado"/>
    <w:basedOn w:val="Normal"/>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character" w:customStyle="1" w:styleId="Nvel3-RChar">
    <w:name w:val="Nível 3-R Char"/>
    <w:basedOn w:val="Nivel3Char"/>
    <w:link w:val="Nvel3-R"/>
    <w:locked/>
    <w:rsid w:val="002B5BFA"/>
    <w:rPr>
      <w:rFonts w:ascii="Arial" w:eastAsiaTheme="minorEastAsia" w:hAnsi="Arial" w:cs="Arial"/>
      <w:i/>
      <w:iCs/>
      <w:color w:val="FF0000"/>
      <w:sz w:val="20"/>
      <w:szCs w:val="20"/>
      <w:lang w:eastAsia="pt-BR"/>
    </w:rPr>
  </w:style>
  <w:style w:type="paragraph" w:customStyle="1" w:styleId="Nvel3-R">
    <w:name w:val="Nível 3-R"/>
    <w:basedOn w:val="Nivel3"/>
    <w:link w:val="Nvel3-RChar"/>
    <w:qFormat/>
    <w:rsid w:val="002B5BFA"/>
    <w:pPr>
      <w:numPr>
        <w:numId w:val="5"/>
      </w:numPr>
    </w:pPr>
    <w:rPr>
      <w:rFonts w:ascii="Arial" w:eastAsiaTheme="minorEastAsia" w:hAnsi="Arial"/>
      <w:i/>
      <w:iCs/>
      <w:color w:val="FF0000"/>
    </w:rPr>
  </w:style>
  <w:style w:type="paragraph" w:customStyle="1" w:styleId="pf0">
    <w:name w:val="pf0"/>
    <w:basedOn w:val="Normal"/>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character" w:customStyle="1" w:styleId="Nvel2-RedChar">
    <w:name w:val="Nível 2 -Red Char"/>
    <w:basedOn w:val="Nivel2Char"/>
    <w:link w:val="Nvel2-Red"/>
    <w:locked/>
    <w:rsid w:val="002B5BFA"/>
    <w:rPr>
      <w:rFonts w:ascii="Arial" w:eastAsia="Times New Roman" w:hAnsi="Arial" w:cs="Arial"/>
      <w:i/>
      <w:iCs/>
      <w:color w:val="FF0000"/>
      <w:sz w:val="20"/>
      <w:szCs w:val="20"/>
      <w:lang w:eastAsia="pt-BR"/>
    </w:rPr>
  </w:style>
  <w:style w:type="paragraph" w:customStyle="1" w:styleId="Nvel2-Red">
    <w:name w:val="Nível 2 -Red"/>
    <w:basedOn w:val="Nivel2"/>
    <w:link w:val="Nvel2-RedChar"/>
    <w:qFormat/>
    <w:rsid w:val="002B5BFA"/>
    <w:pPr>
      <w:numPr>
        <w:ilvl w:val="0"/>
        <w:numId w:val="0"/>
      </w:numPr>
      <w:autoSpaceDE w:val="0"/>
      <w:autoSpaceDN w:val="0"/>
      <w:adjustRightInd w:val="0"/>
      <w:ind w:left="1283" w:hanging="432"/>
    </w:pPr>
    <w:rPr>
      <w:rFonts w:ascii="Arial" w:eastAsia="Times New Roman" w:hAnsi="Arial" w:cs="Arial"/>
      <w:i/>
      <w:iCs/>
      <w:color w:val="FF0000"/>
      <w:sz w:val="20"/>
      <w:szCs w:val="20"/>
    </w:rPr>
  </w:style>
  <w:style w:type="character" w:customStyle="1" w:styleId="Nvel3Char">
    <w:name w:val="Nível 3 Char"/>
    <w:basedOn w:val="Nvel3-RChar"/>
    <w:link w:val="Nvel3"/>
    <w:locked/>
    <w:rsid w:val="002B5BFA"/>
    <w:rPr>
      <w:rFonts w:ascii="Arial" w:eastAsia="Times New Roman" w:hAnsi="Arial" w:cs="Arial"/>
      <w:i w:val="0"/>
      <w:iCs w:val="0"/>
      <w:color w:val="FF0000"/>
      <w:sz w:val="20"/>
      <w:szCs w:val="20"/>
      <w:lang w:eastAsia="pt-BR"/>
    </w:rPr>
  </w:style>
  <w:style w:type="paragraph" w:customStyle="1" w:styleId="Nvel3">
    <w:name w:val="Nível 3"/>
    <w:basedOn w:val="Nvel3-R"/>
    <w:link w:val="Nvel3Char"/>
    <w:rsid w:val="002B5BFA"/>
    <w:pPr>
      <w:numPr>
        <w:numId w:val="0"/>
      </w:numPr>
      <w:ind w:left="1497" w:hanging="504"/>
    </w:pPr>
    <w:rPr>
      <w:rFonts w:eastAsia="Times New Roman"/>
      <w:i w:val="0"/>
      <w:iCs w:val="0"/>
    </w:rPr>
  </w:style>
  <w:style w:type="character" w:customStyle="1" w:styleId="Nvel4Char">
    <w:name w:val="Nível 4 Char"/>
    <w:basedOn w:val="Nvel3Char"/>
    <w:link w:val="Nvel4"/>
    <w:locked/>
    <w:rsid w:val="002B5BFA"/>
    <w:rPr>
      <w:rFonts w:ascii="Arial" w:eastAsia="Times New Roman" w:hAnsi="Arial" w:cs="Arial"/>
      <w:i w:val="0"/>
      <w:iCs w:val="0"/>
      <w:color w:val="FF0000"/>
      <w:sz w:val="20"/>
      <w:szCs w:val="20"/>
      <w:lang w:eastAsia="pt-BR"/>
    </w:rPr>
  </w:style>
  <w:style w:type="paragraph" w:customStyle="1" w:styleId="Nvel4">
    <w:name w:val="Nível 4"/>
    <w:basedOn w:val="Nvel3"/>
    <w:link w:val="Nvel4Char"/>
    <w:rsid w:val="002B5BFA"/>
    <w:pPr>
      <w:ind w:left="1728" w:hanging="648"/>
    </w:pPr>
  </w:style>
  <w:style w:type="character" w:customStyle="1" w:styleId="SubTitNNChar">
    <w:name w:val="SubTitNN Char"/>
    <w:basedOn w:val="Fontepargpadro"/>
    <w:link w:val="SubTitNN"/>
    <w:locked/>
    <w:rsid w:val="002B5BFA"/>
    <w:rPr>
      <w:rFonts w:ascii="Arial" w:eastAsia="Times New Roman" w:hAnsi="Arial" w:cs="Arial"/>
      <w:b/>
      <w:bCs/>
      <w:iCs/>
      <w:sz w:val="20"/>
      <w:szCs w:val="20"/>
      <w:lang w:eastAsia="pt-BR"/>
    </w:rPr>
  </w:style>
  <w:style w:type="paragraph" w:customStyle="1" w:styleId="SubTitNN">
    <w:name w:val="SubTitNN"/>
    <w:basedOn w:val="Normal"/>
    <w:link w:val="SubTitNNChar"/>
    <w:rsid w:val="002B5BFA"/>
    <w:pPr>
      <w:widowControl/>
      <w:autoSpaceDE/>
      <w:autoSpaceDN/>
      <w:spacing w:before="240" w:after="120" w:line="276" w:lineRule="auto"/>
      <w:jc w:val="both"/>
    </w:pPr>
    <w:rPr>
      <w:rFonts w:ascii="Arial" w:eastAsia="Times New Roman" w:hAnsi="Arial" w:cs="Arial"/>
      <w:b/>
      <w:bCs/>
      <w:iCs/>
      <w:kern w:val="2"/>
      <w:sz w:val="20"/>
      <w:szCs w:val="20"/>
      <w:lang w:val="pt-BR" w:eastAsia="pt-BR"/>
      <w14:ligatures w14:val="standardContextual"/>
    </w:rPr>
  </w:style>
  <w:style w:type="paragraph" w:customStyle="1" w:styleId="TableParagraph">
    <w:name w:val="Table Paragraph"/>
    <w:basedOn w:val="Normal"/>
    <w:uiPriority w:val="1"/>
    <w:qFormat/>
    <w:rsid w:val="002B5BFA"/>
    <w:rPr>
      <w:rFonts w:ascii="Calibri" w:eastAsia="Calibri" w:hAnsi="Calibri" w:cs="Calibri"/>
    </w:rPr>
  </w:style>
  <w:style w:type="paragraph" w:customStyle="1" w:styleId="Ttulo11">
    <w:name w:val="Título 11"/>
    <w:basedOn w:val="Normal"/>
    <w:uiPriority w:val="1"/>
    <w:qFormat/>
    <w:rsid w:val="002B5BFA"/>
    <w:pPr>
      <w:ind w:left="499"/>
      <w:outlineLvl w:val="1"/>
    </w:pPr>
    <w:rPr>
      <w:rFonts w:ascii="Calibri" w:eastAsia="Calibri" w:hAnsi="Calibri" w:cs="Calibri"/>
      <w:b/>
      <w:bCs/>
      <w:sz w:val="24"/>
      <w:szCs w:val="24"/>
    </w:rPr>
  </w:style>
  <w:style w:type="paragraph" w:customStyle="1" w:styleId="Ttulo21">
    <w:name w:val="Título 21"/>
    <w:basedOn w:val="Normal"/>
    <w:uiPriority w:val="1"/>
    <w:qFormat/>
    <w:rsid w:val="002B5BFA"/>
    <w:pPr>
      <w:ind w:right="285"/>
      <w:jc w:val="center"/>
      <w:outlineLvl w:val="2"/>
    </w:pPr>
    <w:rPr>
      <w:rFonts w:ascii="Calibri" w:eastAsia="Calibri" w:hAnsi="Calibri" w:cs="Calibri"/>
      <w:b/>
      <w:bCs/>
      <w:i/>
      <w:sz w:val="24"/>
      <w:szCs w:val="24"/>
    </w:rPr>
  </w:style>
  <w:style w:type="paragraph" w:customStyle="1" w:styleId="Textoembloco1">
    <w:name w:val="Texto em bloco1"/>
    <w:basedOn w:val="Normal"/>
    <w:rsid w:val="002B5BFA"/>
    <w:pPr>
      <w:widowControl/>
      <w:suppressAutoHyphens/>
      <w:autoSpaceDE/>
      <w:autoSpaceDN/>
      <w:ind w:left="284" w:right="-45"/>
      <w:jc w:val="both"/>
    </w:pPr>
    <w:rPr>
      <w:rFonts w:ascii="Arial" w:eastAsia="Batang" w:hAnsi="Arial" w:cs="Arial"/>
      <w:sz w:val="20"/>
      <w:szCs w:val="20"/>
      <w:lang w:val="pt-BR" w:eastAsia="ar-SA"/>
    </w:rPr>
  </w:style>
  <w:style w:type="paragraph" w:customStyle="1" w:styleId="Artigo">
    <w:name w:val="Artigo"/>
    <w:basedOn w:val="Normal"/>
    <w:rsid w:val="002B5BFA"/>
    <w:pPr>
      <w:widowControl/>
      <w:adjustRightInd w:val="0"/>
      <w:spacing w:before="85" w:after="85"/>
      <w:jc w:val="both"/>
    </w:pPr>
    <w:rPr>
      <w:rFonts w:ascii="Arial" w:eastAsia="Times New Roman" w:hAnsi="Arial" w:cs="Arial"/>
      <w:sz w:val="20"/>
      <w:szCs w:val="20"/>
      <w:lang w:val="pt-BR" w:eastAsia="pt-BR"/>
    </w:rPr>
  </w:style>
  <w:style w:type="paragraph" w:customStyle="1" w:styleId="Nvel2">
    <w:name w:val="Nível 2"/>
    <w:basedOn w:val="Normal"/>
    <w:next w:val="Normal"/>
    <w:rsid w:val="002B5BFA"/>
    <w:pPr>
      <w:widowControl/>
      <w:autoSpaceDE/>
      <w:autoSpaceDN/>
      <w:spacing w:after="120"/>
      <w:jc w:val="both"/>
    </w:pPr>
    <w:rPr>
      <w:rFonts w:ascii="Arial" w:eastAsia="Times New Roman" w:hAnsi="Arial" w:cs="Times New Roman"/>
      <w:b/>
      <w:sz w:val="24"/>
      <w:szCs w:val="20"/>
      <w:lang w:val="pt-BR" w:eastAsia="pt-BR"/>
    </w:rPr>
  </w:style>
  <w:style w:type="paragraph" w:customStyle="1" w:styleId="PADRAO">
    <w:name w:val="PADRAO"/>
    <w:basedOn w:val="Normal"/>
    <w:rsid w:val="002B5BFA"/>
    <w:pPr>
      <w:widowControl/>
      <w:autoSpaceDE/>
      <w:autoSpaceDN/>
      <w:jc w:val="both"/>
    </w:pPr>
    <w:rPr>
      <w:rFonts w:ascii="Tms Rmn" w:eastAsia="Times New Roman" w:hAnsi="Tms Rmn" w:cs="Times New Roman"/>
      <w:sz w:val="24"/>
      <w:szCs w:val="20"/>
      <w:lang w:val="pt-BR" w:eastAsia="pt-BR"/>
    </w:rPr>
  </w:style>
  <w:style w:type="paragraph" w:customStyle="1" w:styleId="C">
    <w:name w:val="C"/>
    <w:basedOn w:val="Normal"/>
    <w:rsid w:val="002B5BFA"/>
    <w:pPr>
      <w:widowControl/>
      <w:tabs>
        <w:tab w:val="left" w:pos="1418"/>
      </w:tabs>
      <w:autoSpaceDE/>
      <w:autoSpaceDN/>
      <w:jc w:val="both"/>
    </w:pPr>
    <w:rPr>
      <w:rFonts w:ascii="Times New Roman" w:eastAsia="Times New Roman" w:hAnsi="Times New Roman" w:cs="Times New Roman"/>
      <w:sz w:val="24"/>
      <w:szCs w:val="20"/>
      <w:lang w:val="pt-BR" w:eastAsia="pt-BR"/>
    </w:rPr>
  </w:style>
  <w:style w:type="paragraph" w:customStyle="1" w:styleId="Texto">
    <w:name w:val="Texto"/>
    <w:basedOn w:val="Normal"/>
    <w:autoRedefine/>
    <w:rsid w:val="002B5BFA"/>
    <w:pPr>
      <w:widowControl/>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uppressAutoHyphens/>
      <w:autoSpaceDE/>
      <w:autoSpaceDN/>
      <w:spacing w:before="81" w:after="40"/>
      <w:jc w:val="both"/>
    </w:pPr>
    <w:rPr>
      <w:rFonts w:ascii="Times New Roman" w:eastAsia="Times New Roman" w:hAnsi="Times New Roman" w:cs="Times New Roman"/>
      <w:color w:val="FF0000"/>
      <w:sz w:val="24"/>
      <w:szCs w:val="24"/>
      <w:lang w:val="pt-BR" w:eastAsia="pt-BR"/>
    </w:rPr>
  </w:style>
  <w:style w:type="paragraph" w:customStyle="1" w:styleId="Estilo1">
    <w:name w:val="Estilo1"/>
    <w:basedOn w:val="Normal"/>
    <w:rsid w:val="002B5BFA"/>
    <w:pPr>
      <w:widowControl/>
      <w:autoSpaceDE/>
      <w:autoSpaceDN/>
      <w:jc w:val="both"/>
    </w:pPr>
    <w:rPr>
      <w:rFonts w:ascii="Times New Roman" w:eastAsia="Times New Roman" w:hAnsi="Times New Roman" w:cs="Times New Roman"/>
      <w:sz w:val="24"/>
      <w:szCs w:val="20"/>
      <w:lang w:val="pt-BR" w:eastAsia="pt-BR"/>
    </w:rPr>
  </w:style>
  <w:style w:type="paragraph" w:customStyle="1" w:styleId="A010770">
    <w:name w:val="_A010770"/>
    <w:rsid w:val="002B5BFA"/>
    <w:pPr>
      <w:tabs>
        <w:tab w:val="left" w:pos="1728"/>
      </w:tabs>
      <w:spacing w:after="0" w:line="240" w:lineRule="auto"/>
      <w:ind w:left="864" w:right="1152" w:hanging="864"/>
      <w:jc w:val="both"/>
    </w:pPr>
    <w:rPr>
      <w:rFonts w:ascii="Times New Roman" w:eastAsia="Times New Roman" w:hAnsi="Times New Roman" w:cs="Times New Roman"/>
      <w:color w:val="000000"/>
      <w:kern w:val="0"/>
      <w:szCs w:val="20"/>
      <w:lang w:eastAsia="pt-BR"/>
      <w14:ligatures w14:val="none"/>
    </w:rPr>
  </w:style>
  <w:style w:type="paragraph" w:customStyle="1" w:styleId="Corpodetexto21">
    <w:name w:val="Corpo de texto 21"/>
    <w:basedOn w:val="Normal"/>
    <w:rsid w:val="002B5BFA"/>
    <w:pPr>
      <w:widowControl/>
      <w:autoSpaceDE/>
      <w:autoSpaceDN/>
      <w:ind w:firstLine="993"/>
      <w:jc w:val="both"/>
    </w:pPr>
    <w:rPr>
      <w:rFonts w:ascii="Times New Roman" w:eastAsia="Times New Roman" w:hAnsi="Times New Roman" w:cs="Times New Roman"/>
      <w:sz w:val="24"/>
      <w:szCs w:val="20"/>
      <w:lang w:val="pt-BR" w:eastAsia="pt-BR"/>
    </w:rPr>
  </w:style>
  <w:style w:type="paragraph" w:customStyle="1" w:styleId="A010178">
    <w:name w:val="_A010178"/>
    <w:rsid w:val="002B5BFA"/>
    <w:pPr>
      <w:spacing w:after="0" w:line="240" w:lineRule="auto"/>
      <w:jc w:val="both"/>
    </w:pPr>
    <w:rPr>
      <w:rFonts w:ascii="Times New Roman" w:eastAsia="Times New Roman" w:hAnsi="Times New Roman" w:cs="Times New Roman"/>
      <w:color w:val="000000"/>
      <w:kern w:val="0"/>
      <w:szCs w:val="20"/>
      <w:lang w:eastAsia="pt-BR"/>
      <w14:ligatures w14:val="none"/>
    </w:rPr>
  </w:style>
  <w:style w:type="paragraph" w:customStyle="1" w:styleId="A010170">
    <w:name w:val="_A010170"/>
    <w:rsid w:val="002B5BFA"/>
    <w:pPr>
      <w:spacing w:after="0" w:line="240" w:lineRule="auto"/>
      <w:ind w:right="1152"/>
      <w:jc w:val="both"/>
    </w:pPr>
    <w:rPr>
      <w:rFonts w:ascii="Times New Roman" w:eastAsia="Times New Roman" w:hAnsi="Times New Roman" w:cs="Times New Roman"/>
      <w:color w:val="000000"/>
      <w:kern w:val="0"/>
      <w:szCs w:val="20"/>
      <w:lang w:eastAsia="pt-BR"/>
      <w14:ligatures w14:val="none"/>
    </w:rPr>
  </w:style>
  <w:style w:type="paragraph" w:customStyle="1" w:styleId="A010670">
    <w:name w:val="_A010670"/>
    <w:rsid w:val="002B5BFA"/>
    <w:pPr>
      <w:spacing w:after="0" w:line="240" w:lineRule="auto"/>
      <w:ind w:left="720" w:right="1152" w:hanging="720"/>
      <w:jc w:val="both"/>
    </w:pPr>
    <w:rPr>
      <w:rFonts w:ascii="Times New Roman" w:eastAsia="Times New Roman" w:hAnsi="Times New Roman" w:cs="Times New Roman"/>
      <w:color w:val="000000"/>
      <w:kern w:val="0"/>
      <w:szCs w:val="20"/>
      <w:lang w:eastAsia="pt-BR"/>
      <w14:ligatures w14:val="none"/>
    </w:rPr>
  </w:style>
  <w:style w:type="paragraph" w:customStyle="1" w:styleId="xl37">
    <w:name w:val="xl37"/>
    <w:basedOn w:val="Normal"/>
    <w:rsid w:val="002B5BFA"/>
    <w:pPr>
      <w:widowControl/>
      <w:autoSpaceDE/>
      <w:autoSpaceDN/>
      <w:spacing w:before="100" w:beforeAutospacing="1" w:after="100" w:afterAutospacing="1"/>
    </w:pPr>
    <w:rPr>
      <w:rFonts w:ascii="Arial" w:eastAsia="Arial Unicode MS" w:hAnsi="Arial" w:cs="Arial"/>
      <w:b/>
      <w:bCs/>
      <w:sz w:val="20"/>
      <w:szCs w:val="20"/>
      <w:lang w:val="pt-BR" w:eastAsia="pt-BR"/>
    </w:rPr>
  </w:style>
  <w:style w:type="paragraph" w:customStyle="1" w:styleId="xl24">
    <w:name w:val="xl24"/>
    <w:basedOn w:val="Normal"/>
    <w:rsid w:val="002B5BFA"/>
    <w:pPr>
      <w:widowControl/>
      <w:pBdr>
        <w:top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5">
    <w:name w:val="xl25"/>
    <w:basedOn w:val="Normal"/>
    <w:rsid w:val="002B5BFA"/>
    <w:pPr>
      <w:widowControl/>
      <w:pBdr>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6">
    <w:name w:val="xl26"/>
    <w:basedOn w:val="Normal"/>
    <w:rsid w:val="002B5BFA"/>
    <w:pPr>
      <w:widowControl/>
      <w:pBdr>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7">
    <w:name w:val="xl27"/>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8">
    <w:name w:val="xl28"/>
    <w:basedOn w:val="Normal"/>
    <w:rsid w:val="002B5BFA"/>
    <w:pPr>
      <w:widowControl/>
      <w:pBdr>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9">
    <w:name w:val="xl29"/>
    <w:basedOn w:val="Normal"/>
    <w:rsid w:val="002B5BFA"/>
    <w:pPr>
      <w:widowControl/>
      <w:pBdr>
        <w:top w:val="single" w:sz="4"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30">
    <w:name w:val="xl30"/>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31">
    <w:name w:val="xl31"/>
    <w:basedOn w:val="Normal"/>
    <w:rsid w:val="002B5BFA"/>
    <w:pPr>
      <w:widowControl/>
      <w:pBdr>
        <w:top w:val="single" w:sz="4" w:space="0" w:color="auto"/>
        <w:lef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32">
    <w:name w:val="xl32"/>
    <w:basedOn w:val="Normal"/>
    <w:rsid w:val="002B5BFA"/>
    <w:pPr>
      <w:widowControl/>
      <w:pBdr>
        <w:top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33">
    <w:name w:val="xl33"/>
    <w:basedOn w:val="Normal"/>
    <w:rsid w:val="002B5BFA"/>
    <w:pPr>
      <w:widowControl/>
      <w:pBdr>
        <w:top w:val="single" w:sz="4" w:space="0" w:color="auto"/>
        <w:righ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34">
    <w:name w:val="xl34"/>
    <w:basedOn w:val="Normal"/>
    <w:rsid w:val="002B5BFA"/>
    <w:pPr>
      <w:widowControl/>
      <w:pBdr>
        <w:left w:val="single" w:sz="4" w:space="0" w:color="auto"/>
        <w:bottom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35">
    <w:name w:val="xl35"/>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36">
    <w:name w:val="xl36"/>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38">
    <w:name w:val="xl38"/>
    <w:basedOn w:val="Normal"/>
    <w:rsid w:val="002B5BFA"/>
    <w:pPr>
      <w:widowControl/>
      <w:pBdr>
        <w:lef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39">
    <w:name w:val="xl39"/>
    <w:basedOn w:val="Normal"/>
    <w:rsid w:val="002B5BFA"/>
    <w:pPr>
      <w:widowControl/>
      <w:pBdr>
        <w:bottom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0">
    <w:name w:val="xl40"/>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1">
    <w:name w:val="xl41"/>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2">
    <w:name w:val="xl42"/>
    <w:basedOn w:val="Normal"/>
    <w:rsid w:val="002B5BFA"/>
    <w:pPr>
      <w:widowControl/>
      <w:pBdr>
        <w:top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3">
    <w:name w:val="xl43"/>
    <w:basedOn w:val="Normal"/>
    <w:rsid w:val="002B5BFA"/>
    <w:pPr>
      <w:widowControl/>
      <w:pBdr>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4">
    <w:name w:val="xl44"/>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5">
    <w:name w:val="xl45"/>
    <w:basedOn w:val="Normal"/>
    <w:rsid w:val="002B5BFA"/>
    <w:pPr>
      <w:widowControl/>
      <w:pBdr>
        <w:top w:val="single" w:sz="4" w:space="0" w:color="auto"/>
        <w:bottom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6">
    <w:name w:val="xl46"/>
    <w:basedOn w:val="Normal"/>
    <w:rsid w:val="002B5BFA"/>
    <w:pPr>
      <w:widowControl/>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7">
    <w:name w:val="xl47"/>
    <w:basedOn w:val="Normal"/>
    <w:rsid w:val="002B5BFA"/>
    <w:pPr>
      <w:widowControl/>
      <w:pBdr>
        <w:bottom w:val="single" w:sz="4" w:space="0" w:color="auto"/>
      </w:pBdr>
      <w:autoSpaceDE/>
      <w:autoSpaceDN/>
      <w:spacing w:before="100" w:beforeAutospacing="1" w:after="100" w:afterAutospacing="1"/>
    </w:pPr>
    <w:rPr>
      <w:rFonts w:ascii="Arial" w:eastAsia="Arial Unicode MS" w:hAnsi="Arial" w:cs="Arial"/>
      <w:color w:val="FF0000"/>
      <w:sz w:val="24"/>
      <w:szCs w:val="24"/>
      <w:lang w:val="pt-BR" w:eastAsia="pt-BR"/>
    </w:rPr>
  </w:style>
  <w:style w:type="paragraph" w:customStyle="1" w:styleId="xl48">
    <w:name w:val="xl48"/>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49">
    <w:name w:val="xl49"/>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0">
    <w:name w:val="xl50"/>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51">
    <w:name w:val="xl51"/>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2">
    <w:name w:val="xl52"/>
    <w:basedOn w:val="Normal"/>
    <w:rsid w:val="002B5BFA"/>
    <w:pPr>
      <w:widowControl/>
      <w:pBdr>
        <w:left w:val="single" w:sz="4" w:space="0" w:color="auto"/>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3">
    <w:name w:val="xl53"/>
    <w:basedOn w:val="Normal"/>
    <w:rsid w:val="002B5BFA"/>
    <w:pPr>
      <w:widowControl/>
      <w:pBdr>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4">
    <w:name w:val="xl54"/>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55">
    <w:name w:val="xl55"/>
    <w:basedOn w:val="Normal"/>
    <w:rsid w:val="002B5BFA"/>
    <w:pPr>
      <w:widowControl/>
      <w:pBdr>
        <w:left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56">
    <w:name w:val="xl56"/>
    <w:basedOn w:val="Normal"/>
    <w:rsid w:val="002B5BFA"/>
    <w:pPr>
      <w:widowControl/>
      <w:pBdr>
        <w:bottom w:val="single" w:sz="4" w:space="0" w:color="auto"/>
      </w:pBdr>
      <w:autoSpaceDE/>
      <w:autoSpaceDN/>
      <w:spacing w:before="100" w:beforeAutospacing="1" w:after="100" w:afterAutospacing="1"/>
      <w:jc w:val="center"/>
    </w:pPr>
    <w:rPr>
      <w:rFonts w:ascii="Arial" w:eastAsia="Arial Unicode MS" w:hAnsi="Arial" w:cs="Arial"/>
      <w:b/>
      <w:bCs/>
      <w:color w:val="FF0000"/>
      <w:sz w:val="24"/>
      <w:szCs w:val="24"/>
      <w:lang w:val="pt-BR" w:eastAsia="pt-BR"/>
    </w:rPr>
  </w:style>
  <w:style w:type="paragraph" w:customStyle="1" w:styleId="xl57">
    <w:name w:val="xl57"/>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Arial Unicode MS" w:hAnsi="Arial" w:cs="Arial"/>
      <w:color w:val="FF0000"/>
      <w:sz w:val="24"/>
      <w:szCs w:val="24"/>
      <w:lang w:val="pt-BR" w:eastAsia="pt-BR"/>
    </w:rPr>
  </w:style>
  <w:style w:type="paragraph" w:customStyle="1" w:styleId="xl58">
    <w:name w:val="xl58"/>
    <w:basedOn w:val="Normal"/>
    <w:rsid w:val="002B5BFA"/>
    <w:pPr>
      <w:widowControl/>
      <w:pBdr>
        <w:top w:val="single" w:sz="4" w:space="0" w:color="auto"/>
        <w:lef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59">
    <w:name w:val="xl59"/>
    <w:basedOn w:val="Normal"/>
    <w:rsid w:val="002B5BFA"/>
    <w:pPr>
      <w:widowControl/>
      <w:pBdr>
        <w:left w:val="single" w:sz="4" w:space="0" w:color="auto"/>
        <w:righ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60">
    <w:name w:val="xl60"/>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color w:val="FF0000"/>
      <w:sz w:val="24"/>
      <w:szCs w:val="24"/>
      <w:lang w:val="pt-BR" w:eastAsia="pt-BR"/>
    </w:rPr>
  </w:style>
  <w:style w:type="paragraph" w:customStyle="1" w:styleId="xl61">
    <w:name w:val="xl61"/>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62">
    <w:name w:val="xl62"/>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3">
    <w:name w:val="xl63"/>
    <w:basedOn w:val="Normal"/>
    <w:rsid w:val="002B5BFA"/>
    <w:pPr>
      <w:widowControl/>
      <w:pBdr>
        <w:lef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64">
    <w:name w:val="xl64"/>
    <w:basedOn w:val="Normal"/>
    <w:rsid w:val="002B5BFA"/>
    <w:pPr>
      <w:widowControl/>
      <w:pBdr>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65">
    <w:name w:val="xl65"/>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66">
    <w:name w:val="xl66"/>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7">
    <w:name w:val="xl67"/>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8">
    <w:name w:val="xl68"/>
    <w:basedOn w:val="Normal"/>
    <w:rsid w:val="002B5BFA"/>
    <w:pPr>
      <w:widowControl/>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9">
    <w:name w:val="xl69"/>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0">
    <w:name w:val="xl70"/>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1">
    <w:name w:val="xl71"/>
    <w:basedOn w:val="Normal"/>
    <w:rsid w:val="002B5BFA"/>
    <w:pPr>
      <w:widowControl/>
      <w:pBdr>
        <w:top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2">
    <w:name w:val="xl72"/>
    <w:basedOn w:val="Normal"/>
    <w:rsid w:val="002B5BFA"/>
    <w:pPr>
      <w:widowControl/>
      <w:pBdr>
        <w:top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3">
    <w:name w:val="xl73"/>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4">
    <w:name w:val="xl74"/>
    <w:basedOn w:val="Normal"/>
    <w:rsid w:val="002B5BFA"/>
    <w:pPr>
      <w:widowControl/>
      <w:pBdr>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5">
    <w:name w:val="xl75"/>
    <w:basedOn w:val="Normal"/>
    <w:rsid w:val="002B5BFA"/>
    <w:pPr>
      <w:widowControl/>
      <w:pBdr>
        <w:top w:val="single" w:sz="4" w:space="0" w:color="auto"/>
        <w:lef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6">
    <w:name w:val="xl76"/>
    <w:basedOn w:val="Normal"/>
    <w:rsid w:val="002B5BFA"/>
    <w:pPr>
      <w:widowControl/>
      <w:pBdr>
        <w:righ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77">
    <w:name w:val="xl77"/>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8">
    <w:name w:val="xl78"/>
    <w:basedOn w:val="Normal"/>
    <w:rsid w:val="002B5BFA"/>
    <w:pPr>
      <w:widowControl/>
      <w:pBdr>
        <w:top w:val="single" w:sz="4" w:space="0" w:color="auto"/>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9">
    <w:name w:val="xl79"/>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0">
    <w:name w:val="xl80"/>
    <w:basedOn w:val="Normal"/>
    <w:rsid w:val="002B5BFA"/>
    <w:pPr>
      <w:widowControl/>
      <w:pBdr>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1">
    <w:name w:val="xl81"/>
    <w:basedOn w:val="Normal"/>
    <w:rsid w:val="002B5BFA"/>
    <w:pPr>
      <w:widowControl/>
      <w:pBdr>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2">
    <w:name w:val="xl82"/>
    <w:basedOn w:val="Normal"/>
    <w:rsid w:val="002B5BFA"/>
    <w:pPr>
      <w:widowControl/>
      <w:pBdr>
        <w:left w:val="single" w:sz="4"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83">
    <w:name w:val="xl83"/>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4">
    <w:name w:val="xl84"/>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5">
    <w:name w:val="xl85"/>
    <w:basedOn w:val="Normal"/>
    <w:rsid w:val="002B5BFA"/>
    <w:pPr>
      <w:widowControl/>
      <w:pBdr>
        <w:top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6">
    <w:name w:val="xl86"/>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7">
    <w:name w:val="xl87"/>
    <w:basedOn w:val="Normal"/>
    <w:rsid w:val="002B5BFA"/>
    <w:pPr>
      <w:widowControl/>
      <w:pBdr>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8">
    <w:name w:val="xl88"/>
    <w:basedOn w:val="Normal"/>
    <w:rsid w:val="002B5BFA"/>
    <w:pPr>
      <w:widowControl/>
      <w:pBdr>
        <w:top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9">
    <w:name w:val="xl89"/>
    <w:basedOn w:val="Normal"/>
    <w:rsid w:val="002B5BFA"/>
    <w:pPr>
      <w:widowControl/>
      <w:pBdr>
        <w:top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0">
    <w:name w:val="xl90"/>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1">
    <w:name w:val="xl91"/>
    <w:basedOn w:val="Normal"/>
    <w:rsid w:val="002B5BFA"/>
    <w:pPr>
      <w:widowControl/>
      <w:pBdr>
        <w:lef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2">
    <w:name w:val="xl92"/>
    <w:basedOn w:val="Normal"/>
    <w:rsid w:val="002B5BFA"/>
    <w:pPr>
      <w:widowControl/>
      <w:pBdr>
        <w:top w:val="single" w:sz="4" w:space="0" w:color="auto"/>
        <w:left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3">
    <w:name w:val="xl93"/>
    <w:basedOn w:val="Normal"/>
    <w:rsid w:val="002B5BFA"/>
    <w:pPr>
      <w:widowControl/>
      <w:pBdr>
        <w:left w:val="single" w:sz="4" w:space="0" w:color="auto"/>
        <w:bottom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4">
    <w:name w:val="xl94"/>
    <w:basedOn w:val="Normal"/>
    <w:rsid w:val="002B5BFA"/>
    <w:pPr>
      <w:widowControl/>
      <w:pBdr>
        <w:top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5">
    <w:name w:val="xl95"/>
    <w:basedOn w:val="Normal"/>
    <w:rsid w:val="002B5BFA"/>
    <w:pPr>
      <w:widowControl/>
      <w:pBdr>
        <w:bottom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6">
    <w:name w:val="xl96"/>
    <w:basedOn w:val="Normal"/>
    <w:rsid w:val="002B5BFA"/>
    <w:pPr>
      <w:widowControl/>
      <w:pBdr>
        <w:top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7">
    <w:name w:val="xl97"/>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8">
    <w:name w:val="xl98"/>
    <w:basedOn w:val="Normal"/>
    <w:rsid w:val="002B5BFA"/>
    <w:pPr>
      <w:widowControl/>
      <w:pBdr>
        <w:top w:val="single" w:sz="4" w:space="0" w:color="auto"/>
        <w:bottom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99">
    <w:name w:val="xl99"/>
    <w:basedOn w:val="Normal"/>
    <w:rsid w:val="002B5BFA"/>
    <w:pPr>
      <w:widowControl/>
      <w:pBdr>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100">
    <w:name w:val="xl100"/>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16"/>
      <w:szCs w:val="16"/>
      <w:lang w:val="pt-BR" w:eastAsia="pt-BR"/>
    </w:rPr>
  </w:style>
  <w:style w:type="paragraph" w:customStyle="1" w:styleId="xl101">
    <w:name w:val="xl101"/>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Corpodetexto22">
    <w:name w:val="Corpo de texto 22"/>
    <w:basedOn w:val="Normal"/>
    <w:rsid w:val="002B5BFA"/>
    <w:pPr>
      <w:widowControl/>
      <w:autoSpaceDE/>
      <w:autoSpaceDN/>
      <w:ind w:firstLine="993"/>
      <w:jc w:val="both"/>
    </w:pPr>
    <w:rPr>
      <w:rFonts w:ascii="Times New Roman" w:eastAsia="Times New Roman" w:hAnsi="Times New Roman" w:cs="Times New Roman"/>
      <w:sz w:val="24"/>
      <w:szCs w:val="20"/>
      <w:lang w:val="pt-BR" w:eastAsia="pt-BR"/>
    </w:rPr>
  </w:style>
  <w:style w:type="paragraph" w:customStyle="1" w:styleId="1">
    <w:name w:val="1"/>
    <w:basedOn w:val="Normal"/>
    <w:next w:val="TextosemFormatao"/>
    <w:rsid w:val="002B5BFA"/>
    <w:pPr>
      <w:widowControl/>
      <w:autoSpaceDE/>
      <w:autoSpaceDN/>
    </w:pPr>
    <w:rPr>
      <w:rFonts w:ascii="Courier New" w:eastAsia="Times New Roman" w:hAnsi="Courier New" w:cs="Times New Roman"/>
      <w:sz w:val="20"/>
      <w:szCs w:val="20"/>
      <w:lang w:val="pt-BR" w:eastAsia="pt-BR"/>
    </w:rPr>
  </w:style>
  <w:style w:type="paragraph" w:customStyle="1" w:styleId="font7">
    <w:name w:val="font7"/>
    <w:basedOn w:val="Normal"/>
    <w:rsid w:val="002B5BFA"/>
    <w:pPr>
      <w:widowControl/>
      <w:autoSpaceDE/>
      <w:autoSpaceDN/>
      <w:spacing w:before="100" w:beforeAutospacing="1" w:after="100" w:afterAutospacing="1"/>
    </w:pPr>
    <w:rPr>
      <w:rFonts w:ascii="Times New Roman" w:eastAsia="Times New Roman" w:hAnsi="Times New Roman" w:cs="Times New Roman"/>
      <w:b/>
      <w:bCs/>
      <w:sz w:val="20"/>
      <w:szCs w:val="20"/>
      <w:lang w:val="pt-BR" w:eastAsia="pt-BR"/>
    </w:rPr>
  </w:style>
  <w:style w:type="paragraph" w:customStyle="1" w:styleId="Corpodetexto23">
    <w:name w:val="Corpo de texto 23"/>
    <w:basedOn w:val="Normal"/>
    <w:rsid w:val="002B5BFA"/>
    <w:pPr>
      <w:widowControl/>
      <w:autoSpaceDE/>
      <w:autoSpaceDN/>
      <w:ind w:firstLine="993"/>
      <w:jc w:val="both"/>
    </w:pPr>
    <w:rPr>
      <w:rFonts w:ascii="Times New Roman" w:eastAsia="Times New Roman" w:hAnsi="Times New Roman" w:cs="Times New Roman"/>
      <w:sz w:val="24"/>
      <w:szCs w:val="20"/>
      <w:lang w:val="pt-BR" w:eastAsia="pt-BR"/>
    </w:rPr>
  </w:style>
  <w:style w:type="paragraph" w:customStyle="1" w:styleId="TextoPargrafo">
    <w:name w:val="Texto Parágrafo"/>
    <w:basedOn w:val="Normal"/>
    <w:rsid w:val="002B5BFA"/>
    <w:pPr>
      <w:keepLines/>
      <w:widowControl/>
      <w:suppressAutoHyphens/>
      <w:autoSpaceDE/>
      <w:autoSpaceDN/>
      <w:snapToGrid w:val="0"/>
      <w:spacing w:before="120" w:after="120" w:line="260" w:lineRule="exact"/>
      <w:ind w:firstLine="284"/>
      <w:jc w:val="both"/>
      <w:outlineLvl w:val="0"/>
    </w:pPr>
    <w:rPr>
      <w:rFonts w:ascii="Book Antiqua" w:eastAsia="Times New Roman" w:hAnsi="Book Antiqua" w:cs="Times New Roman"/>
      <w:kern w:val="20"/>
      <w:szCs w:val="20"/>
      <w:lang w:val="pt-BR" w:eastAsia="pt-BR"/>
    </w:rPr>
  </w:style>
  <w:style w:type="paragraph" w:customStyle="1" w:styleId="Contrato">
    <w:name w:val="Contrato"/>
    <w:basedOn w:val="Normal"/>
    <w:rsid w:val="002B5BFA"/>
    <w:pPr>
      <w:widowControl/>
      <w:autoSpaceDE/>
      <w:autoSpaceDN/>
      <w:spacing w:after="240"/>
      <w:jc w:val="both"/>
    </w:pPr>
    <w:rPr>
      <w:rFonts w:ascii="Times New Roman" w:eastAsia="Times New Roman" w:hAnsi="Times New Roman" w:cs="Times New Roman"/>
      <w:sz w:val="24"/>
      <w:szCs w:val="20"/>
      <w:lang w:val="pt-BR" w:eastAsia="pt-BR"/>
    </w:rPr>
  </w:style>
  <w:style w:type="paragraph" w:customStyle="1" w:styleId="Estilo2">
    <w:name w:val="Estilo2"/>
    <w:basedOn w:val="Normal"/>
    <w:rsid w:val="002B5BFA"/>
    <w:pPr>
      <w:widowControl/>
      <w:tabs>
        <w:tab w:val="left" w:pos="2268"/>
      </w:tabs>
      <w:autoSpaceDE/>
      <w:autoSpaceDN/>
      <w:snapToGrid w:val="0"/>
      <w:ind w:left="2410" w:hanging="992"/>
      <w:jc w:val="both"/>
    </w:pPr>
    <w:rPr>
      <w:rFonts w:ascii="Times New Roman" w:eastAsia="Times New Roman" w:hAnsi="Times New Roman" w:cs="Times New Roman"/>
      <w:sz w:val="24"/>
      <w:szCs w:val="24"/>
      <w:lang w:val="pt-BR" w:eastAsia="pt-BR"/>
    </w:rPr>
  </w:style>
  <w:style w:type="paragraph" w:customStyle="1" w:styleId="Default">
    <w:name w:val="Default"/>
    <w:rsid w:val="002B5BFA"/>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blockquote">
    <w:name w:val="blockquote"/>
    <w:basedOn w:val="Normal"/>
    <w:rsid w:val="002B5BFA"/>
    <w:pPr>
      <w:widowControl/>
      <w:autoSpaceDE/>
      <w:autoSpaceDN/>
      <w:snapToGrid w:val="0"/>
      <w:spacing w:before="100" w:after="100"/>
      <w:ind w:left="360" w:right="360"/>
    </w:pPr>
    <w:rPr>
      <w:rFonts w:ascii="Times New Roman" w:eastAsia="Times New Roman" w:hAnsi="Times New Roman" w:cs="Times New Roman"/>
      <w:sz w:val="24"/>
      <w:szCs w:val="24"/>
      <w:lang w:val="pt-BR" w:eastAsia="pt-BR"/>
    </w:rPr>
  </w:style>
  <w:style w:type="paragraph" w:customStyle="1" w:styleId="WW-Textosimples">
    <w:name w:val="WW-Texto simples"/>
    <w:basedOn w:val="Normal"/>
    <w:rsid w:val="002B5BFA"/>
    <w:pPr>
      <w:widowControl/>
      <w:suppressAutoHyphens/>
      <w:autoSpaceDE/>
      <w:autoSpaceDN/>
    </w:pPr>
    <w:rPr>
      <w:rFonts w:ascii="Courier New" w:eastAsia="Times New Roman" w:hAnsi="Courier New" w:cs="Times New Roman"/>
      <w:sz w:val="24"/>
      <w:szCs w:val="24"/>
      <w:lang w:val="pt-BR" w:eastAsia="ar-SA"/>
    </w:rPr>
  </w:style>
  <w:style w:type="paragraph" w:customStyle="1" w:styleId="Textopadro2">
    <w:name w:val="Texto padrão:2"/>
    <w:basedOn w:val="Normal"/>
    <w:rsid w:val="002B5BFA"/>
    <w:pPr>
      <w:widowControl/>
      <w:suppressAutoHyphens/>
      <w:autoSpaceDN/>
    </w:pPr>
    <w:rPr>
      <w:rFonts w:ascii="Times New Roman" w:eastAsia="Times New Roman" w:hAnsi="Times New Roman" w:cs="Times New Roman"/>
      <w:sz w:val="20"/>
      <w:szCs w:val="20"/>
      <w:lang w:val="en-US" w:eastAsia="ar-SA"/>
    </w:rPr>
  </w:style>
  <w:style w:type="paragraph" w:customStyle="1" w:styleId="p25">
    <w:name w:val="p25"/>
    <w:basedOn w:val="Normal"/>
    <w:rsid w:val="002B5BFA"/>
    <w:pPr>
      <w:tabs>
        <w:tab w:val="left" w:pos="1740"/>
      </w:tabs>
      <w:suppressAutoHyphens/>
      <w:autoSpaceDE/>
      <w:autoSpaceDN/>
      <w:spacing w:line="280" w:lineRule="atLeast"/>
      <w:jc w:val="both"/>
    </w:pPr>
    <w:rPr>
      <w:rFonts w:ascii="Times New Roman" w:eastAsia="Times New Roman" w:hAnsi="Times New Roman" w:cs="Times New Roman"/>
      <w:sz w:val="24"/>
      <w:szCs w:val="20"/>
      <w:lang w:val="pt-BR" w:eastAsia="ar-SA"/>
    </w:rPr>
  </w:style>
  <w:style w:type="paragraph" w:customStyle="1" w:styleId="TextosemFormatao1">
    <w:name w:val="Texto sem Formatação1"/>
    <w:basedOn w:val="Normal"/>
    <w:rsid w:val="002B5BFA"/>
    <w:pPr>
      <w:widowControl/>
      <w:suppressAutoHyphens/>
      <w:autoSpaceDE/>
      <w:autoSpaceDN/>
    </w:pPr>
    <w:rPr>
      <w:rFonts w:ascii="Courier New" w:eastAsia="Times New Roman" w:hAnsi="Courier New" w:cs="Courier New"/>
      <w:sz w:val="24"/>
      <w:szCs w:val="24"/>
      <w:lang w:val="pt-BR" w:eastAsia="ar-SA"/>
    </w:rPr>
  </w:style>
  <w:style w:type="paragraph" w:customStyle="1" w:styleId="Corpodetexto31">
    <w:name w:val="Corpo de texto 31"/>
    <w:basedOn w:val="Normal"/>
    <w:rsid w:val="002B5BFA"/>
    <w:pPr>
      <w:widowControl/>
      <w:suppressAutoHyphens/>
      <w:autoSpaceDE/>
      <w:autoSpaceDN/>
    </w:pPr>
    <w:rPr>
      <w:rFonts w:ascii="Times New Roman" w:eastAsia="Times New Roman" w:hAnsi="Times New Roman" w:cs="Times New Roman"/>
      <w:b/>
      <w:bCs/>
      <w:sz w:val="24"/>
      <w:szCs w:val="24"/>
      <w:lang w:val="pt-BR" w:eastAsia="ar-SA"/>
    </w:rPr>
  </w:style>
  <w:style w:type="paragraph" w:customStyle="1" w:styleId="WW-Padro">
    <w:name w:val="WW-Padrão"/>
    <w:rsid w:val="002B5BFA"/>
    <w:pPr>
      <w:widowControl w:val="0"/>
      <w:suppressAutoHyphens/>
      <w:autoSpaceDE w:val="0"/>
      <w:spacing w:after="0" w:line="240" w:lineRule="auto"/>
    </w:pPr>
    <w:rPr>
      <w:rFonts w:ascii="Times New Roman" w:eastAsia="Times New Roman" w:hAnsi="Times New Roman" w:cs="Times New Roman"/>
      <w:kern w:val="0"/>
      <w:lang w:eastAsia="ar-SA"/>
      <w14:ligatures w14:val="none"/>
    </w:rPr>
  </w:style>
  <w:style w:type="paragraph" w:customStyle="1" w:styleId="Recuodecorpodetexto31">
    <w:name w:val="Recuo de corpo de texto 31"/>
    <w:basedOn w:val="Normal"/>
    <w:rsid w:val="002B5BFA"/>
    <w:pPr>
      <w:widowControl/>
      <w:suppressAutoHyphens/>
      <w:autoSpaceDE/>
      <w:autoSpaceDN/>
      <w:ind w:firstLine="1700"/>
      <w:jc w:val="both"/>
    </w:pPr>
    <w:rPr>
      <w:rFonts w:ascii="Times New Roman" w:eastAsia="Times New Roman" w:hAnsi="Times New Roman" w:cs="Times New Roman"/>
      <w:sz w:val="28"/>
      <w:szCs w:val="28"/>
      <w:lang w:val="pt-BR" w:eastAsia="ar-SA"/>
    </w:rPr>
  </w:style>
  <w:style w:type="paragraph" w:customStyle="1" w:styleId="Textopadro">
    <w:name w:val="Texto padrão"/>
    <w:basedOn w:val="Normal"/>
    <w:rsid w:val="002B5BFA"/>
    <w:pPr>
      <w:widowControl/>
      <w:suppressAutoHyphens/>
      <w:autoSpaceDN/>
    </w:pPr>
    <w:rPr>
      <w:rFonts w:ascii="Times New Roman" w:eastAsia="Times New Roman" w:hAnsi="Times New Roman" w:cs="Times New Roman"/>
      <w:sz w:val="24"/>
      <w:szCs w:val="24"/>
      <w:lang w:val="en-US" w:eastAsia="ar-SA"/>
    </w:rPr>
  </w:style>
  <w:style w:type="paragraph" w:customStyle="1" w:styleId="Captulo">
    <w:name w:val="Capítulo"/>
    <w:basedOn w:val="Normal"/>
    <w:next w:val="Corpodetexto"/>
    <w:rsid w:val="002B5BFA"/>
    <w:pPr>
      <w:keepNext/>
      <w:widowControl/>
      <w:suppressAutoHyphens/>
      <w:autoSpaceDE/>
      <w:autoSpaceDN/>
      <w:spacing w:before="240" w:after="120"/>
    </w:pPr>
    <w:rPr>
      <w:rFonts w:ascii="Arial" w:eastAsia="Lucida Sans Unicode" w:hAnsi="Arial" w:cs="Tahoma"/>
      <w:sz w:val="28"/>
      <w:szCs w:val="28"/>
      <w:lang w:val="pt-BR" w:eastAsia="ar-SA"/>
    </w:rPr>
  </w:style>
  <w:style w:type="paragraph" w:customStyle="1" w:styleId="Legenda3">
    <w:name w:val="Legenda3"/>
    <w:basedOn w:val="Normal"/>
    <w:rsid w:val="002B5BFA"/>
    <w:pPr>
      <w:widowControl/>
      <w:suppressLineNumbers/>
      <w:suppressAutoHyphens/>
      <w:autoSpaceDE/>
      <w:autoSpaceDN/>
      <w:spacing w:before="120" w:after="120"/>
    </w:pPr>
    <w:rPr>
      <w:rFonts w:ascii="Times New Roman" w:eastAsia="Times New Roman" w:hAnsi="Times New Roman" w:cs="Tahoma"/>
      <w:i/>
      <w:iCs/>
      <w:sz w:val="24"/>
      <w:szCs w:val="24"/>
      <w:lang w:val="pt-BR" w:eastAsia="ar-SA"/>
    </w:rPr>
  </w:style>
  <w:style w:type="paragraph" w:customStyle="1" w:styleId="ndice">
    <w:name w:val="Índice"/>
    <w:basedOn w:val="Normal"/>
    <w:rsid w:val="002B5BFA"/>
    <w:pPr>
      <w:widowControl/>
      <w:suppressLineNumbers/>
      <w:suppressAutoHyphens/>
      <w:autoSpaceDE/>
      <w:autoSpaceDN/>
    </w:pPr>
    <w:rPr>
      <w:rFonts w:ascii="Times New Roman" w:eastAsia="Times New Roman" w:hAnsi="Times New Roman" w:cs="Tahoma"/>
      <w:sz w:val="24"/>
      <w:szCs w:val="24"/>
      <w:lang w:val="pt-BR" w:eastAsia="ar-SA"/>
    </w:rPr>
  </w:style>
  <w:style w:type="paragraph" w:customStyle="1" w:styleId="Legenda2">
    <w:name w:val="Legenda2"/>
    <w:basedOn w:val="Normal"/>
    <w:rsid w:val="002B5BFA"/>
    <w:pPr>
      <w:widowControl/>
      <w:suppressLineNumbers/>
      <w:suppressAutoHyphens/>
      <w:autoSpaceDE/>
      <w:autoSpaceDN/>
      <w:spacing w:before="120" w:after="120"/>
    </w:pPr>
    <w:rPr>
      <w:rFonts w:ascii="Times New Roman" w:eastAsia="Times New Roman" w:hAnsi="Times New Roman" w:cs="Tahoma"/>
      <w:i/>
      <w:iCs/>
      <w:sz w:val="24"/>
      <w:szCs w:val="24"/>
      <w:lang w:val="pt-BR" w:eastAsia="ar-SA"/>
    </w:rPr>
  </w:style>
  <w:style w:type="paragraph" w:customStyle="1" w:styleId="Legenda1">
    <w:name w:val="Legenda1"/>
    <w:basedOn w:val="Normal"/>
    <w:rsid w:val="002B5BFA"/>
    <w:pPr>
      <w:widowControl/>
      <w:suppressLineNumbers/>
      <w:suppressAutoHyphens/>
      <w:autoSpaceDE/>
      <w:autoSpaceDN/>
      <w:spacing w:before="120" w:after="120"/>
    </w:pPr>
    <w:rPr>
      <w:rFonts w:ascii="Times New Roman" w:eastAsia="Times New Roman" w:hAnsi="Times New Roman" w:cs="Tahoma"/>
      <w:i/>
      <w:iCs/>
      <w:sz w:val="24"/>
      <w:szCs w:val="24"/>
      <w:lang w:val="pt-BR" w:eastAsia="ar-SA"/>
    </w:rPr>
  </w:style>
  <w:style w:type="paragraph" w:customStyle="1" w:styleId="WW-Corpodetexto2">
    <w:name w:val="WW-Corpo de texto 2"/>
    <w:basedOn w:val="Normal"/>
    <w:rsid w:val="002B5BFA"/>
    <w:pPr>
      <w:widowControl/>
      <w:suppressAutoHyphens/>
      <w:autoSpaceDE/>
      <w:autoSpaceDN/>
      <w:jc w:val="both"/>
    </w:pPr>
    <w:rPr>
      <w:rFonts w:ascii="Times New Roman" w:eastAsia="Times New Roman" w:hAnsi="Times New Roman" w:cs="Times New Roman"/>
      <w:szCs w:val="20"/>
      <w:lang w:val="pt-BR" w:eastAsia="ar-SA"/>
    </w:rPr>
  </w:style>
  <w:style w:type="paragraph" w:customStyle="1" w:styleId="Contedodatabela">
    <w:name w:val="Conteúdo da tabela"/>
    <w:basedOn w:val="Normal"/>
    <w:rsid w:val="002B5BFA"/>
    <w:pPr>
      <w:widowControl/>
      <w:suppressLineNumbers/>
      <w:suppressAutoHyphens/>
      <w:autoSpaceDE/>
      <w:autoSpaceDN/>
    </w:pPr>
    <w:rPr>
      <w:rFonts w:ascii="Times New Roman" w:eastAsia="Times New Roman" w:hAnsi="Times New Roman" w:cs="Times New Roman"/>
      <w:sz w:val="24"/>
      <w:szCs w:val="24"/>
      <w:lang w:val="pt-BR" w:eastAsia="ar-SA"/>
    </w:rPr>
  </w:style>
  <w:style w:type="paragraph" w:customStyle="1" w:styleId="Ttulodatabela">
    <w:name w:val="Título da tabela"/>
    <w:basedOn w:val="Contedodatabela"/>
    <w:rsid w:val="002B5BFA"/>
    <w:pPr>
      <w:jc w:val="center"/>
    </w:pPr>
    <w:rPr>
      <w:b/>
      <w:bCs/>
    </w:rPr>
  </w:style>
  <w:style w:type="paragraph" w:customStyle="1" w:styleId="Contedodoquadro">
    <w:name w:val="Conteúdo do quadro"/>
    <w:basedOn w:val="Corpodetexto"/>
    <w:rsid w:val="002B5BFA"/>
    <w:pPr>
      <w:suppressAutoHyphens/>
      <w:spacing w:after="120"/>
    </w:pPr>
    <w:rPr>
      <w:rFonts w:eastAsia="Times New Roman"/>
      <w:b w:val="0"/>
      <w:sz w:val="24"/>
      <w:szCs w:val="24"/>
      <w:lang w:val="x-none" w:eastAsia="ar-SA"/>
    </w:rPr>
  </w:style>
  <w:style w:type="paragraph" w:customStyle="1" w:styleId="Recuodecorpodetexto21">
    <w:name w:val="Recuo de corpo de texto 21"/>
    <w:basedOn w:val="Normal"/>
    <w:rsid w:val="002B5BFA"/>
    <w:pPr>
      <w:widowControl/>
      <w:suppressAutoHyphens/>
      <w:autoSpaceDE/>
      <w:autoSpaceDN/>
      <w:ind w:firstLine="567"/>
      <w:jc w:val="both"/>
    </w:pPr>
    <w:rPr>
      <w:rFonts w:ascii="Verdana" w:eastAsia="Times New Roman" w:hAnsi="Verdana" w:cs="Times New Roman"/>
      <w:lang w:val="pt-BR" w:eastAsia="ar-SA"/>
    </w:rPr>
  </w:style>
  <w:style w:type="character" w:styleId="Refdenotaderodap">
    <w:name w:val="footnote reference"/>
    <w:basedOn w:val="Fontepargpadro"/>
    <w:uiPriority w:val="99"/>
    <w:semiHidden/>
    <w:unhideWhenUsed/>
    <w:rsid w:val="002B5BFA"/>
    <w:rPr>
      <w:vertAlign w:val="superscript"/>
    </w:rPr>
  </w:style>
  <w:style w:type="character" w:styleId="Refdecomentrio">
    <w:name w:val="annotation reference"/>
    <w:basedOn w:val="Fontepargpadro"/>
    <w:semiHidden/>
    <w:unhideWhenUsed/>
    <w:qFormat/>
    <w:rsid w:val="002B5BFA"/>
    <w:rPr>
      <w:sz w:val="16"/>
      <w:szCs w:val="16"/>
    </w:rPr>
  </w:style>
  <w:style w:type="character" w:customStyle="1" w:styleId="UnresolvedMention1">
    <w:name w:val="Unresolved Mention1"/>
    <w:basedOn w:val="Fontepargpadro"/>
    <w:uiPriority w:val="99"/>
    <w:semiHidden/>
    <w:rsid w:val="002B5BFA"/>
    <w:rPr>
      <w:color w:val="605E5C"/>
      <w:shd w:val="clear" w:color="auto" w:fill="E1DFDD"/>
    </w:rPr>
  </w:style>
  <w:style w:type="character" w:customStyle="1" w:styleId="normaltextrun">
    <w:name w:val="normaltextrun"/>
    <w:basedOn w:val="Fontepargpadro"/>
    <w:rsid w:val="002B5BFA"/>
  </w:style>
  <w:style w:type="character" w:customStyle="1" w:styleId="eop">
    <w:name w:val="eop"/>
    <w:basedOn w:val="Fontepargpadro"/>
    <w:rsid w:val="002B5BFA"/>
  </w:style>
  <w:style w:type="character" w:customStyle="1" w:styleId="cf01">
    <w:name w:val="cf01"/>
    <w:basedOn w:val="Fontepargpadro"/>
    <w:rsid w:val="002B5BFA"/>
    <w:rPr>
      <w:rFonts w:ascii="Segoe UI" w:hAnsi="Segoe UI" w:cs="Segoe UI" w:hint="default"/>
      <w:sz w:val="18"/>
      <w:szCs w:val="18"/>
    </w:rPr>
  </w:style>
  <w:style w:type="character" w:customStyle="1" w:styleId="cf11">
    <w:name w:val="cf11"/>
    <w:basedOn w:val="Fontepargpadro"/>
    <w:rsid w:val="002B5BFA"/>
    <w:rPr>
      <w:rFonts w:ascii="Segoe UI" w:hAnsi="Segoe UI" w:cs="Segoe UI" w:hint="default"/>
      <w:i/>
      <w:iCs/>
      <w:sz w:val="18"/>
      <w:szCs w:val="18"/>
    </w:rPr>
  </w:style>
  <w:style w:type="character" w:customStyle="1" w:styleId="LinkdaInternet">
    <w:name w:val="Link da Internet"/>
    <w:uiPriority w:val="99"/>
    <w:rsid w:val="002B5BFA"/>
    <w:rPr>
      <w:color w:val="0563C1"/>
      <w:u w:val="single"/>
    </w:rPr>
  </w:style>
  <w:style w:type="character" w:customStyle="1" w:styleId="MapadoDocumentoChar1">
    <w:name w:val="Mapa do Documento Char1"/>
    <w:basedOn w:val="Fontepargpadro"/>
    <w:uiPriority w:val="99"/>
    <w:semiHidden/>
    <w:rsid w:val="002B5BFA"/>
    <w:rPr>
      <w:rFonts w:ascii="Tahoma" w:eastAsia="Times New Roman" w:hAnsi="Tahoma" w:cs="Tahoma" w:hint="default"/>
      <w:sz w:val="16"/>
      <w:szCs w:val="16"/>
      <w:lang w:eastAsia="pt-BR"/>
    </w:rPr>
  </w:style>
  <w:style w:type="character" w:customStyle="1" w:styleId="st1">
    <w:name w:val="st1"/>
    <w:rsid w:val="002B5BFA"/>
  </w:style>
  <w:style w:type="character" w:customStyle="1" w:styleId="apple-style-span">
    <w:name w:val="apple-style-span"/>
    <w:rsid w:val="002B5BFA"/>
  </w:style>
  <w:style w:type="character" w:customStyle="1" w:styleId="apple-converted-space">
    <w:name w:val="apple-converted-space"/>
    <w:rsid w:val="002B5BFA"/>
  </w:style>
  <w:style w:type="character" w:customStyle="1" w:styleId="textonormal">
    <w:name w:val="texto_normal"/>
    <w:rsid w:val="002B5BFA"/>
  </w:style>
  <w:style w:type="character" w:customStyle="1" w:styleId="prodmarriedfirst">
    <w:name w:val="prod_married_first"/>
    <w:rsid w:val="002B5BFA"/>
  </w:style>
  <w:style w:type="character" w:customStyle="1" w:styleId="keywords">
    <w:name w:val="keywords"/>
    <w:rsid w:val="002B5BFA"/>
  </w:style>
  <w:style w:type="character" w:customStyle="1" w:styleId="A0">
    <w:name w:val="A0"/>
    <w:rsid w:val="002B5BFA"/>
    <w:rPr>
      <w:color w:val="000000"/>
      <w:sz w:val="22"/>
    </w:rPr>
  </w:style>
  <w:style w:type="character" w:customStyle="1" w:styleId="textonormal1">
    <w:name w:val="texto_normal1"/>
    <w:rsid w:val="002B5BFA"/>
    <w:rPr>
      <w:rFonts w:ascii="Verdana" w:hAnsi="Verdana" w:hint="default"/>
      <w:color w:val="000000"/>
      <w:sz w:val="20"/>
      <w:szCs w:val="20"/>
    </w:rPr>
  </w:style>
  <w:style w:type="character" w:customStyle="1" w:styleId="Absatz-Standardschriftart">
    <w:name w:val="Absatz-Standardschriftart"/>
    <w:rsid w:val="002B5BFA"/>
  </w:style>
  <w:style w:type="character" w:customStyle="1" w:styleId="WW-Absatz-Standardschriftart">
    <w:name w:val="WW-Absatz-Standardschriftart"/>
    <w:rsid w:val="002B5BFA"/>
  </w:style>
  <w:style w:type="character" w:customStyle="1" w:styleId="WW-Absatz-Standardschriftart1">
    <w:name w:val="WW-Absatz-Standardschriftart1"/>
    <w:rsid w:val="002B5BFA"/>
  </w:style>
  <w:style w:type="character" w:customStyle="1" w:styleId="WW-Absatz-Standardschriftart11">
    <w:name w:val="WW-Absatz-Standardschriftart11"/>
    <w:rsid w:val="002B5BFA"/>
  </w:style>
  <w:style w:type="character" w:customStyle="1" w:styleId="WW-Absatz-Standardschriftart111">
    <w:name w:val="WW-Absatz-Standardschriftart111"/>
    <w:rsid w:val="002B5BFA"/>
  </w:style>
  <w:style w:type="character" w:customStyle="1" w:styleId="WW-Absatz-Standardschriftart1111">
    <w:name w:val="WW-Absatz-Standardschriftart1111"/>
    <w:rsid w:val="002B5BFA"/>
  </w:style>
  <w:style w:type="character" w:customStyle="1" w:styleId="WW-Absatz-Standardschriftart11111">
    <w:name w:val="WW-Absatz-Standardschriftart11111"/>
    <w:rsid w:val="002B5BFA"/>
  </w:style>
  <w:style w:type="character" w:customStyle="1" w:styleId="WW-Absatz-Standardschriftart111111">
    <w:name w:val="WW-Absatz-Standardschriftart111111"/>
    <w:rsid w:val="002B5BFA"/>
  </w:style>
  <w:style w:type="character" w:customStyle="1" w:styleId="WW-Absatz-Standardschriftart1111111">
    <w:name w:val="WW-Absatz-Standardschriftart1111111"/>
    <w:rsid w:val="002B5BFA"/>
  </w:style>
  <w:style w:type="character" w:customStyle="1" w:styleId="WW-Absatz-Standardschriftart11111111">
    <w:name w:val="WW-Absatz-Standardschriftart11111111"/>
    <w:rsid w:val="002B5BFA"/>
  </w:style>
  <w:style w:type="character" w:customStyle="1" w:styleId="WW-Absatz-Standardschriftart111111111">
    <w:name w:val="WW-Absatz-Standardschriftart111111111"/>
    <w:rsid w:val="002B5BFA"/>
  </w:style>
  <w:style w:type="character" w:customStyle="1" w:styleId="WW-Absatz-Standardschriftart1111111111">
    <w:name w:val="WW-Absatz-Standardschriftart1111111111"/>
    <w:rsid w:val="002B5BFA"/>
  </w:style>
  <w:style w:type="character" w:customStyle="1" w:styleId="WW-Absatz-Standardschriftart11111111111">
    <w:name w:val="WW-Absatz-Standardschriftart11111111111"/>
    <w:rsid w:val="002B5BFA"/>
  </w:style>
  <w:style w:type="character" w:customStyle="1" w:styleId="WW-Absatz-Standardschriftart111111111111">
    <w:name w:val="WW-Absatz-Standardschriftart111111111111"/>
    <w:rsid w:val="002B5BFA"/>
  </w:style>
  <w:style w:type="character" w:customStyle="1" w:styleId="WW-Absatz-Standardschriftart1111111111111">
    <w:name w:val="WW-Absatz-Standardschriftart1111111111111"/>
    <w:rsid w:val="002B5BFA"/>
  </w:style>
  <w:style w:type="character" w:customStyle="1" w:styleId="WW-Absatz-Standardschriftart11111111111111">
    <w:name w:val="WW-Absatz-Standardschriftart11111111111111"/>
    <w:rsid w:val="002B5BFA"/>
  </w:style>
  <w:style w:type="character" w:customStyle="1" w:styleId="WW-Absatz-Standardschriftart111111111111111">
    <w:name w:val="WW-Absatz-Standardschriftart111111111111111"/>
    <w:rsid w:val="002B5BFA"/>
  </w:style>
  <w:style w:type="character" w:customStyle="1" w:styleId="WW-Absatz-Standardschriftart1111111111111111">
    <w:name w:val="WW-Absatz-Standardschriftart1111111111111111"/>
    <w:rsid w:val="002B5BFA"/>
  </w:style>
  <w:style w:type="character" w:customStyle="1" w:styleId="WW-Absatz-Standardschriftart11111111111111111">
    <w:name w:val="WW-Absatz-Standardschriftart11111111111111111"/>
    <w:rsid w:val="002B5BFA"/>
  </w:style>
  <w:style w:type="character" w:customStyle="1" w:styleId="WW-Absatz-Standardschriftart111111111111111111">
    <w:name w:val="WW-Absatz-Standardschriftart111111111111111111"/>
    <w:rsid w:val="002B5BFA"/>
  </w:style>
  <w:style w:type="character" w:customStyle="1" w:styleId="WW-Absatz-Standardschriftart1111111111111111111">
    <w:name w:val="WW-Absatz-Standardschriftart1111111111111111111"/>
    <w:rsid w:val="002B5BFA"/>
  </w:style>
  <w:style w:type="character" w:customStyle="1" w:styleId="WW-Absatz-Standardschriftart11111111111111111111">
    <w:name w:val="WW-Absatz-Standardschriftart11111111111111111111"/>
    <w:rsid w:val="002B5BFA"/>
  </w:style>
  <w:style w:type="character" w:customStyle="1" w:styleId="WW-Absatz-Standardschriftart111111111111111111111">
    <w:name w:val="WW-Absatz-Standardschriftart111111111111111111111"/>
    <w:rsid w:val="002B5BFA"/>
  </w:style>
  <w:style w:type="character" w:customStyle="1" w:styleId="WW-Absatz-Standardschriftart1111111111111111111111">
    <w:name w:val="WW-Absatz-Standardschriftart1111111111111111111111"/>
    <w:rsid w:val="002B5BFA"/>
  </w:style>
  <w:style w:type="character" w:customStyle="1" w:styleId="WW-Absatz-Standardschriftart11111111111111111111111">
    <w:name w:val="WW-Absatz-Standardschriftart11111111111111111111111"/>
    <w:rsid w:val="002B5BFA"/>
  </w:style>
  <w:style w:type="character" w:customStyle="1" w:styleId="WW-Absatz-Standardschriftart111111111111111111111111">
    <w:name w:val="WW-Absatz-Standardschriftart111111111111111111111111"/>
    <w:rsid w:val="002B5BFA"/>
  </w:style>
  <w:style w:type="character" w:customStyle="1" w:styleId="Fontepargpadro3">
    <w:name w:val="Fonte parág. padrão3"/>
    <w:rsid w:val="002B5BFA"/>
  </w:style>
  <w:style w:type="character" w:customStyle="1" w:styleId="WW-Absatz-Standardschriftart1111111111111111111111111">
    <w:name w:val="WW-Absatz-Standardschriftart1111111111111111111111111"/>
    <w:rsid w:val="002B5BFA"/>
  </w:style>
  <w:style w:type="character" w:customStyle="1" w:styleId="WW-Absatz-Standardschriftart11111111111111111111111111">
    <w:name w:val="WW-Absatz-Standardschriftart11111111111111111111111111"/>
    <w:rsid w:val="002B5BFA"/>
  </w:style>
  <w:style w:type="character" w:customStyle="1" w:styleId="WW-Absatz-Standardschriftart111111111111111111111111111">
    <w:name w:val="WW-Absatz-Standardschriftart111111111111111111111111111"/>
    <w:rsid w:val="002B5BFA"/>
  </w:style>
  <w:style w:type="character" w:customStyle="1" w:styleId="WW-Absatz-Standardschriftart1111111111111111111111111111">
    <w:name w:val="WW-Absatz-Standardschriftart1111111111111111111111111111"/>
    <w:rsid w:val="002B5BFA"/>
  </w:style>
  <w:style w:type="character" w:customStyle="1" w:styleId="WW-Absatz-Standardschriftart11111111111111111111111111111">
    <w:name w:val="WW-Absatz-Standardschriftart11111111111111111111111111111"/>
    <w:rsid w:val="002B5BFA"/>
  </w:style>
  <w:style w:type="character" w:customStyle="1" w:styleId="WW-Absatz-Standardschriftart111111111111111111111111111111">
    <w:name w:val="WW-Absatz-Standardschriftart111111111111111111111111111111"/>
    <w:rsid w:val="002B5BFA"/>
  </w:style>
  <w:style w:type="character" w:customStyle="1" w:styleId="WW-Absatz-Standardschriftart1111111111111111111111111111111">
    <w:name w:val="WW-Absatz-Standardschriftart1111111111111111111111111111111"/>
    <w:rsid w:val="002B5BFA"/>
  </w:style>
  <w:style w:type="character" w:customStyle="1" w:styleId="WW-Absatz-Standardschriftart11111111111111111111111111111111">
    <w:name w:val="WW-Absatz-Standardschriftart11111111111111111111111111111111"/>
    <w:rsid w:val="002B5BFA"/>
  </w:style>
  <w:style w:type="character" w:customStyle="1" w:styleId="Fontepargpadro2">
    <w:name w:val="Fonte parág. padrão2"/>
    <w:rsid w:val="002B5BFA"/>
  </w:style>
  <w:style w:type="character" w:customStyle="1" w:styleId="CaracteresdeNotadeRodap">
    <w:name w:val="Caracteres de Nota de Rodapé"/>
    <w:rsid w:val="002B5BFA"/>
  </w:style>
  <w:style w:type="character" w:customStyle="1" w:styleId="Smbolosdenumerao">
    <w:name w:val="Símbolos de numeração"/>
    <w:rsid w:val="002B5BFA"/>
  </w:style>
  <w:style w:type="character" w:customStyle="1" w:styleId="CaracteresdeNotadeFim">
    <w:name w:val="Caracteres de Nota de Fim"/>
    <w:rsid w:val="002B5BFA"/>
  </w:style>
  <w:style w:type="character" w:customStyle="1" w:styleId="Refdenotaderodap1">
    <w:name w:val="Ref. de nota de rodapé1"/>
    <w:rsid w:val="002B5BFA"/>
    <w:rPr>
      <w:vertAlign w:val="superscript"/>
    </w:rPr>
  </w:style>
  <w:style w:type="character" w:customStyle="1" w:styleId="Refdenotadefim1">
    <w:name w:val="Ref. de nota de fim1"/>
    <w:rsid w:val="002B5BFA"/>
    <w:rPr>
      <w:vertAlign w:val="superscript"/>
    </w:rPr>
  </w:style>
  <w:style w:type="character" w:customStyle="1" w:styleId="Fontepargpadro1">
    <w:name w:val="Fonte parág. padrão1"/>
    <w:rsid w:val="002B5BFA"/>
  </w:style>
  <w:style w:type="character" w:customStyle="1" w:styleId="Corpodetexto2Char1">
    <w:name w:val="Corpo de texto 2 Char1"/>
    <w:basedOn w:val="Fontepargpadro"/>
    <w:uiPriority w:val="99"/>
    <w:rsid w:val="002B5BFA"/>
    <w:rPr>
      <w:sz w:val="22"/>
      <w:szCs w:val="22"/>
      <w:lang w:eastAsia="en-US"/>
    </w:rPr>
  </w:style>
  <w:style w:type="character" w:customStyle="1" w:styleId="ircsu">
    <w:name w:val="irc_su"/>
    <w:rsid w:val="002B5BFA"/>
  </w:style>
  <w:style w:type="table" w:customStyle="1" w:styleId="TableNormal">
    <w:name w:val="Table Normal"/>
    <w:uiPriority w:val="2"/>
    <w:semiHidden/>
    <w:qFormat/>
    <w:rsid w:val="002B5BFA"/>
    <w:pPr>
      <w:widowControl w:val="0"/>
      <w:autoSpaceDE w:val="0"/>
      <w:autoSpaceDN w:val="0"/>
      <w:spacing w:after="0" w:line="240" w:lineRule="auto"/>
    </w:pPr>
    <w:rPr>
      <w:kern w:val="0"/>
      <w:sz w:val="22"/>
      <w:szCs w:val="22"/>
      <w:lang w:val="en-US"/>
      <w14:ligatures w14:val="none"/>
    </w:rPr>
    <w:tblPr>
      <w:tblCellMar>
        <w:top w:w="0" w:type="dxa"/>
        <w:left w:w="0" w:type="dxa"/>
        <w:bottom w:w="0" w:type="dxa"/>
        <w:right w:w="0" w:type="dxa"/>
      </w:tblCellMar>
    </w:tblPr>
  </w:style>
  <w:style w:type="table" w:customStyle="1" w:styleId="Tabelacomgrade1">
    <w:name w:val="Tabela com grade1"/>
    <w:basedOn w:val="Tabelanormal"/>
    <w:uiPriority w:val="59"/>
    <w:rsid w:val="002B5BFA"/>
    <w:pPr>
      <w:spacing w:after="0" w:line="240" w:lineRule="auto"/>
      <w:ind w:left="851" w:hanging="567"/>
      <w:jc w:val="both"/>
    </w:pPr>
    <w:rPr>
      <w:rFonts w:ascii="Calibri" w:eastAsia="Calibri" w:hAnsi="Calibri"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orte">
    <w:name w:val="Strong"/>
    <w:basedOn w:val="Fontepargpadro"/>
    <w:qFormat/>
    <w:rsid w:val="002B5BF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657012">
      <w:bodyDiv w:val="1"/>
      <w:marLeft w:val="0"/>
      <w:marRight w:val="0"/>
      <w:marTop w:val="0"/>
      <w:marBottom w:val="0"/>
      <w:divBdr>
        <w:top w:val="none" w:sz="0" w:space="0" w:color="auto"/>
        <w:left w:val="none" w:sz="0" w:space="0" w:color="auto"/>
        <w:bottom w:val="none" w:sz="0" w:space="0" w:color="auto"/>
        <w:right w:val="none" w:sz="0" w:space="0" w:color="auto"/>
      </w:divBdr>
    </w:div>
    <w:div w:id="527723149">
      <w:bodyDiv w:val="1"/>
      <w:marLeft w:val="0"/>
      <w:marRight w:val="0"/>
      <w:marTop w:val="0"/>
      <w:marBottom w:val="0"/>
      <w:divBdr>
        <w:top w:val="none" w:sz="0" w:space="0" w:color="auto"/>
        <w:left w:val="none" w:sz="0" w:space="0" w:color="auto"/>
        <w:bottom w:val="none" w:sz="0" w:space="0" w:color="auto"/>
        <w:right w:val="none" w:sz="0" w:space="0" w:color="auto"/>
      </w:divBdr>
    </w:div>
    <w:div w:id="1343245648">
      <w:bodyDiv w:val="1"/>
      <w:marLeft w:val="0"/>
      <w:marRight w:val="0"/>
      <w:marTop w:val="0"/>
      <w:marBottom w:val="0"/>
      <w:divBdr>
        <w:top w:val="none" w:sz="0" w:space="0" w:color="auto"/>
        <w:left w:val="none" w:sz="0" w:space="0" w:color="auto"/>
        <w:bottom w:val="none" w:sz="0" w:space="0" w:color="auto"/>
        <w:right w:val="none" w:sz="0" w:space="0" w:color="auto"/>
      </w:divBdr>
    </w:div>
    <w:div w:id="1427186721">
      <w:bodyDiv w:val="1"/>
      <w:marLeft w:val="0"/>
      <w:marRight w:val="0"/>
      <w:marTop w:val="0"/>
      <w:marBottom w:val="0"/>
      <w:divBdr>
        <w:top w:val="none" w:sz="0" w:space="0" w:color="auto"/>
        <w:left w:val="none" w:sz="0" w:space="0" w:color="auto"/>
        <w:bottom w:val="none" w:sz="0" w:space="0" w:color="auto"/>
        <w:right w:val="none" w:sz="0" w:space="0" w:color="auto"/>
      </w:divBdr>
    </w:div>
    <w:div w:id="1631089300">
      <w:bodyDiv w:val="1"/>
      <w:marLeft w:val="0"/>
      <w:marRight w:val="0"/>
      <w:marTop w:val="0"/>
      <w:marBottom w:val="0"/>
      <w:divBdr>
        <w:top w:val="none" w:sz="0" w:space="0" w:color="auto"/>
        <w:left w:val="none" w:sz="0" w:space="0" w:color="auto"/>
        <w:bottom w:val="none" w:sz="0" w:space="0" w:color="auto"/>
        <w:right w:val="none" w:sz="0" w:space="0" w:color="auto"/>
      </w:divBdr>
    </w:div>
    <w:div w:id="1815097170">
      <w:bodyDiv w:val="1"/>
      <w:marLeft w:val="0"/>
      <w:marRight w:val="0"/>
      <w:marTop w:val="0"/>
      <w:marBottom w:val="0"/>
      <w:divBdr>
        <w:top w:val="none" w:sz="0" w:space="0" w:color="auto"/>
        <w:left w:val="none" w:sz="0" w:space="0" w:color="auto"/>
        <w:bottom w:val="none" w:sz="0" w:space="0" w:color="auto"/>
        <w:right w:val="none" w:sz="0" w:space="0" w:color="auto"/>
      </w:divBdr>
    </w:div>
    <w:div w:id="2044213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www.cora.com.br/blog/para-que-serve-o-ip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nc.org.b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org.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bnc.org.br/"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1443D8-483F-43E6-80B3-8A0A7B9AB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56</Pages>
  <Words>20598</Words>
  <Characters>111233</Characters>
  <Application>Microsoft Office Word</Application>
  <DocSecurity>0</DocSecurity>
  <Lines>926</Lines>
  <Paragraphs>263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MARCOS DOS SANTOS EVANGELISTA</dc:creator>
  <cp:lastModifiedBy>User</cp:lastModifiedBy>
  <cp:revision>65</cp:revision>
  <dcterms:created xsi:type="dcterms:W3CDTF">2025-05-05T17:54:00Z</dcterms:created>
  <dcterms:modified xsi:type="dcterms:W3CDTF">2026-03-02T17:52:00Z</dcterms:modified>
</cp:coreProperties>
</file>